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6A70"/>
          <w:spacing w:val="30"/>
          <w:sz w:val="16"/>
          <w:szCs w:val="16"/>
        </w:rPr>
        <w:t xml:space="preserve">ASD FACIAL EMOTION RECOGNITION</w:t>
      </w:r>
    </w:p>
    <w:p>
      <w:pPr>
        <w:spacing w:after="100"/>
      </w:pPr>
      <w:r>
        <w:rPr>
          <w:rFonts w:ascii="Calibri Light" w:cs="Calibri Light" w:eastAsia="Calibri Light" w:hAnsi="Calibri Light"/>
          <w:b/>
          <w:bCs/>
          <w:color w:val="151E22"/>
          <w:sz w:val="44"/>
          <w:szCs w:val="44"/>
        </w:rPr>
        <w:t xml:space="preserve">Candidate Model Shortlist</w:t>
      </w:r>
    </w:p>
    <w:p>
      <w:pPr>
        <w:pBdr>
          <w:bottom w:val="single" w:color="D7E0E1" w:sz="6" w:space="8"/>
        </w:pBdr>
        <w:spacing w:after="90"/>
      </w:pPr>
      <w:r>
        <w:rPr>
          <w:rFonts w:ascii="Calibri" w:cs="Calibri" w:eastAsia="Calibri" w:hAnsi="Calibri"/>
          <w:color w:val="3D4C52"/>
          <w:sz w:val="20"/>
          <w:szCs w:val="20"/>
        </w:rPr>
        <w:t xml:space="preserve">Deep learning (CNN), transformer, and hybrid architectures to explore on the merged six-class ASD corpus. Shaded rows are models already in your benchmark.</w:t>
      </w:r>
    </w:p>
    <w:p>
      <w:pPr>
        <w:spacing w:after="260"/>
      </w:pPr>
      <w:r>
        <w:rPr>
          <w:rFonts w:ascii="Consolas" w:cs="Consolas" w:eastAsia="Consolas" w:hAnsi="Consolas"/>
          <w:color w:val="6E7F85"/>
          <w:sz w:val="16"/>
          <w:szCs w:val="16"/>
        </w:rPr>
        <w:t xml:space="preserve">All timm identifiers verified against timm 1.0.29  ·  30 August 2026</w:t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0E6A70"/>
          <w:sz w:val="30"/>
          <w:szCs w:val="30"/>
        </w:rPr>
        <w:t xml:space="preserve">1.  Deep learning — convolutional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1E22"/>
          <w:sz w:val="23"/>
          <w:szCs w:val="23"/>
        </w:rPr>
        <w:t xml:space="preserve">Already in your benchmark</w:t>
      </w:r>
    </w:p>
    <w:tbl>
      <w:tblPr>
        <w:tblW w:type="dxa" w:w="10080"/>
        <w:tblBorders>
          <w:top w:val="single" w:color="D7E0E1" w:sz="4"/>
          <w:left w:val="none" w:color="FFFFFF" w:sz="0"/>
          <w:bottom w:val="single" w:color="D7E0E1" w:sz="4"/>
          <w:right w:val="none" w:color="FFFFFF" w:sz="0"/>
          <w:insideH w:val="single" w:color="D7E0E1" w:sz="2"/>
          <w:insideV w:val="none" w:color="FFFFFF" w:sz="0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MODEL</w:t>
            </w:r>
          </w:p>
        </w:tc>
        <w:tc>
          <w:tcPr>
            <w:tcW w:type="dxa" w:w="648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TIMM IDENTIFIER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VGG-16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vgg16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ResNet-50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resnet50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DenseNet-121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densenet121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Inception V3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inception_v3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EfficientNet-B0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efficientnet_b0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MobileNetV2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mobilenetv2_100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1E22"/>
          <w:sz w:val="23"/>
          <w:szCs w:val="23"/>
        </w:rPr>
        <w:t xml:space="preserve">Recommended additions</w:t>
      </w:r>
    </w:p>
    <w:tbl>
      <w:tblPr>
        <w:tblW w:type="dxa" w:w="10080"/>
        <w:tblBorders>
          <w:top w:val="single" w:color="D7E0E1" w:sz="4"/>
          <w:left w:val="none" w:color="FFFFFF" w:sz="0"/>
          <w:bottom w:val="single" w:color="D7E0E1" w:sz="4"/>
          <w:right w:val="none" w:color="FFFFFF" w:sz="0"/>
          <w:insideH w:val="single" w:color="D7E0E1" w:sz="2"/>
          <w:insideV w:val="none" w:color="FFFFFF" w:sz="0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MODEL</w:t>
            </w:r>
          </w:p>
        </w:tc>
        <w:tc>
          <w:tcPr>
            <w:tcW w:type="dxa" w:w="648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TIMM IDENTIFIER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ConvNeXt-V2 Base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convnextv2_base.fcmae_ft_in22k_in1k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ConvNeXt-Base (DINOv3)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convnext_base.dinov3_lvd1689m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DenseNet-201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densenet201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Inception-ResNet-V2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inception_resnet_v2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SE-ResNeXt-50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seresnext50_32x4d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RegNetY-3.2GF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regnety_032</w:t>
            </w:r>
          </w:p>
        </w:tc>
      </w:tr>
    </w:tbl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0E6A70"/>
          <w:sz w:val="30"/>
          <w:szCs w:val="30"/>
        </w:rPr>
        <w:t xml:space="preserve">2.  Transformer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1E22"/>
          <w:sz w:val="23"/>
          <w:szCs w:val="23"/>
        </w:rPr>
        <w:t xml:space="preserve">Already in your benchmark</w:t>
      </w:r>
    </w:p>
    <w:tbl>
      <w:tblPr>
        <w:tblW w:type="dxa" w:w="10080"/>
        <w:tblBorders>
          <w:top w:val="single" w:color="D7E0E1" w:sz="4"/>
          <w:left w:val="none" w:color="FFFFFF" w:sz="0"/>
          <w:bottom w:val="single" w:color="D7E0E1" w:sz="4"/>
          <w:right w:val="none" w:color="FFFFFF" w:sz="0"/>
          <w:insideH w:val="single" w:color="D7E0E1" w:sz="2"/>
          <w:insideV w:val="none" w:color="FFFFFF" w:sz="0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MODEL</w:t>
            </w:r>
          </w:p>
        </w:tc>
        <w:tc>
          <w:tcPr>
            <w:tcW w:type="dxa" w:w="648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TIMM IDENTIFIER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ViT-Base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vit_base_patch16_224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Swin-Base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swin_base_patch4_window7_224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Swin-Tiny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swin_tiny_patch4_window7_224</w:t>
            </w:r>
          </w:p>
        </w:tc>
      </w:tr>
      <w:tr>
        <w:tc>
          <w:tcPr>
            <w:tcW w:type="dxa" w:w="360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DeiT-Small</w:t>
            </w:r>
          </w:p>
        </w:tc>
        <w:tc>
          <w:tcPr>
            <w:tcW w:type="dxa" w:w="6480"/>
            <w:shd w:fill="E7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deit_small_patch16_224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1E22"/>
          <w:sz w:val="23"/>
          <w:szCs w:val="23"/>
        </w:rPr>
        <w:t xml:space="preserve">Recommended additions</w:t>
      </w:r>
    </w:p>
    <w:tbl>
      <w:tblPr>
        <w:tblW w:type="dxa" w:w="10080"/>
        <w:tblBorders>
          <w:top w:val="single" w:color="D7E0E1" w:sz="4"/>
          <w:left w:val="none" w:color="FFFFFF" w:sz="0"/>
          <w:bottom w:val="single" w:color="D7E0E1" w:sz="4"/>
          <w:right w:val="none" w:color="FFFFFF" w:sz="0"/>
          <w:insideH w:val="single" w:color="D7E0E1" w:sz="2"/>
          <w:insideV w:val="none" w:color="FFFFFF" w:sz="0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MODEL</w:t>
            </w:r>
          </w:p>
        </w:tc>
        <w:tc>
          <w:tcPr>
            <w:tcW w:type="dxa" w:w="648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TIMM IDENTIFIER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DINOv3 ViT-B/16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vit_base_patch16_dinov3.lvd1689m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DINOv3 ViT-L/16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vit_large_patch16_dinov3.lvd1689m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DINOv2 ViT-B/14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vit_base_patch14_dinov2.lvd142m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EVA-02 Base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eva02_base_patch14_224.mim_in22k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DeiT-III Base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deit3_base_patch16_224.fb_in22k_ft_in1k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Swin-V2 Base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swinv2_base_window12to16_192to256.ms_in22k_ft_in1k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BEiT-3 Base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beit3_base_patch16_224.in22k_ft_in1k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Hiera Base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hiera_base_224.mae_in1k_ft_in1k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SigLIP ViT-B/16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vit_base_patch16_siglip_224.webli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i/>
          <w:iCs/>
          <w:color w:val="3D4C52"/>
          <w:sz w:val="20"/>
          <w:szCs w:val="20"/>
        </w:rPr>
        <w:t xml:space="preserve">SigLIP is included as a negative control, not as a candidate. Language-supervised encoders localise faces but discriminate facial parts poorly — roughly 25 points behind DINOv3 on facial features specifically.</w:t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0E6A70"/>
          <w:sz w:val="30"/>
          <w:szCs w:val="30"/>
        </w:rPr>
        <w:t xml:space="preserve">3.  Hybrid CNN–Transformer</w:t>
      </w:r>
    </w:p>
    <w:p>
      <w:pPr>
        <w:spacing w:after="160" w:before="0" w:line="276"/>
      </w:pPr>
      <w:r>
        <w:rPr>
          <w:rFonts w:ascii="Calibri" w:cs="Calibri" w:eastAsia="Calibri" w:hAnsi="Calibri"/>
          <w:color w:val="3D4C52"/>
          <w:sz w:val="20"/>
          <w:szCs w:val="20"/>
        </w:rPr>
        <w:t xml:space="preserve">These are the control condition for a proposed hybrid architecture, not optional extras. Neither VGG-16 nor Swin is a hybrid, so nothing currently in the benchmark answers the question "why not use an existing hybrid?"</w:t>
      </w:r>
    </w:p>
    <w:tbl>
      <w:tblPr>
        <w:tblW w:type="dxa" w:w="10080"/>
        <w:tblBorders>
          <w:top w:val="single" w:color="D7E0E1" w:sz="4"/>
          <w:left w:val="none" w:color="FFFFFF" w:sz="0"/>
          <w:bottom w:val="single" w:color="D7E0E1" w:sz="4"/>
          <w:right w:val="none" w:color="FFFFFF" w:sz="0"/>
          <w:insideH w:val="single" w:color="D7E0E1" w:sz="2"/>
          <w:insideV w:val="none" w:color="FFFFFF" w:sz="0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MODEL</w:t>
            </w:r>
          </w:p>
        </w:tc>
        <w:tc>
          <w:tcPr>
            <w:tcW w:type="dxa" w:w="648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TIMM IDENTIFIER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CoAtNet-2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coatnet_rmlp_2_rw_224.sw_in12k_ft_in1k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MaxViT-Tiny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maxvit_tiny_tf_224.in1k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MaxViT-Small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maxvit_small_tf_224.in1k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CAFormer-S36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caformer_s36.sail_in22k_ft_in1k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ConvFormer-S36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convformer_s36.sail_in22k_ft_in1k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MobileViT-V2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mobilevitv2_100.cvnets_in1k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EfficientFormer-V2-S2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efficientformerv2_s2.snap_dist_in1k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FastViT-MA36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4C52"/>
                <w:sz w:val="17"/>
                <w:szCs w:val="17"/>
              </w:rPr>
              <w:t xml:space="preserve">fastvit_ma36.apple_dist_in1k</w:t>
            </w:r>
          </w:p>
        </w:tc>
      </w:tr>
    </w:tbl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0E6A70"/>
          <w:sz w:val="30"/>
          <w:szCs w:val="30"/>
        </w:rPr>
        <w:t xml:space="preserve">4.  Expression-specialised models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3D4C52"/>
          <w:sz w:val="20"/>
          <w:szCs w:val="20"/>
        </w:rPr>
        <w:t xml:space="preserve">External checkpoints rather than timm; budget roughly one day of integration each. Worth it because the weights already encode expression rather than generic objects.</w:t>
      </w:r>
    </w:p>
    <w:tbl>
      <w:tblPr>
        <w:tblW w:type="dxa" w:w="10080"/>
        <w:tblBorders>
          <w:top w:val="single" w:color="D7E0E1" w:sz="4"/>
          <w:left w:val="none" w:color="FFFFFF" w:sz="0"/>
          <w:bottom w:val="single" w:color="D7E0E1" w:sz="4"/>
          <w:right w:val="none" w:color="FFFFFF" w:sz="0"/>
          <w:insideH w:val="single" w:color="D7E0E1" w:sz="2"/>
          <w:insideV w:val="none" w:color="FFFFFF" w:sz="0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MODEL</w:t>
            </w:r>
          </w:p>
        </w:tc>
        <w:tc>
          <w:tcPr>
            <w:tcW w:type="dxa" w:w="648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POSTER++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github.com/talented-q/poster_v2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DAN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github.com/yaoing/DAN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APViT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github.com/youqingxiaozhua/APViT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EmoNet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github.com/face-analysis/emonet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ResMaskNet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github.com/phamquiluan/ResidualMaskingNetwork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SwinFace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github.com/lxq1000/SwinFace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LA-Net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github.com/crazy-hbc/LA-Net</w:t>
            </w:r>
          </w:p>
        </w:tc>
      </w:tr>
    </w:tbl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0E6A70"/>
          <w:sz w:val="30"/>
          <w:szCs w:val="30"/>
        </w:rPr>
        <w:t xml:space="preserve">5.  Face-identity and face-SSL encoders</w:t>
      </w:r>
    </w:p>
    <w:tbl>
      <w:tblPr>
        <w:tblW w:type="dxa" w:w="10080"/>
        <w:tblBorders>
          <w:top w:val="single" w:color="D7E0E1" w:sz="4"/>
          <w:left w:val="none" w:color="FFFFFF" w:sz="0"/>
          <w:bottom w:val="single" w:color="D7E0E1" w:sz="4"/>
          <w:right w:val="none" w:color="FFFFFF" w:sz="0"/>
          <w:insideH w:val="single" w:color="D7E0E1" w:sz="2"/>
          <w:insideV w:val="none" w:color="FFFFFF" w:sz="0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MODEL</w:t>
            </w:r>
          </w:p>
        </w:tc>
        <w:tc>
          <w:tcPr>
            <w:tcW w:type="dxa" w:w="648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ArcFace-R100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InsightFace model zoo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FaRL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github.com/FacePerceiver/FaRL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FSFM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arXiv:2412.12032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MARLIN</w:t>
            </w:r>
          </w:p>
        </w:tc>
        <w:tc>
          <w:tcPr>
            <w:tcW w:type="dxa" w:w="6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github.com/ControlNet/MARLIN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i/>
          <w:iCs/>
          <w:color w:val="3D4C52"/>
          <w:sz w:val="20"/>
          <w:szCs w:val="20"/>
        </w:rPr>
        <w:t xml:space="preserve">ArcFace has no expression supervision at all, so it doubles as a leakage probe: if it predicts emotion well on your splits, the likeliest explanation is that identity is still leaking between train and test.</w:t>
      </w:r>
    </w:p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0E6A70"/>
          <w:sz w:val="30"/>
          <w:szCs w:val="30"/>
        </w:rPr>
        <w:t xml:space="preserve">Priority order</w:t>
      </w:r>
    </w:p>
    <w:p>
      <w:pPr>
        <w:spacing w:after="160" w:before="0" w:line="276"/>
      </w:pPr>
      <w:r>
        <w:rPr>
          <w:rFonts w:ascii="Calibri" w:cs="Calibri" w:eastAsia="Calibri" w:hAnsi="Calibri"/>
          <w:color w:val="3D4C52"/>
          <w:sz w:val="20"/>
          <w:szCs w:val="20"/>
        </w:rPr>
        <w:t xml:space="preserve">Ranked by expected payoff per GPU-hour at your data scale (~1,700 development images).</w:t>
      </w:r>
    </w:p>
    <w:tbl>
      <w:tblPr>
        <w:tblW w:type="dxa" w:w="10080"/>
        <w:tblBorders>
          <w:top w:val="single" w:color="D7E0E1" w:sz="4"/>
          <w:left w:val="none" w:color="FFFFFF" w:sz="0"/>
          <w:bottom w:val="single" w:color="D7E0E1" w:sz="4"/>
          <w:right w:val="none" w:color="FFFFFF" w:sz="0"/>
          <w:insideH w:val="single" w:color="D7E0E1" w:sz="2"/>
          <w:insideV w:val="none" w:color="FFFFFF" w:sz="0"/>
        </w:tblBorders>
      </w:tblPr>
      <w:tblGrid>
        <w:gridCol w:w="520"/>
        <w:gridCol w:w="2900"/>
        <w:gridCol w:w="6660"/>
      </w:tblGrid>
      <w:tr>
        <w:trPr>
          <w:tblHeader/>
        </w:trPr>
        <w:tc>
          <w:tcPr>
            <w:tcW w:type="dxa" w:w="52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#</w:t>
            </w:r>
          </w:p>
        </w:tc>
        <w:tc>
          <w:tcPr>
            <w:tcW w:type="dxa" w:w="290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EXPERIMENT</w:t>
            </w:r>
          </w:p>
        </w:tc>
        <w:tc>
          <w:tcPr>
            <w:tcW w:type="dxa" w:w="6660"/>
            <w:shd w:fill="ED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C52"/>
                <w:spacing w:val="12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Expression-domain pretraining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ImageNet → AffectNet → ASD corpus. Larger effect than any architecture swap; request AffectNet access first, approval is slow.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Frozen DINOv3, intermediate depth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Probe blocks at ~60/75/100% of depth, not the final block alone. Correspondence degrades in the last block.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Training regime comparison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Full fine-tune vs LoRA vs multi-depth probe vs linear probe, on the top two backbones.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Hybrid controls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CoAtNet, MaxViT, CAFormer. Required for the hybrid contribution to survive review.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Action-unit + asymmetry baseline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OpenFace or Py-Feat features into gradient boosting. A go/no-go on the hemiface hypothesis before building it.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FER specialists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DAN (AffectNet checkpoint) and POSTER++ first.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1E22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ArcFace leakage probe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D4C52"/>
                <w:sz w:val="19"/>
                <w:szCs w:val="19"/>
              </w:rPr>
              <w:t xml:space="preserve">Under an hour; evidence that the splits are clean.</w:t>
            </w:r>
          </w:p>
        </w:tc>
      </w:tr>
    </w:tbl>
    <w:p>
      <w:pPr>
        <w:pStyle w:val="Heading1"/>
        <w:spacing w:after="140" w:before="360"/>
      </w:pPr>
      <w:r>
        <w:rPr>
          <w:rFonts w:ascii="Calibri Light" w:cs="Calibri Light" w:eastAsia="Calibri Light" w:hAnsi="Calibri Light"/>
          <w:b/>
          <w:bCs/>
          <w:color w:val="0E6A70"/>
          <w:sz w:val="30"/>
          <w:szCs w:val="30"/>
        </w:rPr>
        <w:t xml:space="preserve">Not worth exploring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D4C52"/>
          <w:sz w:val="20"/>
          <w:szCs w:val="20"/>
        </w:rPr>
        <w:t xml:space="preserve">Vision-language models (SmolVLM, PaliGemma, BLIP-2, FaceLLM) — all skew heavily toward happiness with near-zero F1 on negative emotions, which is precisely where your rare classes sit.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D4C52"/>
          <w:sz w:val="20"/>
          <w:szCs w:val="20"/>
        </w:rPr>
        <w:t xml:space="preserve">Larger variants of models already tested (Swin-Large, ViT-Large, ResNet-152) — more capacity against 1,700 images moves the overfitting curve, not the result.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D4C52"/>
          <w:sz w:val="20"/>
          <w:szCs w:val="20"/>
        </w:rPr>
        <w:t xml:space="preserve">A newer generic backbone — the ten already tested sit inside one another’s confidence intervals. This is a data-scale limit, not an architecture gap.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D4C52"/>
          <w:sz w:val="20"/>
          <w:szCs w:val="20"/>
        </w:rPr>
        <w:t xml:space="preserve">Heavy augmentation (MixUp, CutMix) — blending faces destroys the subtle asymmetries that motivate the study.</w:t>
      </w:r>
    </w:p>
    <w:p>
      <w:pPr>
        <w:spacing w:after="120" w:before="200" w:line="276"/>
      </w:pPr>
      <w:r>
        <w:rPr>
          <w:rFonts w:ascii="Calibri" w:cs="Calibri" w:eastAsia="Calibri" w:hAnsi="Calibri"/>
          <w:i/>
          <w:iCs/>
          <w:color w:val="3D4C52"/>
          <w:sz w:val="20"/>
          <w:szCs w:val="20"/>
        </w:rPr>
        <w:t xml:space="preserve">One augmentation to reconsider: horizontal flip is still in the pipeline. It imposes a left–right symmetry prior on a dataset whose premise is that autistic facial expression is less symmetrical. Ablate with and without it, and report the result.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C5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ASD-FER Model Shortlist</dc:title>
  <dc:creator>Md. Ashiqur Rahman</dc:creator>
  <dc:description>Candidate deep learning and transformer models for ASD facial emotion recognition</dc:description>
  <cp:lastModifiedBy>Un-named</cp:lastModifiedBy>
  <cp:revision>1</cp:revision>
  <dcterms:created xsi:type="dcterms:W3CDTF">2026-08-30T18:50:36.532Z</dcterms:created>
  <dcterms:modified xsi:type="dcterms:W3CDTF">2026-08-30T18:50:36.532Z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