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3.png" ContentType="image/png"/>
  <Override PartName="/word/media/rId27.png" ContentType="image/png"/>
  <Override PartName="/word/media/rId31.png" ContentType="image/png"/>
  <Override PartName="/word/media/rId35.png" ContentType="image/png"/>
  <Override PartName="/word/media/rId39.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autism-facial-emotion-recognition"/>
    <w:p>
      <w:pPr>
        <w:pStyle w:val="Heading1"/>
      </w:pPr>
      <w:r>
        <w:t xml:space="preserve">Autism Facial Emotion Recognition:</w:t>
      </w:r>
      <w:r>
        <w:br/>
      </w:r>
    </w:p>
    <w:p>
      <w:pPr>
        <w:pStyle w:val="FirstParagraph"/>
      </w:pPr>
      <w:r>
        <w:t xml:space="preserve">Project Progress &amp; Baseline Comparison</w:t>
      </w:r>
    </w:p>
    <w:bookmarkStart w:id="9" w:name="project-overview"/>
    <w:p>
      <w:pPr>
        <w:pStyle w:val="Heading2"/>
      </w:pPr>
      <w:r>
        <w:t xml:space="preserve">1. Project Overview</w:t>
      </w:r>
    </w:p>
    <w:p>
      <w:pPr>
        <w:pStyle w:val="FirstParagraph"/>
      </w:pPr>
      <w:r>
        <w:t xml:space="preserve">The goal of this research is to develop a deep learning framework to accurately classify six fundamental facial emotions (anger, fear, joy, natural, sadness, surprise) in children with Autism Spectrum Disorder (ASD). Because children with ASD express emotions differently—often with less symmetrical or synchronized facial movements—standard emotion recognition models usually struggle to read their faces.</w:t>
      </w:r>
    </w:p>
    <w:bookmarkEnd w:id="9"/>
    <w:bookmarkStart w:id="15" w:name="dataset"/>
    <w:p>
      <w:pPr>
        <w:pStyle w:val="Heading2"/>
      </w:pPr>
      <w:r>
        <w:t xml:space="preserve">2. Dataset</w:t>
      </w:r>
    </w:p>
    <w:p>
      <w:pPr>
        <w:pStyle w:val="FirstParagraph"/>
      </w:pPr>
      <w:r>
        <w:t xml:space="preserve">Our</w:t>
      </w:r>
      <w:r>
        <w:t xml:space="preserve"> </w:t>
      </w:r>
      <w:r>
        <w:rPr>
          <w:b/>
          <w:bCs/>
        </w:rPr>
        <w:t xml:space="preserve">primary dataset</w:t>
      </w:r>
      <w:r>
        <w:t xml:space="preserve"> </w:t>
      </w:r>
      <w:r>
        <w:t xml:space="preserve">for this research is</w:t>
      </w:r>
      <w:r>
        <w:t xml:space="preserve"> </w:t>
      </w:r>
      <w:hyperlink r:id="rId10">
        <w:r>
          <w:rPr>
            <w:rStyle w:val="Hyperlink"/>
          </w:rPr>
          <w:t xml:space="preserve">Nora Mahmoud’s Mendeley Dataset</w:t>
        </w:r>
      </w:hyperlink>
      <w:r>
        <w:t xml:space="preserve">. However, because ASD facial datasets are inherently small, we strategically merged our primary dataset with three other sources. This aggregation significantly increased the total number of images, allowing our models to learn more robust and generalized ASD-specific facial cues.</w:t>
      </w:r>
    </w:p>
    <w:p>
      <w:pPr>
        <w:pStyle w:val="BodyText"/>
      </w:pPr>
      <w:r>
        <w:t xml:space="preserve">The unified corpus is aggregated from these 4 sources:</w:t>
      </w:r>
    </w:p>
    <w:tbl>
      <w:tblPr>
        <w:tblStyle w:val="Table"/>
        <w:tblW w:type="pct" w:w="5000"/>
        <w:tblLayout w:type="fixed"/>
        <w:tblLook w:firstRow="1" w:lastRow="0" w:firstColumn="0" w:lastColumn="0" w:noHBand="0" w:noVBand="0" w:val="0020"/>
      </w:tblPr>
      <w:tblGrid>
        <w:gridCol w:w="3017"/>
        <w:gridCol w:w="4902"/>
      </w:tblGrid>
      <w:tr>
        <w:trPr>
          <w:tblHeader w:val="on"/>
        </w:trPr>
        <w:tc>
          <w:tcPr/>
          <w:p>
            <w:pPr>
              <w:pStyle w:val="Compact"/>
            </w:pPr>
            <w:r>
              <w:t xml:space="preserve">Source</w:t>
            </w:r>
          </w:p>
        </w:tc>
        <w:tc>
          <w:tcPr/>
          <w:p>
            <w:pPr>
              <w:pStyle w:val="Compact"/>
            </w:pPr>
            <w:r>
              <w:t xml:space="preserve">Description</w:t>
            </w:r>
          </w:p>
        </w:tc>
      </w:tr>
      <w:tr>
        <w:tc>
          <w:tcPr/>
          <w:p>
            <w:pPr>
              <w:pStyle w:val="Compact"/>
            </w:pPr>
            <w:hyperlink r:id="rId10">
              <w:r>
                <w:rPr>
                  <w:rStyle w:val="Hyperlink"/>
                </w:rPr>
                <w:t xml:space="preserve">Nora Mahmoud’s Mendeley Dataset</w:t>
              </w:r>
            </w:hyperlink>
          </w:p>
        </w:tc>
        <w:tc>
          <w:tcPr/>
          <w:p>
            <w:pPr>
              <w:pStyle w:val="Compact"/>
            </w:pPr>
            <w:r>
              <w:rPr>
                <w:b/>
                <w:bCs/>
              </w:rPr>
              <w:t xml:space="preserve">Primary Dataset:</w:t>
            </w:r>
            <w:r>
              <w:t xml:space="preserve"> </w:t>
            </w:r>
            <w:r>
              <w:t xml:space="preserve">6-class facial emotion categories</w:t>
            </w:r>
          </w:p>
        </w:tc>
      </w:tr>
      <w:tr>
        <w:tc>
          <w:tcPr/>
          <w:p>
            <w:pPr>
              <w:pStyle w:val="Compact"/>
            </w:pPr>
            <w:hyperlink r:id="rId11">
              <w:r>
                <w:rPr>
                  <w:rStyle w:val="Hyperlink"/>
                </w:rPr>
                <w:t xml:space="preserve">FERAC Dataset</w:t>
              </w:r>
            </w:hyperlink>
          </w:p>
        </w:tc>
        <w:tc>
          <w:tcPr/>
          <w:p>
            <w:pPr>
              <w:pStyle w:val="Compact"/>
            </w:pPr>
            <w:r>
              <w:t xml:space="preserve">4-class ASD facial expressions</w:t>
            </w:r>
          </w:p>
        </w:tc>
      </w:tr>
      <w:tr>
        <w:tc>
          <w:tcPr/>
          <w:p>
            <w:pPr>
              <w:pStyle w:val="Compact"/>
            </w:pPr>
            <w:hyperlink r:id="rId12">
              <w:r>
                <w:rPr>
                  <w:rStyle w:val="Hyperlink"/>
                </w:rPr>
                <w:t xml:space="preserve">Dr. Fatma M. Talaat (Kaggle)</w:t>
              </w:r>
            </w:hyperlink>
          </w:p>
        </w:tc>
        <w:tc>
          <w:tcPr/>
          <w:p>
            <w:pPr>
              <w:pStyle w:val="Compact"/>
            </w:pPr>
            <w:r>
              <w:t xml:space="preserve">ASD facial emotion data</w:t>
            </w:r>
          </w:p>
        </w:tc>
      </w:tr>
      <w:tr>
        <w:tc>
          <w:tcPr/>
          <w:p>
            <w:pPr>
              <w:pStyle w:val="Compact"/>
            </w:pPr>
            <w:hyperlink r:id="rId13">
              <w:r>
                <w:rPr>
                  <w:rStyle w:val="Hyperlink"/>
                </w:rPr>
                <w:t xml:space="preserve">Hasibur Rahman’s Kaggle Dataset</w:t>
              </w:r>
            </w:hyperlink>
          </w:p>
        </w:tc>
        <w:tc>
          <w:tcPr/>
          <w:p>
            <w:pPr>
              <w:pStyle w:val="Compact"/>
            </w:pPr>
            <w:r>
              <w:t xml:space="preserve">ASD facial expression samples</w:t>
            </w:r>
          </w:p>
        </w:tc>
      </w:tr>
    </w:tbl>
    <w:p>
      <w:pPr>
        <w:pStyle w:val="BodyText"/>
      </w:pPr>
      <w:r>
        <w:rPr>
          <w:b/>
          <w:bCs/>
        </w:rPr>
        <w:t xml:space="preserve">Data Cleaning &amp; Unique Raw Images:</w:t>
      </w:r>
      <w:r>
        <w:t xml:space="preserve"> </w:t>
      </w:r>
      <w:r>
        <w:t xml:space="preserve">We took only the unique, raw images from all the collected datasets and combined them to create a new, clean dataset (</w:t>
      </w:r>
      <w:r>
        <w:rPr>
          <w:rStyle w:val="VerbatimChar"/>
        </w:rPr>
        <w:t xml:space="preserve">dataset_clean/</w:t>
      </w:r>
      <w:r>
        <w:t xml:space="preserve">). You can access our final merged dataset here:</w:t>
      </w:r>
      <w:r>
        <w:t xml:space="preserve"> </w:t>
      </w:r>
      <w:hyperlink r:id="rId14">
        <w:r>
          <w:rPr>
            <w:rStyle w:val="Hyperlink"/>
          </w:rPr>
          <w:t xml:space="preserve">Merged Dataset (Google Drive)</w:t>
        </w:r>
      </w:hyperlink>
      <w:r>
        <w:t xml:space="preserve">.</w:t>
      </w:r>
    </w:p>
    <w:p>
      <w:pPr>
        <w:pStyle w:val="BodyText"/>
      </w:pPr>
      <w:r>
        <w:rPr>
          <w:b/>
          <w:bCs/>
        </w:rPr>
        <w:t xml:space="preserve">Data Splitting:</w:t>
      </w:r>
      <w:r>
        <w:t xml:space="preserve"> </w:t>
      </w:r>
      <w:r>
        <w:t xml:space="preserve">The cleaned images were then unified and stratified into a</w:t>
      </w:r>
      <w:r>
        <w:t xml:space="preserve"> </w:t>
      </w:r>
      <w:r>
        <w:rPr>
          <w:b/>
          <w:bCs/>
        </w:rPr>
        <w:t xml:space="preserve">70/15/15</w:t>
      </w:r>
      <w:r>
        <w:t xml:space="preserve"> </w:t>
      </w:r>
      <w:r>
        <w:t xml:space="preserve">ratio (Train/Validation/Test).</w:t>
      </w:r>
    </w:p>
    <w:p>
      <w:pPr>
        <w:pStyle w:val="BodyText"/>
      </w:pPr>
      <w:r>
        <w:rPr>
          <w:b/>
          <w:bCs/>
        </w:rPr>
        <w:t xml:space="preserve">Final split</w:t>
      </w:r>
      <w:r>
        <w:t xml:space="preserve"> </w:t>
      </w:r>
      <w:r>
        <w:t xml:space="preserve">(</w:t>
      </w:r>
      <w:r>
        <w:rPr>
          <w:rStyle w:val="VerbatimChar"/>
        </w:rPr>
        <w:t xml:space="preserve">dataset/</w:t>
      </w:r>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Split</w:t>
            </w:r>
          </w:p>
        </w:tc>
        <w:tc>
          <w:tcPr/>
          <w:p>
            <w:pPr>
              <w:pStyle w:val="Compact"/>
              <w:jc w:val="right"/>
            </w:pPr>
            <w:r>
              <w:t xml:space="preserve">anger</w:t>
            </w:r>
          </w:p>
        </w:tc>
        <w:tc>
          <w:tcPr/>
          <w:p>
            <w:pPr>
              <w:pStyle w:val="Compact"/>
              <w:jc w:val="right"/>
            </w:pPr>
            <w:r>
              <w:t xml:space="preserve">fear</w:t>
            </w:r>
          </w:p>
        </w:tc>
        <w:tc>
          <w:tcPr/>
          <w:p>
            <w:pPr>
              <w:pStyle w:val="Compact"/>
              <w:jc w:val="right"/>
            </w:pPr>
            <w:r>
              <w:t xml:space="preserve">joy</w:t>
            </w:r>
          </w:p>
        </w:tc>
        <w:tc>
          <w:tcPr/>
          <w:p>
            <w:pPr>
              <w:pStyle w:val="Compact"/>
              <w:jc w:val="right"/>
            </w:pPr>
            <w:r>
              <w:t xml:space="preserve">natural</w:t>
            </w:r>
          </w:p>
        </w:tc>
        <w:tc>
          <w:tcPr/>
          <w:p>
            <w:pPr>
              <w:pStyle w:val="Compact"/>
              <w:jc w:val="right"/>
            </w:pPr>
            <w:r>
              <w:t xml:space="preserve">sadness</w:t>
            </w:r>
          </w:p>
        </w:tc>
        <w:tc>
          <w:tcPr/>
          <w:p>
            <w:pPr>
              <w:pStyle w:val="Compact"/>
              <w:jc w:val="right"/>
            </w:pPr>
            <w:r>
              <w:t xml:space="preserve">surprise</w:t>
            </w:r>
          </w:p>
        </w:tc>
        <w:tc>
          <w:tcPr/>
          <w:p>
            <w:pPr>
              <w:pStyle w:val="Compact"/>
              <w:jc w:val="right"/>
            </w:pPr>
            <w:r>
              <w:t xml:space="preserve">Total</w:t>
            </w:r>
          </w:p>
        </w:tc>
      </w:tr>
      <w:tr>
        <w:tc>
          <w:tcPr/>
          <w:p>
            <w:pPr>
              <w:pStyle w:val="Compact"/>
            </w:pPr>
            <w:r>
              <w:t xml:space="preserve">Train</w:t>
            </w:r>
          </w:p>
        </w:tc>
        <w:tc>
          <w:tcPr/>
          <w:p>
            <w:pPr>
              <w:pStyle w:val="Compact"/>
              <w:jc w:val="right"/>
            </w:pPr>
            <w:r>
              <w:t xml:space="preserve">147</w:t>
            </w:r>
          </w:p>
        </w:tc>
        <w:tc>
          <w:tcPr/>
          <w:p>
            <w:pPr>
              <w:pStyle w:val="Compact"/>
              <w:jc w:val="right"/>
            </w:pPr>
            <w:r>
              <w:t xml:space="preserve">60</w:t>
            </w:r>
          </w:p>
        </w:tc>
        <w:tc>
          <w:tcPr/>
          <w:p>
            <w:pPr>
              <w:pStyle w:val="Compact"/>
              <w:jc w:val="right"/>
            </w:pPr>
            <w:r>
              <w:t xml:space="preserve">602</w:t>
            </w:r>
          </w:p>
        </w:tc>
        <w:tc>
          <w:tcPr/>
          <w:p>
            <w:pPr>
              <w:pStyle w:val="Compact"/>
              <w:jc w:val="right"/>
            </w:pPr>
            <w:r>
              <w:t xml:space="preserve">161</w:t>
            </w:r>
          </w:p>
        </w:tc>
        <w:tc>
          <w:tcPr/>
          <w:p>
            <w:pPr>
              <w:pStyle w:val="Compact"/>
              <w:jc w:val="right"/>
            </w:pPr>
            <w:r>
              <w:t xml:space="preserve">321</w:t>
            </w:r>
          </w:p>
        </w:tc>
        <w:tc>
          <w:tcPr/>
          <w:p>
            <w:pPr>
              <w:pStyle w:val="Compact"/>
              <w:jc w:val="right"/>
            </w:pPr>
            <w:r>
              <w:t xml:space="preserve">109</w:t>
            </w:r>
          </w:p>
        </w:tc>
        <w:tc>
          <w:tcPr/>
          <w:p>
            <w:pPr>
              <w:pStyle w:val="Compact"/>
              <w:jc w:val="right"/>
            </w:pPr>
            <w:r>
              <w:rPr>
                <w:b/>
                <w:bCs/>
              </w:rPr>
              <w:t xml:space="preserve">1,400</w:t>
            </w:r>
          </w:p>
        </w:tc>
      </w:tr>
      <w:tr>
        <w:tc>
          <w:tcPr/>
          <w:p>
            <w:pPr>
              <w:pStyle w:val="Compact"/>
            </w:pPr>
            <w:r>
              <w:t xml:space="preserve">Valid</w:t>
            </w:r>
          </w:p>
        </w:tc>
        <w:tc>
          <w:tcPr/>
          <w:p>
            <w:pPr>
              <w:pStyle w:val="Compact"/>
              <w:jc w:val="right"/>
            </w:pPr>
            <w:r>
              <w:t xml:space="preserve">31</w:t>
            </w:r>
          </w:p>
        </w:tc>
        <w:tc>
          <w:tcPr/>
          <w:p>
            <w:pPr>
              <w:pStyle w:val="Compact"/>
              <w:jc w:val="right"/>
            </w:pPr>
            <w:r>
              <w:t xml:space="preserve">13</w:t>
            </w:r>
          </w:p>
        </w:tc>
        <w:tc>
          <w:tcPr/>
          <w:p>
            <w:pPr>
              <w:pStyle w:val="Compact"/>
              <w:jc w:val="right"/>
            </w:pPr>
            <w:r>
              <w:t xml:space="preserve">129</w:t>
            </w:r>
          </w:p>
        </w:tc>
        <w:tc>
          <w:tcPr/>
          <w:p>
            <w:pPr>
              <w:pStyle w:val="Compact"/>
              <w:jc w:val="right"/>
            </w:pPr>
            <w:r>
              <w:t xml:space="preserve">34</w:t>
            </w:r>
          </w:p>
        </w:tc>
        <w:tc>
          <w:tcPr/>
          <w:p>
            <w:pPr>
              <w:pStyle w:val="Compact"/>
              <w:jc w:val="right"/>
            </w:pPr>
            <w:r>
              <w:t xml:space="preserve">69</w:t>
            </w:r>
          </w:p>
        </w:tc>
        <w:tc>
          <w:tcPr/>
          <w:p>
            <w:pPr>
              <w:pStyle w:val="Compact"/>
              <w:jc w:val="right"/>
            </w:pPr>
            <w:r>
              <w:t xml:space="preserve">23</w:t>
            </w:r>
          </w:p>
        </w:tc>
        <w:tc>
          <w:tcPr/>
          <w:p>
            <w:pPr>
              <w:pStyle w:val="Compact"/>
              <w:jc w:val="right"/>
            </w:pPr>
            <w:r>
              <w:rPr>
                <w:b/>
                <w:bCs/>
              </w:rPr>
              <w:t xml:space="preserve">299</w:t>
            </w:r>
          </w:p>
        </w:tc>
      </w:tr>
      <w:tr>
        <w:tc>
          <w:tcPr/>
          <w:p>
            <w:pPr>
              <w:pStyle w:val="Compact"/>
            </w:pPr>
            <w:r>
              <w:t xml:space="preserve">Test</w:t>
            </w:r>
          </w:p>
        </w:tc>
        <w:tc>
          <w:tcPr/>
          <w:p>
            <w:pPr>
              <w:pStyle w:val="Compact"/>
              <w:jc w:val="right"/>
            </w:pPr>
            <w:r>
              <w:t xml:space="preserve">32</w:t>
            </w:r>
          </w:p>
        </w:tc>
        <w:tc>
          <w:tcPr/>
          <w:p>
            <w:pPr>
              <w:pStyle w:val="Compact"/>
              <w:jc w:val="right"/>
            </w:pPr>
            <w:r>
              <w:t xml:space="preserve">14</w:t>
            </w:r>
          </w:p>
        </w:tc>
        <w:tc>
          <w:tcPr/>
          <w:p>
            <w:pPr>
              <w:pStyle w:val="Compact"/>
              <w:jc w:val="right"/>
            </w:pPr>
            <w:r>
              <w:t xml:space="preserve">130</w:t>
            </w:r>
          </w:p>
        </w:tc>
        <w:tc>
          <w:tcPr/>
          <w:p>
            <w:pPr>
              <w:pStyle w:val="Compact"/>
              <w:jc w:val="right"/>
            </w:pPr>
            <w:r>
              <w:t xml:space="preserve">35</w:t>
            </w:r>
          </w:p>
        </w:tc>
        <w:tc>
          <w:tcPr/>
          <w:p>
            <w:pPr>
              <w:pStyle w:val="Compact"/>
              <w:jc w:val="right"/>
            </w:pPr>
            <w:r>
              <w:t xml:space="preserve">69</w:t>
            </w:r>
          </w:p>
        </w:tc>
        <w:tc>
          <w:tcPr/>
          <w:p>
            <w:pPr>
              <w:pStyle w:val="Compact"/>
              <w:jc w:val="right"/>
            </w:pPr>
            <w:r>
              <w:t xml:space="preserve">24</w:t>
            </w:r>
          </w:p>
        </w:tc>
        <w:tc>
          <w:tcPr/>
          <w:p>
            <w:pPr>
              <w:pStyle w:val="Compact"/>
              <w:jc w:val="right"/>
            </w:pPr>
            <w:r>
              <w:rPr>
                <w:b/>
                <w:bCs/>
              </w:rPr>
              <w:t xml:space="preserve">304</w:t>
            </w:r>
          </w:p>
        </w:tc>
      </w:tr>
    </w:tbl>
    <w:p>
      <w:pPr>
        <w:pStyle w:val="BlockText"/>
      </w:pPr>
      <w:r>
        <w:rPr>
          <w:b/>
          <w:bCs/>
        </w:rPr>
        <w:t xml:space="preserve">Class imbalance:</w:t>
      </w:r>
      <w:r>
        <w:t xml:space="preserve"> </w:t>
      </w:r>
      <w:r>
        <w:t xml:space="preserve">joy (602) vs fear (60) = 10:1 ratio. Mitigated via</w:t>
      </w:r>
      <w:r>
        <w:t xml:space="preserve"> </w:t>
      </w:r>
      <w:r>
        <w:rPr>
          <w:rStyle w:val="VerbatimChar"/>
        </w:rPr>
        <w:t xml:space="preserve">WeightedRandomSampler</w:t>
      </w:r>
      <w:r>
        <w:t xml:space="preserve"> </w:t>
      </w:r>
      <w:r>
        <w:t xml:space="preserve">(loss is unweighted to avoid double-weighting).</w:t>
      </w:r>
    </w:p>
    <w:bookmarkEnd w:id="15"/>
    <w:bookmarkStart w:id="17" w:name="baseline-model-comparison"/>
    <w:p>
      <w:pPr>
        <w:pStyle w:val="Heading2"/>
      </w:pPr>
      <w:r>
        <w:t xml:space="preserve">3. Baseline Model Comparison</w:t>
      </w:r>
    </w:p>
    <w:p>
      <w:pPr>
        <w:pStyle w:val="FirstParagraph"/>
      </w:pPr>
      <w:r>
        <w:t xml:space="preserve">We evaluated 10 standard baseline models on the unaugmented raw dataset using a Stratified 5-Fold Cross-Validation approach to establish our benchmark.</w:t>
      </w:r>
    </w:p>
    <w:bookmarkStart w:id="16" w:name="summary-table"/>
    <w:p>
      <w:pPr>
        <w:pStyle w:val="Heading3"/>
      </w:pPr>
      <w:r>
        <w:t xml:space="preserve">Summary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Accuracy</w:t>
            </w:r>
          </w:p>
        </w:tc>
        <w:tc>
          <w:tcPr/>
          <w:p>
            <w:pPr>
              <w:pStyle w:val="Compact"/>
            </w:pPr>
            <w:r>
              <w:t xml:space="preserve">F1-Macro</w:t>
            </w:r>
          </w:p>
        </w:tc>
        <w:tc>
          <w:tcPr/>
          <w:p>
            <w:pPr>
              <w:pStyle w:val="Compact"/>
            </w:pPr>
            <w:r>
              <w:t xml:space="preserve">Precision</w:t>
            </w:r>
          </w:p>
        </w:tc>
        <w:tc>
          <w:tcPr/>
          <w:p>
            <w:pPr>
              <w:pStyle w:val="Compact"/>
            </w:pPr>
            <w:r>
              <w:t xml:space="preserve">Recall</w:t>
            </w:r>
          </w:p>
        </w:tc>
      </w:tr>
      <w:tr>
        <w:tc>
          <w:tcPr/>
          <w:p>
            <w:pPr>
              <w:pStyle w:val="Compact"/>
            </w:pPr>
            <w:r>
              <w:rPr>
                <w:b/>
                <w:bCs/>
              </w:rPr>
              <w:t xml:space="preserve">VGG-16</w:t>
            </w:r>
          </w:p>
        </w:tc>
        <w:tc>
          <w:tcPr/>
          <w:p>
            <w:pPr>
              <w:pStyle w:val="Compact"/>
            </w:pPr>
            <w:r>
              <w:rPr>
                <w:b/>
                <w:bCs/>
              </w:rPr>
              <w:t xml:space="preserve">0.7201</w:t>
            </w:r>
          </w:p>
        </w:tc>
        <w:tc>
          <w:tcPr/>
          <w:p>
            <w:pPr>
              <w:pStyle w:val="Compact"/>
            </w:pPr>
            <w:r>
              <w:rPr>
                <w:b/>
                <w:bCs/>
              </w:rPr>
              <w:t xml:space="preserve">0.6217</w:t>
            </w:r>
          </w:p>
        </w:tc>
        <w:tc>
          <w:tcPr/>
          <w:p>
            <w:pPr>
              <w:pStyle w:val="Compact"/>
            </w:pPr>
            <w:r>
              <w:rPr>
                <w:b/>
                <w:bCs/>
              </w:rPr>
              <w:t xml:space="preserve">0.6098</w:t>
            </w:r>
          </w:p>
        </w:tc>
        <w:tc>
          <w:tcPr/>
          <w:p>
            <w:pPr>
              <w:pStyle w:val="Compact"/>
            </w:pPr>
            <w:r>
              <w:rPr>
                <w:b/>
                <w:bCs/>
              </w:rPr>
              <w:t xml:space="preserve">0.6725</w:t>
            </w:r>
          </w:p>
        </w:tc>
      </w:tr>
      <w:tr>
        <w:tc>
          <w:tcPr/>
          <w:p>
            <w:pPr>
              <w:pStyle w:val="Compact"/>
            </w:pPr>
            <w:r>
              <w:rPr>
                <w:b/>
                <w:bCs/>
              </w:rPr>
              <w:t xml:space="preserve">Swin Base</w:t>
            </w:r>
          </w:p>
        </w:tc>
        <w:tc>
          <w:tcPr/>
          <w:p>
            <w:pPr>
              <w:pStyle w:val="Compact"/>
            </w:pPr>
            <w:r>
              <w:t xml:space="preserve">0.7201</w:t>
            </w:r>
          </w:p>
        </w:tc>
        <w:tc>
          <w:tcPr/>
          <w:p>
            <w:pPr>
              <w:pStyle w:val="Compact"/>
            </w:pPr>
            <w:r>
              <w:t xml:space="preserve">0.6100</w:t>
            </w:r>
          </w:p>
        </w:tc>
        <w:tc>
          <w:tcPr/>
          <w:p>
            <w:pPr>
              <w:pStyle w:val="Compact"/>
            </w:pPr>
            <w:r>
              <w:t xml:space="preserve">0.5961</w:t>
            </w:r>
          </w:p>
        </w:tc>
        <w:tc>
          <w:tcPr/>
          <w:p>
            <w:pPr>
              <w:pStyle w:val="Compact"/>
            </w:pPr>
            <w:r>
              <w:t xml:space="preserve">0.6485</w:t>
            </w:r>
          </w:p>
        </w:tc>
      </w:tr>
      <w:tr>
        <w:tc>
          <w:tcPr/>
          <w:p>
            <w:pPr>
              <w:pStyle w:val="Compact"/>
            </w:pPr>
            <w:r>
              <w:rPr>
                <w:b/>
                <w:bCs/>
              </w:rPr>
              <w:t xml:space="preserve">Inception V3</w:t>
            </w:r>
          </w:p>
        </w:tc>
        <w:tc>
          <w:tcPr/>
          <w:p>
            <w:pPr>
              <w:pStyle w:val="Compact"/>
            </w:pPr>
            <w:r>
              <w:t xml:space="preserve">0.7196</w:t>
            </w:r>
          </w:p>
        </w:tc>
        <w:tc>
          <w:tcPr/>
          <w:p>
            <w:pPr>
              <w:pStyle w:val="Compact"/>
            </w:pPr>
            <w:r>
              <w:t xml:space="preserve">0.6067</w:t>
            </w:r>
          </w:p>
        </w:tc>
        <w:tc>
          <w:tcPr/>
          <w:p>
            <w:pPr>
              <w:pStyle w:val="Compact"/>
            </w:pPr>
            <w:r>
              <w:t xml:space="preserve">0.6030</w:t>
            </w:r>
          </w:p>
        </w:tc>
        <w:tc>
          <w:tcPr/>
          <w:p>
            <w:pPr>
              <w:pStyle w:val="Compact"/>
            </w:pPr>
            <w:r>
              <w:t xml:space="preserve">0.6363</w:t>
            </w:r>
          </w:p>
        </w:tc>
      </w:tr>
      <w:tr>
        <w:tc>
          <w:tcPr/>
          <w:p>
            <w:pPr>
              <w:pStyle w:val="Compact"/>
            </w:pPr>
            <w:r>
              <w:rPr>
                <w:b/>
                <w:bCs/>
              </w:rPr>
              <w:t xml:space="preserve">DeiT Small</w:t>
            </w:r>
          </w:p>
        </w:tc>
        <w:tc>
          <w:tcPr/>
          <w:p>
            <w:pPr>
              <w:pStyle w:val="Compact"/>
            </w:pPr>
            <w:r>
              <w:t xml:space="preserve">0.7113</w:t>
            </w:r>
          </w:p>
        </w:tc>
        <w:tc>
          <w:tcPr/>
          <w:p>
            <w:pPr>
              <w:pStyle w:val="Compact"/>
            </w:pPr>
            <w:r>
              <w:t xml:space="preserve">0.6026</w:t>
            </w:r>
          </w:p>
        </w:tc>
        <w:tc>
          <w:tcPr/>
          <w:p>
            <w:pPr>
              <w:pStyle w:val="Compact"/>
            </w:pPr>
            <w:r>
              <w:t xml:space="preserve">0.5895</w:t>
            </w:r>
          </w:p>
        </w:tc>
        <w:tc>
          <w:tcPr/>
          <w:p>
            <w:pPr>
              <w:pStyle w:val="Compact"/>
            </w:pPr>
            <w:r>
              <w:t xml:space="preserve">0.6417</w:t>
            </w:r>
          </w:p>
        </w:tc>
      </w:tr>
      <w:tr>
        <w:tc>
          <w:tcPr/>
          <w:p>
            <w:pPr>
              <w:pStyle w:val="Compact"/>
            </w:pPr>
            <w:r>
              <w:rPr>
                <w:b/>
                <w:bCs/>
              </w:rPr>
              <w:t xml:space="preserve">DenseNet-121</w:t>
            </w:r>
          </w:p>
        </w:tc>
        <w:tc>
          <w:tcPr/>
          <w:p>
            <w:pPr>
              <w:pStyle w:val="Compact"/>
            </w:pPr>
            <w:r>
              <w:t xml:space="preserve">0.7113</w:t>
            </w:r>
          </w:p>
        </w:tc>
        <w:tc>
          <w:tcPr/>
          <w:p>
            <w:pPr>
              <w:pStyle w:val="Compact"/>
            </w:pPr>
            <w:r>
              <w:t xml:space="preserve">0.6001</w:t>
            </w:r>
          </w:p>
        </w:tc>
        <w:tc>
          <w:tcPr/>
          <w:p>
            <w:pPr>
              <w:pStyle w:val="Compact"/>
            </w:pPr>
            <w:r>
              <w:t xml:space="preserve">0.5894</w:t>
            </w:r>
          </w:p>
        </w:tc>
        <w:tc>
          <w:tcPr/>
          <w:p>
            <w:pPr>
              <w:pStyle w:val="Compact"/>
            </w:pPr>
            <w:r>
              <w:t xml:space="preserve">0.6298</w:t>
            </w:r>
          </w:p>
        </w:tc>
      </w:tr>
      <w:tr>
        <w:tc>
          <w:tcPr/>
          <w:p>
            <w:pPr>
              <w:pStyle w:val="Compact"/>
            </w:pPr>
            <w:r>
              <w:rPr>
                <w:b/>
                <w:bCs/>
              </w:rPr>
              <w:t xml:space="preserve">ViT Base</w:t>
            </w:r>
          </w:p>
        </w:tc>
        <w:tc>
          <w:tcPr/>
          <w:p>
            <w:pPr>
              <w:pStyle w:val="Compact"/>
            </w:pPr>
            <w:r>
              <w:t xml:space="preserve">0.7102</w:t>
            </w:r>
          </w:p>
        </w:tc>
        <w:tc>
          <w:tcPr/>
          <w:p>
            <w:pPr>
              <w:pStyle w:val="Compact"/>
            </w:pPr>
            <w:r>
              <w:t xml:space="preserve">0.5984</w:t>
            </w:r>
          </w:p>
        </w:tc>
        <w:tc>
          <w:tcPr/>
          <w:p>
            <w:pPr>
              <w:pStyle w:val="Compact"/>
            </w:pPr>
            <w:r>
              <w:t xml:space="preserve">0.5880</w:t>
            </w:r>
          </w:p>
        </w:tc>
        <w:tc>
          <w:tcPr/>
          <w:p>
            <w:pPr>
              <w:pStyle w:val="Compact"/>
            </w:pPr>
            <w:r>
              <w:t xml:space="preserve">0.6339</w:t>
            </w:r>
          </w:p>
        </w:tc>
      </w:tr>
      <w:tr>
        <w:tc>
          <w:tcPr/>
          <w:p>
            <w:pPr>
              <w:pStyle w:val="Compact"/>
            </w:pPr>
            <w:r>
              <w:rPr>
                <w:b/>
                <w:bCs/>
              </w:rPr>
              <w:t xml:space="preserve">Swin Tiny</w:t>
            </w:r>
          </w:p>
        </w:tc>
        <w:tc>
          <w:tcPr/>
          <w:p>
            <w:pPr>
              <w:pStyle w:val="Compact"/>
            </w:pPr>
            <w:r>
              <w:t xml:space="preserve">0.7030</w:t>
            </w:r>
          </w:p>
        </w:tc>
        <w:tc>
          <w:tcPr/>
          <w:p>
            <w:pPr>
              <w:pStyle w:val="Compact"/>
            </w:pPr>
            <w:r>
              <w:t xml:space="preserve">0.5972</w:t>
            </w:r>
          </w:p>
        </w:tc>
        <w:tc>
          <w:tcPr/>
          <w:p>
            <w:pPr>
              <w:pStyle w:val="Compact"/>
            </w:pPr>
            <w:r>
              <w:t xml:space="preserve">0.5827</w:t>
            </w:r>
          </w:p>
        </w:tc>
        <w:tc>
          <w:tcPr/>
          <w:p>
            <w:pPr>
              <w:pStyle w:val="Compact"/>
            </w:pPr>
            <w:r>
              <w:t xml:space="preserve">0.6381</w:t>
            </w:r>
          </w:p>
        </w:tc>
      </w:tr>
      <w:tr>
        <w:tc>
          <w:tcPr/>
          <w:p>
            <w:pPr>
              <w:pStyle w:val="Compact"/>
            </w:pPr>
            <w:r>
              <w:rPr>
                <w:b/>
                <w:bCs/>
              </w:rPr>
              <w:t xml:space="preserve">EfficientNet-B0</w:t>
            </w:r>
          </w:p>
        </w:tc>
        <w:tc>
          <w:tcPr/>
          <w:p>
            <w:pPr>
              <w:pStyle w:val="Compact"/>
            </w:pPr>
            <w:r>
              <w:t xml:space="preserve">0.6980</w:t>
            </w:r>
          </w:p>
        </w:tc>
        <w:tc>
          <w:tcPr/>
          <w:p>
            <w:pPr>
              <w:pStyle w:val="Compact"/>
            </w:pPr>
            <w:r>
              <w:t xml:space="preserve">0.5871</w:t>
            </w:r>
          </w:p>
        </w:tc>
        <w:tc>
          <w:tcPr/>
          <w:p>
            <w:pPr>
              <w:pStyle w:val="Compact"/>
            </w:pPr>
            <w:r>
              <w:t xml:space="preserve">0.5813</w:t>
            </w:r>
          </w:p>
        </w:tc>
        <w:tc>
          <w:tcPr/>
          <w:p>
            <w:pPr>
              <w:pStyle w:val="Compact"/>
            </w:pPr>
            <w:r>
              <w:t xml:space="preserve">0.6167</w:t>
            </w:r>
          </w:p>
        </w:tc>
      </w:tr>
      <w:tr>
        <w:tc>
          <w:tcPr/>
          <w:p>
            <w:pPr>
              <w:pStyle w:val="Compact"/>
            </w:pPr>
            <w:r>
              <w:rPr>
                <w:b/>
                <w:bCs/>
              </w:rPr>
              <w:t xml:space="preserve">MobileNetV2</w:t>
            </w:r>
          </w:p>
        </w:tc>
        <w:tc>
          <w:tcPr/>
          <w:p>
            <w:pPr>
              <w:pStyle w:val="Compact"/>
            </w:pPr>
            <w:r>
              <w:t xml:space="preserve">0.6858</w:t>
            </w:r>
          </w:p>
        </w:tc>
        <w:tc>
          <w:tcPr/>
          <w:p>
            <w:pPr>
              <w:pStyle w:val="Compact"/>
            </w:pPr>
            <w:r>
              <w:t xml:space="preserve">0.5790</w:t>
            </w:r>
          </w:p>
        </w:tc>
        <w:tc>
          <w:tcPr/>
          <w:p>
            <w:pPr>
              <w:pStyle w:val="Compact"/>
            </w:pPr>
            <w:r>
              <w:t xml:space="preserve">0.5687</w:t>
            </w:r>
          </w:p>
        </w:tc>
        <w:tc>
          <w:tcPr/>
          <w:p>
            <w:pPr>
              <w:pStyle w:val="Compact"/>
            </w:pPr>
            <w:r>
              <w:t xml:space="preserve">0.6174</w:t>
            </w:r>
          </w:p>
        </w:tc>
      </w:tr>
      <w:tr>
        <w:tc>
          <w:tcPr/>
          <w:p>
            <w:pPr>
              <w:pStyle w:val="Compact"/>
            </w:pPr>
            <w:r>
              <w:rPr>
                <w:b/>
                <w:bCs/>
              </w:rPr>
              <w:t xml:space="preserve">ResNet-50</w:t>
            </w:r>
          </w:p>
        </w:tc>
        <w:tc>
          <w:tcPr/>
          <w:p>
            <w:pPr>
              <w:pStyle w:val="Compact"/>
            </w:pPr>
            <w:r>
              <w:t xml:space="preserve">0.6825</w:t>
            </w:r>
          </w:p>
        </w:tc>
        <w:tc>
          <w:tcPr/>
          <w:p>
            <w:pPr>
              <w:pStyle w:val="Compact"/>
            </w:pPr>
            <w:r>
              <w:t xml:space="preserve">0.5762</w:t>
            </w:r>
          </w:p>
        </w:tc>
        <w:tc>
          <w:tcPr/>
          <w:p>
            <w:pPr>
              <w:pStyle w:val="Compact"/>
            </w:pPr>
            <w:r>
              <w:t xml:space="preserve">0.5652</w:t>
            </w:r>
          </w:p>
        </w:tc>
        <w:tc>
          <w:tcPr/>
          <w:p>
            <w:pPr>
              <w:pStyle w:val="Compact"/>
            </w:pPr>
            <w:r>
              <w:t xml:space="preserve">0.6150</w:t>
            </w:r>
          </w:p>
        </w:tc>
      </w:tr>
    </w:tbl>
    <w:p>
      <w:r>
        <w:pict>
          <v:rect style="width:0;height:1.5pt" o:hralign="center" o:hrstd="t" o:hr="t"/>
        </w:pict>
      </w:r>
    </w:p>
    <w:bookmarkEnd w:id="16"/>
    <w:bookmarkEnd w:id="17"/>
    <w:bookmarkStart w:id="22" w:name="key-charts-and-takeaways"/>
    <w:p>
      <w:pPr>
        <w:pStyle w:val="Heading2"/>
      </w:pPr>
      <w:r>
        <w:t xml:space="preserve">4. Key Charts and Takeaways</w:t>
      </w:r>
    </w:p>
    <w:bookmarkStart w:id="21" w:name="overall-performance"/>
    <w:p>
      <w:pPr>
        <w:pStyle w:val="Heading3"/>
      </w:pPr>
      <w:r>
        <w:t xml:space="preserve">1. Overall Performance</w:t>
      </w:r>
    </w:p>
    <w:p>
      <w:pPr>
        <w:pStyle w:val="CaptionedFigure"/>
      </w:pPr>
      <w:r>
        <w:drawing>
          <wp:inline>
            <wp:extent cx="4286250" cy="2143125"/>
            <wp:effectExtent b="0" l="0" r="0" t="0"/>
            <wp:docPr descr="Grouped Bar Metrics" title="" id="19" name="Picture"/>
            <a:graphic>
              <a:graphicData uri="http://schemas.openxmlformats.org/drawingml/2006/picture">
                <pic:pic>
                  <pic:nvPicPr>
                    <pic:cNvPr descr="results/results/paper_figures/1_cv_grouped_bar_metrics.png" id="20" name="Picture"/>
                    <pic:cNvPicPr>
                      <a:picLocks noChangeArrowheads="1" noChangeAspect="1"/>
                    </pic:cNvPicPr>
                  </pic:nvPicPr>
                  <pic:blipFill>
                    <a:blip r:embed="rId18"/>
                    <a:stretch>
                      <a:fillRect/>
                    </a:stretch>
                  </pic:blipFill>
                  <pic:spPr bwMode="auto">
                    <a:xfrm>
                      <a:off x="0" y="0"/>
                      <a:ext cx="4286250" cy="2143125"/>
                    </a:xfrm>
                    <a:prstGeom prst="rect">
                      <a:avLst/>
                    </a:prstGeom>
                    <a:noFill/>
                    <a:ln w="9525">
                      <a:noFill/>
                      <a:headEnd/>
                      <a:tailEnd/>
                    </a:ln>
                  </pic:spPr>
                </pic:pic>
              </a:graphicData>
            </a:graphic>
          </wp:inline>
        </w:drawing>
      </w:r>
    </w:p>
    <w:p>
      <w:pPr>
        <w:pStyle w:val="ImageCaption"/>
      </w:pPr>
      <w:r>
        <w:t xml:space="preserve">Grouped Bar Metrics</w:t>
      </w:r>
    </w:p>
    <w:p>
      <w:pPr>
        <w:pStyle w:val="BodyText"/>
      </w:pPr>
      <w:r>
        <w:rPr>
          <w:b/>
          <w:bCs/>
        </w:rPr>
        <w:t xml:space="preserve">Takeaway:</w:t>
      </w:r>
      <w:r>
        <w:t xml:space="preserve"> </w:t>
      </w:r>
      <w:r>
        <w:t xml:space="preserve">VGG-16 and Swin Base achieved the highest overall performance across the evaluated metrics, making them the strongest standard architectures.</w:t>
      </w:r>
    </w:p>
    <w:bookmarkEnd w:id="21"/>
    <w:bookmarkEnd w:id="22"/>
    <w:bookmarkStart w:id="26" w:name="balancing-rare-emotions"/>
    <w:p>
      <w:pPr>
        <w:pStyle w:val="Heading3"/>
      </w:pPr>
      <w:r>
        <w:t xml:space="preserve">2. Balancing Rare Emotions</w:t>
      </w:r>
    </w:p>
    <w:p>
      <w:pPr>
        <w:pStyle w:val="CaptionedFigure"/>
      </w:pPr>
      <w:r>
        <w:drawing>
          <wp:inline>
            <wp:extent cx="4286250" cy="2143125"/>
            <wp:effectExtent b="0" l="0" r="0" t="0"/>
            <wp:docPr descr="F1 Comparison" title="" id="24" name="Picture"/>
            <a:graphic>
              <a:graphicData uri="http://schemas.openxmlformats.org/drawingml/2006/picture">
                <pic:pic>
                  <pic:nvPicPr>
                    <pic:cNvPr descr="results/results/paper_figures/2_cv_f1_comparison.png" id="25" name="Picture"/>
                    <pic:cNvPicPr>
                      <a:picLocks noChangeArrowheads="1" noChangeAspect="1"/>
                    </pic:cNvPicPr>
                  </pic:nvPicPr>
                  <pic:blipFill>
                    <a:blip r:embed="rId23"/>
                    <a:stretch>
                      <a:fillRect/>
                    </a:stretch>
                  </pic:blipFill>
                  <pic:spPr bwMode="auto">
                    <a:xfrm>
                      <a:off x="0" y="0"/>
                      <a:ext cx="4286250" cy="2143125"/>
                    </a:xfrm>
                    <a:prstGeom prst="rect">
                      <a:avLst/>
                    </a:prstGeom>
                    <a:noFill/>
                    <a:ln w="9525">
                      <a:noFill/>
                      <a:headEnd/>
                      <a:tailEnd/>
                    </a:ln>
                  </pic:spPr>
                </pic:pic>
              </a:graphicData>
            </a:graphic>
          </wp:inline>
        </w:drawing>
      </w:r>
    </w:p>
    <w:p>
      <w:pPr>
        <w:pStyle w:val="ImageCaption"/>
      </w:pPr>
      <w:r>
        <w:t xml:space="preserve">F1 Comparison</w:t>
      </w:r>
    </w:p>
    <w:p>
      <w:pPr>
        <w:pStyle w:val="BodyText"/>
      </w:pPr>
      <w:r>
        <w:rPr>
          <w:b/>
          <w:bCs/>
        </w:rPr>
        <w:t xml:space="preserve">Takeaway:</w:t>
      </w:r>
      <w:r>
        <w:t xml:space="preserve"> </w:t>
      </w:r>
      <w:r>
        <w:t xml:space="preserve">The Macro-F1 score indicates how effectively a model manages class imbalance rather than defaulting to majority classes. CNNs currently set the benchmark for maintaining precision on minority classes.</w:t>
      </w:r>
    </w:p>
    <w:bookmarkEnd w:id="26"/>
    <w:bookmarkStart w:id="30" w:name="roc-curve-top-models"/>
    <w:p>
      <w:pPr>
        <w:pStyle w:val="Heading3"/>
      </w:pPr>
      <w:r>
        <w:t xml:space="preserve">3. ROC Curve (Top Models)</w:t>
      </w:r>
    </w:p>
    <w:p>
      <w:pPr>
        <w:pStyle w:val="CaptionedFigure"/>
      </w:pPr>
      <w:r>
        <w:drawing>
          <wp:inline>
            <wp:extent cx="4286250" cy="3429000"/>
            <wp:effectExtent b="0" l="0" r="0" t="0"/>
            <wp:docPr descr="ROC Curve" title="" id="28" name="Picture"/>
            <a:graphic>
              <a:graphicData uri="http://schemas.openxmlformats.org/drawingml/2006/picture">
                <pic:pic>
                  <pic:nvPicPr>
                    <pic:cNvPr descr="results/results/paper_figures/3_roc_curve.png" id="29" name="Picture"/>
                    <pic:cNvPicPr>
                      <a:picLocks noChangeArrowheads="1" noChangeAspect="1"/>
                    </pic:cNvPicPr>
                  </pic:nvPicPr>
                  <pic:blipFill>
                    <a:blip r:embed="rId27"/>
                    <a:stretch>
                      <a:fillRect/>
                    </a:stretch>
                  </pic:blipFill>
                  <pic:spPr bwMode="auto">
                    <a:xfrm>
                      <a:off x="0" y="0"/>
                      <a:ext cx="4286250" cy="3429000"/>
                    </a:xfrm>
                    <a:prstGeom prst="rect">
                      <a:avLst/>
                    </a:prstGeom>
                    <a:noFill/>
                    <a:ln w="9525">
                      <a:noFill/>
                      <a:headEnd/>
                      <a:tailEnd/>
                    </a:ln>
                  </pic:spPr>
                </pic:pic>
              </a:graphicData>
            </a:graphic>
          </wp:inline>
        </w:drawing>
      </w:r>
    </w:p>
    <w:p>
      <w:pPr>
        <w:pStyle w:val="ImageCaption"/>
      </w:pPr>
      <w:r>
        <w:t xml:space="preserve">ROC Curve</w:t>
      </w:r>
    </w:p>
    <w:p>
      <w:pPr>
        <w:pStyle w:val="BodyText"/>
      </w:pPr>
      <w:r>
        <w:rPr>
          <w:b/>
          <w:bCs/>
        </w:rPr>
        <w:t xml:space="preserve">Takeaway:</w:t>
      </w:r>
      <w:r>
        <w:t xml:space="preserve"> </w:t>
      </w:r>
      <w:r>
        <w:t xml:space="preserve">The leading models achieve high Area Under the Curve (AUC) scores, demonstrating that the raw image data contains sufficient discriminatory features for accurate classification.</w:t>
      </w:r>
    </w:p>
    <w:bookmarkEnd w:id="30"/>
    <w:bookmarkStart w:id="34" w:name="precision-vs-recall"/>
    <w:p>
      <w:pPr>
        <w:pStyle w:val="Heading3"/>
      </w:pPr>
      <w:r>
        <w:t xml:space="preserve">4. Precision vs Recall</w:t>
      </w:r>
    </w:p>
    <w:p>
      <w:pPr>
        <w:pStyle w:val="CaptionedFigure"/>
      </w:pPr>
      <w:r>
        <w:drawing>
          <wp:inline>
            <wp:extent cx="4286250" cy="3429000"/>
            <wp:effectExtent b="0" l="0" r="0" t="0"/>
            <wp:docPr descr="Precision Recall Curve" title="" id="32" name="Picture"/>
            <a:graphic>
              <a:graphicData uri="http://schemas.openxmlformats.org/drawingml/2006/picture">
                <pic:pic>
                  <pic:nvPicPr>
                    <pic:cNvPr descr="results/results/paper_figures/4_pr_curve.png" id="33" name="Picture"/>
                    <pic:cNvPicPr>
                      <a:picLocks noChangeArrowheads="1" noChangeAspect="1"/>
                    </pic:cNvPicPr>
                  </pic:nvPicPr>
                  <pic:blipFill>
                    <a:blip r:embed="rId31"/>
                    <a:stretch>
                      <a:fillRect/>
                    </a:stretch>
                  </pic:blipFill>
                  <pic:spPr bwMode="auto">
                    <a:xfrm>
                      <a:off x="0" y="0"/>
                      <a:ext cx="4286250" cy="3429000"/>
                    </a:xfrm>
                    <a:prstGeom prst="rect">
                      <a:avLst/>
                    </a:prstGeom>
                    <a:noFill/>
                    <a:ln w="9525">
                      <a:noFill/>
                      <a:headEnd/>
                      <a:tailEnd/>
                    </a:ln>
                  </pic:spPr>
                </pic:pic>
              </a:graphicData>
            </a:graphic>
          </wp:inline>
        </w:drawing>
      </w:r>
    </w:p>
    <w:p>
      <w:pPr>
        <w:pStyle w:val="ImageCaption"/>
      </w:pPr>
      <w:r>
        <w:t xml:space="preserve">Precision Recall Curve</w:t>
      </w:r>
    </w:p>
    <w:p>
      <w:pPr>
        <w:pStyle w:val="BodyText"/>
      </w:pPr>
      <w:r>
        <w:rPr>
          <w:b/>
          <w:bCs/>
        </w:rPr>
        <w:t xml:space="preserve">Takeaway:</w:t>
      </w:r>
      <w:r>
        <w:t xml:space="preserve"> </w:t>
      </w:r>
      <w:r>
        <w:t xml:space="preserve">The tight clustering among the leading models indicates a strong capacity to maintain high precision without sacrificing recall, which is essential for handling minority classes like fear and surprise.</w:t>
      </w:r>
    </w:p>
    <w:bookmarkEnd w:id="34"/>
    <w:bookmarkStart w:id="38" w:name="radar-chart"/>
    <w:p>
      <w:pPr>
        <w:pStyle w:val="Heading3"/>
      </w:pPr>
      <w:r>
        <w:t xml:space="preserve">5. Radar Chart</w:t>
      </w:r>
    </w:p>
    <w:p>
      <w:pPr>
        <w:pStyle w:val="CaptionedFigure"/>
      </w:pPr>
      <w:r>
        <w:drawing>
          <wp:inline>
            <wp:extent cx="4286250" cy="3747933"/>
            <wp:effectExtent b="0" l="0" r="0" t="0"/>
            <wp:docPr descr="Radar Chart" title="" id="36" name="Picture"/>
            <a:graphic>
              <a:graphicData uri="http://schemas.openxmlformats.org/drawingml/2006/picture">
                <pic:pic>
                  <pic:nvPicPr>
                    <pic:cNvPr descr="results/results/paper_figures/5_radar_chart.png" id="37" name="Picture"/>
                    <pic:cNvPicPr>
                      <a:picLocks noChangeArrowheads="1" noChangeAspect="1"/>
                    </pic:cNvPicPr>
                  </pic:nvPicPr>
                  <pic:blipFill>
                    <a:blip r:embed="rId35"/>
                    <a:stretch>
                      <a:fillRect/>
                    </a:stretch>
                  </pic:blipFill>
                  <pic:spPr bwMode="auto">
                    <a:xfrm>
                      <a:off x="0" y="0"/>
                      <a:ext cx="4286250" cy="3747933"/>
                    </a:xfrm>
                    <a:prstGeom prst="rect">
                      <a:avLst/>
                    </a:prstGeom>
                    <a:noFill/>
                    <a:ln w="9525">
                      <a:noFill/>
                      <a:headEnd/>
                      <a:tailEnd/>
                    </a:ln>
                  </pic:spPr>
                </pic:pic>
              </a:graphicData>
            </a:graphic>
          </wp:inline>
        </w:drawing>
      </w:r>
    </w:p>
    <w:p>
      <w:pPr>
        <w:pStyle w:val="ImageCaption"/>
      </w:pPr>
      <w:r>
        <w:t xml:space="preserve">Radar Chart</w:t>
      </w:r>
    </w:p>
    <w:p>
      <w:pPr>
        <w:pStyle w:val="BodyText"/>
      </w:pPr>
      <w:r>
        <w:rPr>
          <w:b/>
          <w:bCs/>
        </w:rPr>
        <w:t xml:space="preserve">Takeaway:</w:t>
      </w:r>
      <w:r>
        <w:t xml:space="preserve"> </w:t>
      </w:r>
      <w:r>
        <w:t xml:space="preserve">The multi-metric footprint visually confirms the well-rounded performance of the top baseline models, establishing the target performance threshold for our future hybrid architecture.</w:t>
      </w:r>
    </w:p>
    <w:bookmarkEnd w:id="38"/>
    <w:bookmarkStart w:id="42" w:name="where-the-best-baseline-struggles"/>
    <w:p>
      <w:pPr>
        <w:pStyle w:val="Heading3"/>
      </w:pPr>
      <w:r>
        <w:t xml:space="preserve">6. Where the Best Baseline Struggles</w:t>
      </w:r>
    </w:p>
    <w:p>
      <w:pPr>
        <w:pStyle w:val="CaptionedFigure"/>
      </w:pPr>
      <w:r>
        <w:drawing>
          <wp:inline>
            <wp:extent cx="4286250" cy="3429000"/>
            <wp:effectExtent b="0" l="0" r="0" t="0"/>
            <wp:docPr descr="Best Model Confusion Matrix" title="" id="40" name="Picture"/>
            <a:graphic>
              <a:graphicData uri="http://schemas.openxmlformats.org/drawingml/2006/picture">
                <pic:pic>
                  <pic:nvPicPr>
                    <pic:cNvPr descr="results/results/paper_figures/6_best_model_oof_cm.png" id="41" name="Picture"/>
                    <pic:cNvPicPr>
                      <a:picLocks noChangeArrowheads="1" noChangeAspect="1"/>
                    </pic:cNvPicPr>
                  </pic:nvPicPr>
                  <pic:blipFill>
                    <a:blip r:embed="rId39"/>
                    <a:stretch>
                      <a:fillRect/>
                    </a:stretch>
                  </pic:blipFill>
                  <pic:spPr bwMode="auto">
                    <a:xfrm>
                      <a:off x="0" y="0"/>
                      <a:ext cx="4286250" cy="3429000"/>
                    </a:xfrm>
                    <a:prstGeom prst="rect">
                      <a:avLst/>
                    </a:prstGeom>
                    <a:noFill/>
                    <a:ln w="9525">
                      <a:noFill/>
                      <a:headEnd/>
                      <a:tailEnd/>
                    </a:ln>
                  </pic:spPr>
                </pic:pic>
              </a:graphicData>
            </a:graphic>
          </wp:inline>
        </w:drawing>
      </w:r>
    </w:p>
    <w:p>
      <w:pPr>
        <w:pStyle w:val="ImageCaption"/>
      </w:pPr>
      <w:r>
        <w:t xml:space="preserve">Best Model Confusion Matrix</w:t>
      </w:r>
    </w:p>
    <w:p>
      <w:pPr>
        <w:pStyle w:val="BodyText"/>
      </w:pPr>
      <w:r>
        <w:rPr>
          <w:b/>
          <w:bCs/>
        </w:rPr>
        <w:t xml:space="preserve">Takeaway:</w:t>
      </w:r>
      <w:r>
        <w:t xml:space="preserve"> </w:t>
      </w:r>
      <w:r>
        <w:t xml:space="preserve">The confusion matrix for VGG-16 reveals that the model occasionally misclassifies</w:t>
      </w:r>
      <w:r>
        <w:t xml:space="preserve"> </w:t>
      </w:r>
      <w:r>
        <w:t xml:space="preserve">“Fear”</w:t>
      </w:r>
      <w:r>
        <w:t xml:space="preserve"> </w:t>
      </w:r>
      <w:r>
        <w:t xml:space="preserve">and</w:t>
      </w:r>
      <w:r>
        <w:t xml:space="preserve"> </w:t>
      </w:r>
      <w:r>
        <w:t xml:space="preserve">“Surprise.”</w:t>
      </w:r>
      <w:r>
        <w:t xml:space="preserve"> </w:t>
      </w:r>
      <w:r>
        <w:t xml:space="preserve">Addressing these specific misclassifications will be a primary goal of our proposed hybrid model.</w:t>
      </w:r>
    </w:p>
    <w:bookmarkEnd w:id="42"/>
    <w:bookmarkStart w:id="46" w:name="feature-correlation-analysis"/>
    <w:p>
      <w:pPr>
        <w:pStyle w:val="Heading3"/>
      </w:pPr>
      <w:r>
        <w:t xml:space="preserve">7. Feature Correlation Analysis</w:t>
      </w:r>
    </w:p>
    <w:p>
      <w:pPr>
        <w:pStyle w:val="CaptionedFigure"/>
      </w:pPr>
      <w:r>
        <w:drawing>
          <wp:inline>
            <wp:extent cx="4286250" cy="3571875"/>
            <wp:effectExtent b="0" l="0" r="0" t="0"/>
            <wp:docPr descr="Model Correlation Heatmap" title="" id="44" name="Picture"/>
            <a:graphic>
              <a:graphicData uri="http://schemas.openxmlformats.org/drawingml/2006/picture">
                <pic:pic>
                  <pic:nvPicPr>
                    <pic:cNvPr descr="results/results/paper_figures/7_model_correlation_heatmap.png" id="45" name="Picture"/>
                    <pic:cNvPicPr>
                      <a:picLocks noChangeArrowheads="1" noChangeAspect="1"/>
                    </pic:cNvPicPr>
                  </pic:nvPicPr>
                  <pic:blipFill>
                    <a:blip r:embed="rId43"/>
                    <a:stretch>
                      <a:fillRect/>
                    </a:stretch>
                  </pic:blipFill>
                  <pic:spPr bwMode="auto">
                    <a:xfrm>
                      <a:off x="0" y="0"/>
                      <a:ext cx="4286250" cy="3571875"/>
                    </a:xfrm>
                    <a:prstGeom prst="rect">
                      <a:avLst/>
                    </a:prstGeom>
                    <a:noFill/>
                    <a:ln w="9525">
                      <a:noFill/>
                      <a:headEnd/>
                      <a:tailEnd/>
                    </a:ln>
                  </pic:spPr>
                </pic:pic>
              </a:graphicData>
            </a:graphic>
          </wp:inline>
        </w:drawing>
      </w:r>
    </w:p>
    <w:p>
      <w:pPr>
        <w:pStyle w:val="ImageCaption"/>
      </w:pPr>
      <w:r>
        <w:t xml:space="preserve">Model Correlation Heatmap</w:t>
      </w:r>
    </w:p>
    <w:p>
      <w:pPr>
        <w:pStyle w:val="BodyText"/>
      </w:pPr>
      <w:r>
        <w:rPr>
          <w:b/>
          <w:bCs/>
        </w:rPr>
        <w:t xml:space="preserve">Takeaway:</w:t>
      </w:r>
      <w:r>
        <w:t xml:space="preserve"> </w:t>
      </w:r>
      <w:r>
        <w:t xml:space="preserve">The correlation heatmap indicates that CNN- and Transformer-based models capture different aspects of facial features. This complementary observation directly motivates our plan to design a hybrid CNN-Transformer architecture in the next phase of the research.</w:t>
      </w:r>
    </w:p>
    <w:bookmarkEnd w:id="46"/>
    <w:bookmarkStart w:id="48" w:name="kaggle-training-implementation"/>
    <w:p>
      <w:pPr>
        <w:pStyle w:val="Heading2"/>
      </w:pPr>
      <w:r>
        <w:t xml:space="preserve">5. Kaggle Training Implementation</w:t>
      </w:r>
    </w:p>
    <w:p>
      <w:pPr>
        <w:pStyle w:val="FirstParagraph"/>
      </w:pPr>
      <w:r>
        <w:t xml:space="preserve">We ran the baseline benchmarks on Kaggle GPUs using the standalone script</w:t>
      </w:r>
      <w:r>
        <w:t xml:space="preserve"> </w:t>
      </w:r>
      <w:r>
        <w:rPr>
          <w:rStyle w:val="VerbatimChar"/>
        </w:rPr>
        <w:t xml:space="preserve">kaggle/run_all_models.py</w:t>
      </w:r>
      <w:r>
        <w:t xml:space="preserve">. You can view and run the full experimental pipeline in our</w:t>
      </w:r>
      <w:r>
        <w:t xml:space="preserve"> </w:t>
      </w:r>
      <w:hyperlink r:id="rId47">
        <w:r>
          <w:rPr>
            <w:rStyle w:val="Hyperlink"/>
          </w:rPr>
          <w:t xml:space="preserve">Kaggle Notebook</w:t>
        </w:r>
      </w:hyperlink>
      <w:r>
        <w:t xml:space="preserve">. The training pipeline was customized for our dataset:</w:t>
      </w:r>
    </w:p>
    <w:p>
      <w:pPr>
        <w:pStyle w:val="Compact"/>
        <w:numPr>
          <w:ilvl w:val="0"/>
          <w:numId w:val="1001"/>
        </w:numPr>
      </w:pPr>
      <w:r>
        <w:rPr>
          <w:b/>
          <w:bCs/>
        </w:rPr>
        <w:t xml:space="preserve">5-Fold Cross-Validation:</w:t>
      </w:r>
      <w:r>
        <w:t xml:space="preserve"> </w:t>
      </w:r>
      <w:r>
        <w:t xml:space="preserve">We used Stratified 5-Fold CV on the raw images so every image is tested exactly once. This gives us reliable metrics even for rare emotions like</w:t>
      </w:r>
      <w:r>
        <w:t xml:space="preserve"> </w:t>
      </w:r>
      <w:r>
        <w:t xml:space="preserve">“Fear”</w:t>
      </w:r>
      <w:r>
        <w:t xml:space="preserve">.</w:t>
      </w:r>
    </w:p>
    <w:p>
      <w:pPr>
        <w:pStyle w:val="Compact"/>
        <w:numPr>
          <w:ilvl w:val="0"/>
          <w:numId w:val="1001"/>
        </w:numPr>
      </w:pPr>
      <w:r>
        <w:rPr>
          <w:b/>
          <w:bCs/>
        </w:rPr>
        <w:t xml:space="preserve">Careful Learning Rates:</w:t>
      </w:r>
      <w:r>
        <w:t xml:space="preserve"> </w:t>
      </w:r>
      <w:r>
        <w:t xml:space="preserve">We trained the pretrained backbone layers very slowly (10x slower than the classification head) to avoid losing their learned features.</w:t>
      </w:r>
    </w:p>
    <w:p>
      <w:pPr>
        <w:pStyle w:val="Compact"/>
        <w:numPr>
          <w:ilvl w:val="0"/>
          <w:numId w:val="1001"/>
        </w:numPr>
      </w:pPr>
      <w:r>
        <w:rPr>
          <w:b/>
          <w:bCs/>
        </w:rPr>
        <w:t xml:space="preserve">Handling Imbalance:</w:t>
      </w:r>
      <w:r>
        <w:t xml:space="preserve"> </w:t>
      </w:r>
      <w:r>
        <w:t xml:space="preserve">To fix the severe class imbalance, we oversampled rare classes during training using a</w:t>
      </w:r>
      <w:r>
        <w:t xml:space="preserve"> </w:t>
      </w:r>
      <w:r>
        <w:rPr>
          <w:rStyle w:val="VerbatimChar"/>
        </w:rPr>
        <w:t xml:space="preserve">WeightedRandomSampler</w:t>
      </w:r>
      <w:r>
        <w:t xml:space="preserve"> </w:t>
      </w:r>
      <w:r>
        <w:t xml:space="preserve">instead of heavily weighting the loss function.</w:t>
      </w:r>
    </w:p>
    <w:p>
      <w:pPr>
        <w:pStyle w:val="Compact"/>
        <w:numPr>
          <w:ilvl w:val="0"/>
          <w:numId w:val="1001"/>
        </w:numPr>
      </w:pPr>
      <w:r>
        <w:rPr>
          <w:b/>
          <w:bCs/>
        </w:rPr>
        <w:t xml:space="preserve">On-the-Fly Augmentation:</w:t>
      </w:r>
      <w:r>
        <w:t xml:space="preserve"> </w:t>
      </w:r>
      <w:r>
        <w:t xml:space="preserve">We applied lightweight, dynamic data augmentations (random flips, rotations, scaling, and color jitter) during training. Heavy augmentations (like MixUp) were intentionally excluded to preserve delicate facial features.</w:t>
      </w:r>
    </w:p>
    <w:p>
      <w:pPr>
        <w:pStyle w:val="Compact"/>
        <w:numPr>
          <w:ilvl w:val="0"/>
          <w:numId w:val="1001"/>
        </w:numPr>
      </w:pPr>
      <w:r>
        <w:rPr>
          <w:b/>
          <w:bCs/>
        </w:rPr>
        <w:t xml:space="preserve">Stable Training:</w:t>
      </w:r>
      <w:r>
        <w:t xml:space="preserve"> </w:t>
      </w:r>
      <w:r>
        <w:t xml:space="preserve">We used mixed-precision (AMP) for faster GPU training and an Exponential Moving Average (EMA) to help the models generalize better.</w:t>
      </w:r>
    </w:p>
    <w:p>
      <w:pPr>
        <w:pStyle w:val="Compact"/>
        <w:numPr>
          <w:ilvl w:val="0"/>
          <w:numId w:val="1001"/>
        </w:numPr>
      </w:pPr>
      <w:r>
        <w:rPr>
          <w:b/>
          <w:bCs/>
        </w:rPr>
        <w:t xml:space="preserve">Resumable:</w:t>
      </w:r>
      <w:r>
        <w:t xml:space="preserve"> </w:t>
      </w:r>
      <w:r>
        <w:t xml:space="preserve">Since Kaggle sessions often timeout, the script automatically saves its progress after every fold. If it crashes, restarting the script picks up exactly where it left off.</w:t>
      </w:r>
    </w:p>
    <w:p>
      <w:pPr>
        <w:pStyle w:val="Compact"/>
        <w:numPr>
          <w:ilvl w:val="0"/>
          <w:numId w:val="1001"/>
        </w:numPr>
      </w:pPr>
      <w:r>
        <w:rPr>
          <w:b/>
          <w:bCs/>
        </w:rPr>
        <w:t xml:space="preserve">Auto-Generated Charts:</w:t>
      </w:r>
      <w:r>
        <w:t xml:space="preserve"> </w:t>
      </w:r>
      <w:r>
        <w:t xml:space="preserve">Once finished, the script automatically generates all the performance charts (ROC, Radar, etc.) shown in this report.</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hyperlink" Id="rId10" Target="https://data.mendeley.com/datasets/b33pf78h62/1" TargetMode="External" /><Relationship Type="http://schemas.openxmlformats.org/officeDocument/2006/relationships/hyperlink" Id="rId14" Target="https://drive.google.com/file/d/1x7zQPdxqIzRn_UUlJplSoJ70XThYfAE2/view?usp=sharing" TargetMode="External" /><Relationship Type="http://schemas.openxmlformats.org/officeDocument/2006/relationships/hyperlink" Id="rId47" Target="https://www.kaggle.com/code/mrsohel/autism-fer-model" TargetMode="External" /><Relationship Type="http://schemas.openxmlformats.org/officeDocument/2006/relationships/hyperlink" Id="rId11" Target="https://www.kaggle.com/datasets/" TargetMode="External" /><Relationship Type="http://schemas.openxmlformats.org/officeDocument/2006/relationships/hyperlink" Id="rId12" Target="https://www.kaggle.com/datasets/fatmamtalaat/autistic-children-emotions-dr-fatma-m-talaat" TargetMode="External" /><Relationship Type="http://schemas.openxmlformats.org/officeDocument/2006/relationships/hyperlink" Id="rId13" Target="https://www.kaggle.com/datasets/mdhasiburrahman12/augmented-autism-facial-emotion-recognition" TargetMode="External" /></Relationships>
</file>

<file path=word/_rels/footnotes.xml.rels><?xml version="1.0" encoding="UTF-8"?><Relationships xmlns="http://schemas.openxmlformats.org/package/2006/relationships"><Relationship Type="http://schemas.openxmlformats.org/officeDocument/2006/relationships/hyperlink" Id="rId10" Target="https://data.mendeley.com/datasets/b33pf78h62/1" TargetMode="External" /><Relationship Type="http://schemas.openxmlformats.org/officeDocument/2006/relationships/hyperlink" Id="rId14" Target="https://drive.google.com/file/d/1x7zQPdxqIzRn_UUlJplSoJ70XThYfAE2/view?usp=sharing" TargetMode="External" /><Relationship Type="http://schemas.openxmlformats.org/officeDocument/2006/relationships/hyperlink" Id="rId47" Target="https://www.kaggle.com/code/mrsohel/autism-fer-model" TargetMode="External" /><Relationship Type="http://schemas.openxmlformats.org/officeDocument/2006/relationships/hyperlink" Id="rId11" Target="https://www.kaggle.com/datasets/" TargetMode="External" /><Relationship Type="http://schemas.openxmlformats.org/officeDocument/2006/relationships/hyperlink" Id="rId12" Target="https://www.kaggle.com/datasets/fatmamtalaat/autistic-children-emotions-dr-fatma-m-talaat" TargetMode="External" /><Relationship Type="http://schemas.openxmlformats.org/officeDocument/2006/relationships/hyperlink" Id="rId13" Target="https://www.kaggle.com/datasets/mdhasiburrahman12/augmented-autism-facial-emotion-recogni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2026-08-05T17:48:15Z</dcterms:created>
  <dcterms:modified xsi:type="dcterms:W3CDTF">2026-08-05T17:48:15Z</dcterms:modified>
</cp:coreProperties>
</file>

<file path=docProps/custom.xml><?xml version="1.0" encoding="utf-8"?>
<Properties xmlns="http://schemas.openxmlformats.org/officeDocument/2006/custom-properties" xmlns:vt="http://schemas.openxmlformats.org/officeDocument/2006/docPropsVTypes"/>
</file>