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CE697" w14:textId="77777777" w:rsidR="00D211D5" w:rsidRDefault="00D211D5" w:rsidP="00D211D5">
      <w:pPr>
        <w:spacing w:before="300" w:after="300" w:line="276" w:lineRule="auto"/>
        <w:jc w:val="center"/>
        <w:rPr>
          <w:b/>
          <w:bCs/>
        </w:rPr>
      </w:pPr>
    </w:p>
    <w:p w14:paraId="362C33B7" w14:textId="77777777" w:rsidR="00D211D5" w:rsidRDefault="00D211D5" w:rsidP="00D211D5">
      <w:pPr>
        <w:spacing w:before="300" w:after="300" w:line="276" w:lineRule="auto"/>
        <w:jc w:val="center"/>
        <w:rPr>
          <w:b/>
          <w:bCs/>
        </w:rPr>
      </w:pPr>
    </w:p>
    <w:p w14:paraId="2AD2B074" w14:textId="77777777" w:rsidR="00D211D5" w:rsidRDefault="00D211D5" w:rsidP="00D211D5">
      <w:pPr>
        <w:spacing w:before="300" w:after="300" w:line="276" w:lineRule="auto"/>
        <w:jc w:val="center"/>
        <w:rPr>
          <w:b/>
          <w:bCs/>
        </w:rPr>
      </w:pPr>
    </w:p>
    <w:p w14:paraId="6B55047C" w14:textId="77777777" w:rsidR="00D211D5" w:rsidRDefault="00D211D5" w:rsidP="00D211D5">
      <w:pPr>
        <w:spacing w:before="300" w:after="300" w:line="276" w:lineRule="auto"/>
        <w:jc w:val="center"/>
        <w:rPr>
          <w:b/>
          <w:bCs/>
        </w:rPr>
      </w:pPr>
    </w:p>
    <w:p w14:paraId="7EEC2112" w14:textId="6FC81EDD" w:rsidR="3324CEA1" w:rsidRPr="00D211D5" w:rsidRDefault="00D211D5" w:rsidP="00D211D5">
      <w:pPr>
        <w:spacing w:before="300" w:after="300" w:line="276" w:lineRule="auto"/>
        <w:rPr>
          <w:b/>
          <w:bCs/>
        </w:rPr>
      </w:pPr>
      <w:r w:rsidRPr="00D211D5">
        <w:rPr>
          <w:b/>
          <w:bCs/>
        </w:rPr>
        <w:t xml:space="preserve">Title: </w:t>
      </w:r>
      <w:r w:rsidR="3324CEA1" w:rsidRPr="00D211D5">
        <w:rPr>
          <w:b/>
          <w:bCs/>
        </w:rPr>
        <w:t>Employee Retention and Turnover in Security Agencies: Challenges and Strategie</w:t>
      </w:r>
      <w:r w:rsidR="1082892F" w:rsidRPr="00D211D5">
        <w:rPr>
          <w:b/>
          <w:bCs/>
        </w:rPr>
        <w:t>s</w:t>
      </w:r>
    </w:p>
    <w:p w14:paraId="083EB007" w14:textId="22E9EAB6" w:rsidR="06B0ACBC" w:rsidRPr="0005424E" w:rsidRDefault="06B0ACBC" w:rsidP="06B0ACBC">
      <w:pPr>
        <w:spacing w:before="300" w:after="300" w:line="276" w:lineRule="auto"/>
      </w:pPr>
    </w:p>
    <w:p w14:paraId="19223EDB" w14:textId="77777777" w:rsidR="00263C39" w:rsidRPr="0005424E" w:rsidRDefault="00263C39" w:rsidP="06B0ACBC">
      <w:pPr>
        <w:spacing w:before="300" w:after="300" w:line="276" w:lineRule="auto"/>
      </w:pPr>
    </w:p>
    <w:p w14:paraId="01FB4A13" w14:textId="77777777" w:rsidR="00263C39" w:rsidRPr="0005424E" w:rsidRDefault="00263C39" w:rsidP="06B0ACBC">
      <w:pPr>
        <w:spacing w:before="300" w:after="300" w:line="276" w:lineRule="auto"/>
      </w:pPr>
    </w:p>
    <w:p w14:paraId="09052A94" w14:textId="77777777" w:rsidR="00263C39" w:rsidRPr="0005424E" w:rsidRDefault="00263C39" w:rsidP="06B0ACBC">
      <w:pPr>
        <w:spacing w:before="300" w:after="300" w:line="276" w:lineRule="auto"/>
      </w:pPr>
    </w:p>
    <w:p w14:paraId="6114FDBA" w14:textId="77777777" w:rsidR="00263C39" w:rsidRPr="0005424E" w:rsidRDefault="00263C39" w:rsidP="06B0ACBC">
      <w:pPr>
        <w:spacing w:before="300" w:after="300" w:line="276" w:lineRule="auto"/>
      </w:pPr>
    </w:p>
    <w:p w14:paraId="00875D79" w14:textId="77777777" w:rsidR="00263C39" w:rsidRPr="0005424E" w:rsidRDefault="00263C39" w:rsidP="06B0ACBC">
      <w:pPr>
        <w:spacing w:before="300" w:after="300" w:line="276" w:lineRule="auto"/>
      </w:pPr>
    </w:p>
    <w:p w14:paraId="482A3F9D" w14:textId="77777777" w:rsidR="00263C39" w:rsidRPr="0005424E" w:rsidRDefault="00263C39" w:rsidP="06B0ACBC">
      <w:pPr>
        <w:spacing w:before="300" w:after="300" w:line="276" w:lineRule="auto"/>
      </w:pPr>
    </w:p>
    <w:p w14:paraId="3A78C159" w14:textId="77777777" w:rsidR="00263C39" w:rsidRPr="0005424E" w:rsidRDefault="00263C39" w:rsidP="06B0ACBC">
      <w:pPr>
        <w:spacing w:before="300" w:after="300" w:line="276" w:lineRule="auto"/>
      </w:pPr>
    </w:p>
    <w:p w14:paraId="61F865B4" w14:textId="77777777" w:rsidR="00263C39" w:rsidRPr="0005424E" w:rsidRDefault="00263C39" w:rsidP="06B0ACBC">
      <w:pPr>
        <w:spacing w:before="300" w:after="300" w:line="276" w:lineRule="auto"/>
      </w:pPr>
    </w:p>
    <w:p w14:paraId="0C0A3683" w14:textId="77777777" w:rsidR="00263C39" w:rsidRPr="0005424E" w:rsidRDefault="00263C39" w:rsidP="06B0ACBC">
      <w:pPr>
        <w:spacing w:before="300" w:after="300" w:line="276" w:lineRule="auto"/>
      </w:pPr>
    </w:p>
    <w:p w14:paraId="0D3CE319" w14:textId="77777777" w:rsidR="00263C39" w:rsidRPr="0005424E" w:rsidRDefault="00263C39" w:rsidP="06B0ACBC">
      <w:pPr>
        <w:spacing w:before="300" w:after="300" w:line="276" w:lineRule="auto"/>
      </w:pPr>
    </w:p>
    <w:p w14:paraId="1627E7BA" w14:textId="77777777" w:rsidR="00263C39" w:rsidRPr="0005424E" w:rsidRDefault="00263C39" w:rsidP="06B0ACBC">
      <w:pPr>
        <w:spacing w:before="300" w:after="300" w:line="276" w:lineRule="auto"/>
      </w:pPr>
    </w:p>
    <w:p w14:paraId="35C4BE45" w14:textId="77777777" w:rsidR="00263C39" w:rsidRPr="0005424E" w:rsidRDefault="00263C39" w:rsidP="06B0ACBC">
      <w:pPr>
        <w:spacing w:before="300" w:after="300" w:line="276" w:lineRule="auto"/>
      </w:pPr>
    </w:p>
    <w:p w14:paraId="2A2B3BF7" w14:textId="77777777" w:rsidR="00D211D5" w:rsidRDefault="00D211D5" w:rsidP="000A6729">
      <w:pPr>
        <w:spacing w:before="300" w:after="300" w:line="276" w:lineRule="auto"/>
      </w:pPr>
    </w:p>
    <w:p w14:paraId="59C1F731" w14:textId="379A0128" w:rsidR="000A6729" w:rsidRPr="0005424E" w:rsidRDefault="000A6729" w:rsidP="000A6729">
      <w:pPr>
        <w:spacing w:before="300" w:after="300" w:line="276" w:lineRule="auto"/>
      </w:pPr>
      <w:r w:rsidRPr="0005424E">
        <w:lastRenderedPageBreak/>
        <w:t>The UK’s security industry is essential for protecting people, properties, and valuable data, and it serves as a foundation for public safety and private security alike. Yet, the industry struggles with a major issue: keeping its employees. Employee turnover, or the rate at which staff leave and must be replaced, is notably high in this sector. This high turnover presents numerous problems. First, it drives up costs for agencies, as finding, hiring, and training new employees demands both time and resources. More than that, turnover can disrupt the quality of security services</w:t>
      </w:r>
      <w:r w:rsidR="00230C86" w:rsidRPr="0005424E">
        <w:t xml:space="preserve"> </w:t>
      </w:r>
      <w:sdt>
        <w:sdtPr>
          <w:id w:val="-285273226"/>
          <w:citation/>
        </w:sdtPr>
        <w:sdtContent>
          <w:r w:rsidR="00230C86" w:rsidRPr="0005424E">
            <w:fldChar w:fldCharType="begin"/>
          </w:r>
          <w:r w:rsidR="00230C86" w:rsidRPr="0005424E">
            <w:instrText xml:space="preserve"> CITATION Shi21 \l 1033 </w:instrText>
          </w:r>
          <w:r w:rsidR="00230C86" w:rsidRPr="0005424E">
            <w:fldChar w:fldCharType="separate"/>
          </w:r>
          <w:r w:rsidR="00230C86" w:rsidRPr="0005424E">
            <w:t>(Shipton, Whysall, &amp; Abe, 2021)</w:t>
          </w:r>
          <w:r w:rsidR="00230C86" w:rsidRPr="0005424E">
            <w:fldChar w:fldCharType="end"/>
          </w:r>
        </w:sdtContent>
      </w:sdt>
      <w:r w:rsidRPr="0005424E">
        <w:t>. When staff frequently come and go, it’s hard for agencies to build reliable, stable teams that clients can trust.</w:t>
      </w:r>
    </w:p>
    <w:p w14:paraId="6719593B" w14:textId="56CAFBEB" w:rsidR="000A6729" w:rsidRDefault="000A6729" w:rsidP="000A6729">
      <w:pPr>
        <w:spacing w:before="300" w:after="300" w:line="276" w:lineRule="auto"/>
      </w:pPr>
      <w:r w:rsidRPr="0005424E">
        <w:t>A key challenge for retention in this sector is the competitive job market, where companies in various fields compete to hire skilled employees. Security work, which often involves irregular hours, high stress, and, in some cases, hazardous conditions, struggles to attract and keep staff. This challenge has become even tougher with the rising cost of living in the UK, which has pushed workers to seek better paying or more flexible positions. As a result, UK security agencies are looking for effective strategies to hold onto their employees</w:t>
      </w:r>
      <w:r w:rsidR="0005424E">
        <w:t xml:space="preserve"> </w:t>
      </w:r>
      <w:sdt>
        <w:sdtPr>
          <w:id w:val="-1424095772"/>
          <w:citation/>
        </w:sdtPr>
        <w:sdtContent>
          <w:r w:rsidR="0005424E">
            <w:fldChar w:fldCharType="begin"/>
          </w:r>
          <w:r w:rsidR="0005424E">
            <w:rPr>
              <w:lang w:val="en-US"/>
            </w:rPr>
            <w:instrText xml:space="preserve">CITATION Mai \l 1033 </w:instrText>
          </w:r>
          <w:r w:rsidR="0005424E">
            <w:fldChar w:fldCharType="separate"/>
          </w:r>
          <w:r w:rsidR="0005424E" w:rsidRPr="0005424E">
            <w:rPr>
              <w:noProof/>
              <w:lang w:val="en-US"/>
            </w:rPr>
            <w:t>(Ivanova , 2019)</w:t>
          </w:r>
          <w:r w:rsidR="0005424E">
            <w:fldChar w:fldCharType="end"/>
          </w:r>
        </w:sdtContent>
      </w:sdt>
      <w:r w:rsidRPr="0005424E">
        <w:t xml:space="preserve">. </w:t>
      </w:r>
    </w:p>
    <w:p w14:paraId="7E9BDDFA" w14:textId="77777777" w:rsidR="0005424E" w:rsidRDefault="0005424E" w:rsidP="000A6729">
      <w:pPr>
        <w:spacing w:before="300" w:after="300" w:line="276" w:lineRule="auto"/>
      </w:pPr>
    </w:p>
    <w:p w14:paraId="57431BC0" w14:textId="664C70A0" w:rsidR="0005424E" w:rsidRPr="0005424E" w:rsidRDefault="0005424E" w:rsidP="000A6729">
      <w:pPr>
        <w:spacing w:before="300" w:after="300" w:line="276" w:lineRule="auto"/>
        <w:rPr>
          <w:b/>
          <w:bCs/>
        </w:rPr>
      </w:pPr>
      <w:r w:rsidRPr="0005424E">
        <w:rPr>
          <w:b/>
          <w:bCs/>
        </w:rPr>
        <w:t>Research Aim:</w:t>
      </w:r>
    </w:p>
    <w:p w14:paraId="3CBD72D7" w14:textId="7EEE381E" w:rsidR="000A6729" w:rsidRPr="0005424E" w:rsidRDefault="000A6729" w:rsidP="000A6729">
      <w:pPr>
        <w:spacing w:before="300" w:after="300" w:line="276" w:lineRule="auto"/>
      </w:pPr>
      <w:r w:rsidRPr="0005424E">
        <w:t>The aim of this research is to understand the reasons why employees in UK security agencies choose to leave, with a focus on the impact of working conditions, pay, and human resources practices. By identifying the factors driving turnover, the research hopes to offer solutions that security agencies can use to build a more stable workforce.</w:t>
      </w:r>
    </w:p>
    <w:p w14:paraId="023ACB8D" w14:textId="6B7C4A88" w:rsidR="000A6729" w:rsidRPr="0005424E" w:rsidRDefault="000A6729" w:rsidP="000A6729">
      <w:pPr>
        <w:spacing w:before="300" w:after="300" w:line="276" w:lineRule="auto"/>
        <w:rPr>
          <w:b/>
          <w:bCs/>
        </w:rPr>
      </w:pPr>
      <w:r w:rsidRPr="0005424E">
        <w:rPr>
          <w:b/>
          <w:bCs/>
        </w:rPr>
        <w:t>Research Question:</w:t>
      </w:r>
    </w:p>
    <w:p w14:paraId="249F9BB8" w14:textId="4CA5C30C" w:rsidR="000A6729" w:rsidRPr="0005424E" w:rsidRDefault="000A6729" w:rsidP="000A6729">
      <w:pPr>
        <w:pStyle w:val="ListParagraph"/>
        <w:numPr>
          <w:ilvl w:val="0"/>
          <w:numId w:val="2"/>
        </w:numPr>
        <w:spacing w:before="300" w:after="300" w:line="276" w:lineRule="auto"/>
      </w:pPr>
      <w:r w:rsidRPr="0005424E">
        <w:t>What challenges do UK security agencies face in keeping their employees?</w:t>
      </w:r>
    </w:p>
    <w:p w14:paraId="545B1AEE" w14:textId="14282D15" w:rsidR="001A4464" w:rsidRPr="0005424E" w:rsidRDefault="001A4464" w:rsidP="000A6729">
      <w:pPr>
        <w:spacing w:before="300" w:after="300" w:line="276" w:lineRule="auto"/>
      </w:pPr>
    </w:p>
    <w:p w14:paraId="4FB77133" w14:textId="77777777" w:rsidR="001A4464" w:rsidRDefault="001A4464" w:rsidP="001A4464">
      <w:pPr>
        <w:spacing w:before="300" w:after="300" w:line="276" w:lineRule="auto"/>
      </w:pPr>
    </w:p>
    <w:p w14:paraId="3FDD694C" w14:textId="77777777" w:rsidR="0005424E" w:rsidRPr="0005424E" w:rsidRDefault="0005424E" w:rsidP="001A4464">
      <w:pPr>
        <w:spacing w:before="300" w:after="300" w:line="276" w:lineRule="auto"/>
      </w:pPr>
    </w:p>
    <w:p w14:paraId="4028570D" w14:textId="02D2DE38" w:rsidR="06B0ACBC" w:rsidRPr="0005424E" w:rsidRDefault="06B0ACBC" w:rsidP="06B0ACBC">
      <w:pPr>
        <w:spacing w:before="300" w:after="300" w:line="276" w:lineRule="auto"/>
      </w:pPr>
    </w:p>
    <w:p w14:paraId="2ACED22B" w14:textId="2C8DC1EB" w:rsidR="3324CEA1" w:rsidRPr="0005424E" w:rsidRDefault="3324CEA1" w:rsidP="06B0ACBC">
      <w:pPr>
        <w:spacing w:before="300" w:after="300" w:line="276" w:lineRule="auto"/>
      </w:pPr>
      <w:r w:rsidRPr="0005424E">
        <w:lastRenderedPageBreak/>
        <w:t xml:space="preserve"> </w:t>
      </w:r>
      <w:r w:rsidRPr="0005424E">
        <w:rPr>
          <w:b/>
          <w:bCs/>
        </w:rPr>
        <w:t xml:space="preserve">Literature Review </w:t>
      </w:r>
    </w:p>
    <w:p w14:paraId="2A3DA733" w14:textId="2D69DD85" w:rsidR="000A6729" w:rsidRPr="0005424E" w:rsidRDefault="000A6729" w:rsidP="000A6729">
      <w:pPr>
        <w:spacing w:before="300" w:after="300" w:line="276" w:lineRule="auto"/>
      </w:pPr>
      <w:r w:rsidRPr="0005424E">
        <w:t>The high turnover rate within the UK security industry has been a recurring theme in recent research, shedding light on several underlying factors contributing to this issue. One of the most prominent reasons for employee turnover in this sector is the demanding nature of security roles, which often require irregular and unsociable hours, placing a significant strain on employees' personal lives</w:t>
      </w:r>
      <w:r w:rsidR="001802FA">
        <w:t xml:space="preserve"> </w:t>
      </w:r>
      <w:sdt>
        <w:sdtPr>
          <w:id w:val="-142735999"/>
          <w:citation/>
        </w:sdtPr>
        <w:sdtContent>
          <w:r w:rsidR="001802FA">
            <w:fldChar w:fldCharType="begin"/>
          </w:r>
          <w:r w:rsidR="001802FA">
            <w:rPr>
              <w:lang w:val="en-US"/>
            </w:rPr>
            <w:instrText xml:space="preserve"> CITATION Paz24 \l 1033 </w:instrText>
          </w:r>
          <w:r w:rsidR="001802FA">
            <w:fldChar w:fldCharType="separate"/>
          </w:r>
          <w:r w:rsidR="001802FA" w:rsidRPr="001802FA">
            <w:rPr>
              <w:noProof/>
              <w:lang w:val="en-US"/>
            </w:rPr>
            <w:t>(Pazzona, 2024)</w:t>
          </w:r>
          <w:r w:rsidR="001802FA">
            <w:fldChar w:fldCharType="end"/>
          </w:r>
        </w:sdtContent>
      </w:sdt>
      <w:r w:rsidRPr="0005424E">
        <w:t xml:space="preserve">. The nature of these jobs, involving high stress, low autonomy, and physical risks, is compounded by relatively low compensation packages. Many employees feel that the pay they receive does not align with the demands and risks inherent in security work, prompting them to seek alternative, less stressful employment options that offer more substantial financial incentives </w:t>
      </w:r>
      <w:sdt>
        <w:sdtPr>
          <w:id w:val="1942262737"/>
          <w:citation/>
        </w:sdtPr>
        <w:sdtContent>
          <w:r w:rsidR="001802FA">
            <w:fldChar w:fldCharType="begin"/>
          </w:r>
          <w:r w:rsidR="001802FA">
            <w:rPr>
              <w:lang w:val="en-US"/>
            </w:rPr>
            <w:instrText xml:space="preserve"> CITATION Can20 \l 1033 </w:instrText>
          </w:r>
          <w:r w:rsidR="001802FA">
            <w:fldChar w:fldCharType="separate"/>
          </w:r>
          <w:r w:rsidR="001802FA" w:rsidRPr="001802FA">
            <w:rPr>
              <w:noProof/>
              <w:lang w:val="en-US"/>
            </w:rPr>
            <w:t>(Cannizzaro &amp; Mazzucco, 2020)</w:t>
          </w:r>
          <w:r w:rsidR="001802FA">
            <w:fldChar w:fldCharType="end"/>
          </w:r>
        </w:sdtContent>
      </w:sdt>
    </w:p>
    <w:p w14:paraId="53EF1BFA" w14:textId="12EE4E10" w:rsidR="0028130B" w:rsidRPr="0005424E" w:rsidRDefault="0028130B" w:rsidP="0028130B">
      <w:pPr>
        <w:spacing w:before="300" w:after="300" w:line="276" w:lineRule="auto"/>
      </w:pPr>
      <w:r w:rsidRPr="0005424E">
        <w:t xml:space="preserve">A lack of clear career progression is one of the key issues driving employee turnover in the UK security sector. Many security roles lack a structured path for advancement, which can leave employees feeling professionally stagnant. For many, the absence of visible opportunities for growth—whether in terms of promotions, skill development, or specialized training—can create frustration and dissatisfaction </w:t>
      </w:r>
      <w:sdt>
        <w:sdtPr>
          <w:id w:val="866341372"/>
          <w:citation/>
        </w:sdtPr>
        <w:sdtContent>
          <w:r w:rsidR="001802FA">
            <w:fldChar w:fldCharType="begin"/>
          </w:r>
          <w:r w:rsidR="001802FA">
            <w:rPr>
              <w:lang w:val="en-US"/>
            </w:rPr>
            <w:instrText xml:space="preserve"> CITATION Isa24 \l 1033 </w:instrText>
          </w:r>
          <w:r w:rsidR="001802FA">
            <w:fldChar w:fldCharType="separate"/>
          </w:r>
          <w:r w:rsidR="001802FA" w:rsidRPr="001802FA">
            <w:rPr>
              <w:noProof/>
              <w:lang w:val="en-US"/>
            </w:rPr>
            <w:t>(Isabirye, 2024)</w:t>
          </w:r>
          <w:r w:rsidR="001802FA">
            <w:fldChar w:fldCharType="end"/>
          </w:r>
        </w:sdtContent>
      </w:sdt>
      <w:r w:rsidRPr="0005424E">
        <w:t>. Security personnel often experience their positions as “dead-end” jobs, with limited chances for professional development or upward mobility, a factor that diminishes morale over time. Employees in such positions may also feel undervalued by their organizations, perceiving a lack of investment in their potential to advance within the company. Consequently, employees frequently leave to pursue positions in industries that offer clearer and more attainable growth opportunities (Kane, 2022; Williams &amp; Lee, 2023).</w:t>
      </w:r>
    </w:p>
    <w:p w14:paraId="06576F50" w14:textId="32650060" w:rsidR="0028130B" w:rsidRPr="0005424E" w:rsidRDefault="0028130B" w:rsidP="0028130B">
      <w:pPr>
        <w:spacing w:before="300" w:after="300" w:line="276" w:lineRule="auto"/>
      </w:pPr>
      <w:r w:rsidRPr="0005424E">
        <w:t xml:space="preserve">Moreover, the demanding and often high-stress nature of security roles adds another layer of complexity. Security staff frequently encounter challenging situations, such as managing conflicts or responding to emergencies, which contribute to a high-stress work environment. Without sufficient mental health resources and support systems in place, employees may experience symptoms of burnout. Studies highlight that this sustained stress—without access to adequate counselling or mental health programs—leads to high turnover, as employees ultimately leave to escape the relentless pressures of their roles </w:t>
      </w:r>
    </w:p>
    <w:p w14:paraId="402278CB" w14:textId="2C698534" w:rsidR="000A6729" w:rsidRPr="0005424E" w:rsidRDefault="0028130B" w:rsidP="0028130B">
      <w:pPr>
        <w:spacing w:before="300" w:after="300" w:line="276" w:lineRule="auto"/>
      </w:pPr>
      <w:r w:rsidRPr="0005424E">
        <w:t xml:space="preserve">Employee burnout is further intensified by long hours and irregular schedules, which can disrupt personal lives and contribute to chronic stress. While security staff are often required to be alert and composed in challenging environments, inadequate support can leave them feeling isolated and overwhelmed, eventually leading them to search for less demanding, more balanced work environments. Addressing these issues requires a multifaceted approach, including offering clearer career pathways, enhancing mental </w:t>
      </w:r>
      <w:r w:rsidRPr="0005424E">
        <w:lastRenderedPageBreak/>
        <w:t>health support, and implementing programs to improve work-life balance, all of which could help security agencies foster a more stable and committed workforce.</w:t>
      </w:r>
    </w:p>
    <w:p w14:paraId="38F2F57F" w14:textId="667816C2" w:rsidR="000A6729" w:rsidRPr="0005424E" w:rsidRDefault="000A6729" w:rsidP="000A6729">
      <w:pPr>
        <w:spacing w:before="300" w:after="300" w:line="276" w:lineRule="auto"/>
      </w:pPr>
      <w:r w:rsidRPr="0005424E">
        <w:t xml:space="preserve">Compensation, particularly </w:t>
      </w:r>
      <w:r w:rsidR="00D211D5" w:rsidRPr="0005424E">
        <w:t>considering</w:t>
      </w:r>
      <w:r w:rsidRPr="0005424E">
        <w:t xml:space="preserve"> rising living costs, is another powerful driver of turnover. Research indicates that competitive wages are essential for employee satisfaction and retention in security roles, but smaller agencies often face budget constraints that prevent them from matching market rates</w:t>
      </w:r>
      <w:r w:rsidR="00D211D5">
        <w:t xml:space="preserve"> </w:t>
      </w:r>
      <w:sdt>
        <w:sdtPr>
          <w:id w:val="-283124366"/>
          <w:citation/>
        </w:sdtPr>
        <w:sdtContent>
          <w:r w:rsidR="00D211D5">
            <w:fldChar w:fldCharType="begin"/>
          </w:r>
          <w:r w:rsidR="00D211D5">
            <w:rPr>
              <w:lang w:val="en-US"/>
            </w:rPr>
            <w:instrText xml:space="preserve"> CITATION Ber22 \l 1033 </w:instrText>
          </w:r>
          <w:r w:rsidR="00D211D5">
            <w:fldChar w:fldCharType="separate"/>
          </w:r>
          <w:r w:rsidR="00D211D5" w:rsidRPr="00D211D5">
            <w:rPr>
              <w:noProof/>
              <w:lang w:val="en-US"/>
            </w:rPr>
            <w:t>(Berglöf &amp; Roland, 2022)</w:t>
          </w:r>
          <w:r w:rsidR="00D211D5">
            <w:fldChar w:fldCharType="end"/>
          </w:r>
        </w:sdtContent>
      </w:sdt>
      <w:r w:rsidR="00D211D5">
        <w:t xml:space="preserve">. </w:t>
      </w:r>
      <w:r w:rsidRPr="0005424E">
        <w:t>These financial limitations leave smaller security firms unable to attract or retain qualified personnel, creating a cycle of rapid employee turnover and recurrent recruitment costs.</w:t>
      </w:r>
    </w:p>
    <w:p w14:paraId="10EA6CD7" w14:textId="0ABA1CDB" w:rsidR="000A6729" w:rsidRPr="0005424E" w:rsidRDefault="000A6729" w:rsidP="000A6729">
      <w:pPr>
        <w:spacing w:before="300" w:after="300" w:line="276" w:lineRule="auto"/>
      </w:pPr>
      <w:r w:rsidRPr="0005424E">
        <w:t xml:space="preserve">Work-life balance is also an area where security roles often fall short. Security personnel typically work long, irregular hours that make it challenging to maintain a stable balance between their work and personal lives. This imbalance leads to high levels of job dissatisfaction and, in turn, increased turnover rates. Employees often experience difficulties in managing their social and family commitments, making jobs with regular hours and more predictable schedules highly attractive in comparison. </w:t>
      </w:r>
    </w:p>
    <w:p w14:paraId="1679EA44" w14:textId="144BDF86" w:rsidR="000A6729" w:rsidRPr="0005424E" w:rsidRDefault="000A6729" w:rsidP="000A6729">
      <w:pPr>
        <w:spacing w:before="300" w:after="300" w:line="276" w:lineRule="auto"/>
      </w:pPr>
      <w:r w:rsidRPr="0005424E">
        <w:t>A lack of training and development initiatives within security agencies is another contributing factor to turnover. When employees perceive that they are not being given the skills and training to grow in their careers, they are more likely to seek employment elsewhere</w:t>
      </w:r>
      <w:r w:rsidR="00D211D5">
        <w:t xml:space="preserve">. </w:t>
      </w:r>
      <w:r w:rsidRPr="0005424E">
        <w:t>Structured training and development programs can help employees feel valued and invested in, providing them with new skills that can contribute to their career progression.</w:t>
      </w:r>
    </w:p>
    <w:p w14:paraId="1594C5F0" w14:textId="7CD4666E" w:rsidR="000A6729" w:rsidRPr="0005424E" w:rsidRDefault="000A6729" w:rsidP="000A6729">
      <w:pPr>
        <w:spacing w:before="300" w:after="300" w:line="276" w:lineRule="auto"/>
      </w:pPr>
      <w:r w:rsidRPr="0005424E">
        <w:t>Finally, organizational culture plays a crucial role in employee retention. Security agencies with supportive, inclusive cultures that prioritize employee engagement and job satisfaction tend to have lower turnover rates. Supportive workplace environments, where employees feel a sense of belonging and receive regular feedback on their performance, lead to higher levels of employee engagement and loyalty</w:t>
      </w:r>
      <w:r w:rsidR="00D211D5">
        <w:t>.</w:t>
      </w:r>
      <w:r w:rsidRPr="0005424E">
        <w:t xml:space="preserve"> On the contrary, agencies that fail to create an inclusive and engaging work environment often experience higher turnover rates as employees feel undervalued and disconnected from their roles. </w:t>
      </w:r>
    </w:p>
    <w:p w14:paraId="3DBDF567" w14:textId="37C4830D" w:rsidR="00E11114" w:rsidRPr="0005424E" w:rsidRDefault="000A6729" w:rsidP="06B0ACBC">
      <w:pPr>
        <w:spacing w:before="300" w:after="300" w:line="276" w:lineRule="auto"/>
      </w:pPr>
      <w:r w:rsidRPr="0005424E">
        <w:t>Research has shown that engagement strategies, such as recognizing achievements, providing regular feedback, and involving employees in decision-making, can significantly enhance retention</w:t>
      </w:r>
      <w:r w:rsidR="00D211D5">
        <w:t xml:space="preserve">. </w:t>
      </w:r>
      <w:r w:rsidRPr="0005424E">
        <w:t xml:space="preserve">However, these practices are not universally adopted across the security sector. In agencies where such strategies are overlooked, dissatisfaction rises, leading to higher turnover. This review highlights the complex and multifaceted challenges that UK security agencies face in retaining their staff, emphasizing the need for well-rounded strategies that address compensation, career growth, work-life balance, and </w:t>
      </w:r>
      <w:r w:rsidRPr="0005424E">
        <w:lastRenderedPageBreak/>
        <w:t>organizational culture. These insights lay the groundwork for further exploration of practical solutions to reduce turnover and improve retention in this critical sector.</w:t>
      </w:r>
    </w:p>
    <w:p w14:paraId="564495CA" w14:textId="77777777" w:rsidR="00E11114" w:rsidRPr="0005424E" w:rsidRDefault="00E11114" w:rsidP="06B0ACBC">
      <w:pPr>
        <w:spacing w:before="300" w:after="300" w:line="276" w:lineRule="auto"/>
      </w:pPr>
    </w:p>
    <w:sdt>
      <w:sdtPr>
        <w:id w:val="-1142500812"/>
        <w:docPartObj>
          <w:docPartGallery w:val="Bibliographies"/>
          <w:docPartUnique/>
        </w:docPartObj>
      </w:sdtPr>
      <w:sdtEndPr>
        <w:rPr>
          <w:rFonts w:asciiTheme="minorHAnsi" w:eastAsiaTheme="minorEastAsia" w:hAnsiTheme="minorHAnsi" w:cstheme="minorBidi"/>
          <w:color w:val="auto"/>
          <w:sz w:val="24"/>
          <w:szCs w:val="24"/>
        </w:rPr>
      </w:sdtEndPr>
      <w:sdtContent>
        <w:p w14:paraId="28D046DF" w14:textId="1B426A46" w:rsidR="00D211D5" w:rsidRPr="00D211D5" w:rsidRDefault="00D211D5">
          <w:pPr>
            <w:pStyle w:val="Heading1"/>
            <w:rPr>
              <w:rFonts w:asciiTheme="minorHAnsi" w:eastAsiaTheme="minorEastAsia" w:hAnsiTheme="minorHAnsi" w:cstheme="minorBidi"/>
              <w:b/>
              <w:bCs/>
              <w:color w:val="auto"/>
              <w:sz w:val="24"/>
              <w:szCs w:val="24"/>
            </w:rPr>
          </w:pPr>
          <w:r w:rsidRPr="00D211D5">
            <w:rPr>
              <w:rFonts w:asciiTheme="minorHAnsi" w:eastAsiaTheme="minorEastAsia" w:hAnsiTheme="minorHAnsi" w:cstheme="minorBidi"/>
              <w:b/>
              <w:bCs/>
              <w:color w:val="auto"/>
              <w:sz w:val="24"/>
              <w:szCs w:val="24"/>
            </w:rPr>
            <w:t>References</w:t>
          </w:r>
        </w:p>
        <w:sdt>
          <w:sdtPr>
            <w:id w:val="-573587230"/>
            <w:bibliography/>
          </w:sdtPr>
          <w:sdtContent>
            <w:p w14:paraId="2A69DFE6" w14:textId="77777777" w:rsidR="00D211D5" w:rsidRDefault="00D211D5" w:rsidP="00D211D5">
              <w:pPr>
                <w:pStyle w:val="Bibliography"/>
                <w:ind w:left="720" w:hanging="720"/>
                <w:rPr>
                  <w:noProof/>
                </w:rPr>
              </w:pPr>
              <w:r>
                <w:fldChar w:fldCharType="begin"/>
              </w:r>
              <w:r>
                <w:instrText xml:space="preserve"> BIBLIOGRAPHY </w:instrText>
              </w:r>
              <w:r>
                <w:fldChar w:fldCharType="separate"/>
              </w:r>
              <w:r>
                <w:rPr>
                  <w:noProof/>
                </w:rPr>
                <w:t xml:space="preserve">Berglöf, E., &amp; Roland, G. (2022). Soft Budget Constraints and Banking in Transition Economies. </w:t>
              </w:r>
              <w:r>
                <w:rPr>
                  <w:i/>
                  <w:iCs/>
                  <w:noProof/>
                </w:rPr>
                <w:t>Journal of Comparative Economics</w:t>
              </w:r>
              <w:r>
                <w:rPr>
                  <w:noProof/>
                </w:rPr>
                <w:t>, 26(1):18-40.</w:t>
              </w:r>
            </w:p>
            <w:p w14:paraId="3ABF4928" w14:textId="77777777" w:rsidR="00D211D5" w:rsidRDefault="00D211D5" w:rsidP="00D211D5">
              <w:pPr>
                <w:pStyle w:val="Bibliography"/>
                <w:ind w:left="720" w:hanging="720"/>
                <w:rPr>
                  <w:noProof/>
                </w:rPr>
              </w:pPr>
              <w:r>
                <w:rPr>
                  <w:noProof/>
                </w:rPr>
                <w:t xml:space="preserve">Cannizzaro, E., &amp; Mazzucco, W. (2020). Night-Time Shift Work and Related Stress Responses: A Study on Security Guards. </w:t>
              </w:r>
              <w:r>
                <w:rPr>
                  <w:i/>
                  <w:iCs/>
                  <w:noProof/>
                </w:rPr>
                <w:t>International Journal of Environmental Research and Public Health (IJERPH)</w:t>
              </w:r>
              <w:r>
                <w:rPr>
                  <w:noProof/>
                </w:rPr>
                <w:t>, 17(2):562.</w:t>
              </w:r>
            </w:p>
            <w:p w14:paraId="57664BC3" w14:textId="77777777" w:rsidR="00D211D5" w:rsidRDefault="00D211D5" w:rsidP="00D211D5">
              <w:pPr>
                <w:pStyle w:val="Bibliography"/>
                <w:ind w:left="720" w:hanging="720"/>
                <w:rPr>
                  <w:noProof/>
                </w:rPr>
              </w:pPr>
              <w:r>
                <w:rPr>
                  <w:noProof/>
                </w:rPr>
                <w:t xml:space="preserve">Isabirye, A. K. (2024). Training and development impact on job satisfaction, loyalty and retention among academics. </w:t>
              </w:r>
              <w:r>
                <w:rPr>
                  <w:i/>
                  <w:iCs/>
                  <w:noProof/>
                </w:rPr>
                <w:t>SA Journal of Human Resource Management</w:t>
              </w:r>
              <w:r>
                <w:rPr>
                  <w:noProof/>
                </w:rPr>
                <w:t>.</w:t>
              </w:r>
            </w:p>
            <w:p w14:paraId="0A755594" w14:textId="77777777" w:rsidR="00D211D5" w:rsidRDefault="00D211D5" w:rsidP="00D211D5">
              <w:pPr>
                <w:pStyle w:val="Bibliography"/>
                <w:ind w:left="720" w:hanging="720"/>
                <w:rPr>
                  <w:noProof/>
                </w:rPr>
              </w:pPr>
              <w:r>
                <w:rPr>
                  <w:noProof/>
                </w:rPr>
                <w:t xml:space="preserve">Ivanova , M. (2019). Main Factors of Turnover and Minimization of Turnover Rate within Business Organization. </w:t>
              </w:r>
              <w:r>
                <w:rPr>
                  <w:i/>
                  <w:iCs/>
                  <w:noProof/>
                </w:rPr>
                <w:t>Open Journal for Research in Economics</w:t>
              </w:r>
              <w:r>
                <w:rPr>
                  <w:noProof/>
                </w:rPr>
                <w:t>, 2(2):73-84.</w:t>
              </w:r>
            </w:p>
            <w:p w14:paraId="5260CB28" w14:textId="77777777" w:rsidR="00D211D5" w:rsidRDefault="00D211D5" w:rsidP="00D211D5">
              <w:pPr>
                <w:pStyle w:val="Bibliography"/>
                <w:ind w:left="720" w:hanging="720"/>
                <w:rPr>
                  <w:noProof/>
                </w:rPr>
              </w:pPr>
              <w:r>
                <w:rPr>
                  <w:noProof/>
                </w:rPr>
                <w:t xml:space="preserve">Pazzona, M. (2024). </w:t>
              </w:r>
              <w:r>
                <w:rPr>
                  <w:i/>
                  <w:iCs/>
                  <w:noProof/>
                </w:rPr>
                <w:t>Crime Prevention and Community Safety.</w:t>
              </w:r>
              <w:r>
                <w:rPr>
                  <w:noProof/>
                </w:rPr>
                <w:t xml:space="preserve"> </w:t>
              </w:r>
            </w:p>
            <w:p w14:paraId="665EA6CE" w14:textId="77777777" w:rsidR="00D211D5" w:rsidRDefault="00D211D5" w:rsidP="00D211D5">
              <w:pPr>
                <w:pStyle w:val="Bibliography"/>
                <w:ind w:left="720" w:hanging="720"/>
                <w:rPr>
                  <w:noProof/>
                </w:rPr>
              </w:pPr>
              <w:r>
                <w:rPr>
                  <w:noProof/>
                </w:rPr>
                <w:t xml:space="preserve">Shipton, H., Whysall, Z., &amp; Abe, C. (2021). </w:t>
              </w:r>
              <w:r>
                <w:rPr>
                  <w:i/>
                  <w:iCs/>
                  <w:noProof/>
                </w:rPr>
                <w:t>Turnover and Retention in the United Kingdom: Change, Uncertainty and Opportunity.</w:t>
              </w:r>
              <w:r>
                <w:rPr>
                  <w:noProof/>
                </w:rPr>
                <w:t xml:space="preserve"> </w:t>
              </w:r>
            </w:p>
            <w:p w14:paraId="593B9FBE" w14:textId="1AFDF23A" w:rsidR="00D211D5" w:rsidRDefault="00D211D5" w:rsidP="00D211D5">
              <w:r>
                <w:rPr>
                  <w:b/>
                  <w:bCs/>
                  <w:noProof/>
                </w:rPr>
                <w:fldChar w:fldCharType="end"/>
              </w:r>
            </w:p>
          </w:sdtContent>
        </w:sdt>
      </w:sdtContent>
    </w:sdt>
    <w:p w14:paraId="441E085A" w14:textId="46A4C093" w:rsidR="6280995D" w:rsidRDefault="6280995D" w:rsidP="06B0ACBC">
      <w:pPr>
        <w:spacing w:before="300" w:after="300" w:line="276" w:lineRule="auto"/>
      </w:pPr>
    </w:p>
    <w:sectPr w:rsidR="6280995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8EDA6" w14:textId="77777777" w:rsidR="001B561D" w:rsidRPr="0005424E" w:rsidRDefault="001B561D">
      <w:pPr>
        <w:spacing w:after="0" w:line="240" w:lineRule="auto"/>
      </w:pPr>
      <w:r w:rsidRPr="0005424E">
        <w:separator/>
      </w:r>
    </w:p>
  </w:endnote>
  <w:endnote w:type="continuationSeparator" w:id="0">
    <w:p w14:paraId="7B5C7A2B" w14:textId="77777777" w:rsidR="001B561D" w:rsidRPr="0005424E" w:rsidRDefault="001B561D">
      <w:pPr>
        <w:spacing w:after="0" w:line="240" w:lineRule="auto"/>
      </w:pPr>
      <w:r w:rsidRPr="000542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61996" w14:textId="77777777" w:rsidR="00D211D5" w:rsidRPr="00D211D5" w:rsidRDefault="00D211D5">
    <w:pPr>
      <w:pStyle w:val="Footer"/>
      <w:tabs>
        <w:tab w:val="clear" w:pos="4680"/>
        <w:tab w:val="clear" w:pos="9360"/>
      </w:tabs>
      <w:jc w:val="center"/>
      <w:rPr>
        <w:caps/>
        <w:noProof/>
        <w:sz w:val="18"/>
        <w:szCs w:val="18"/>
      </w:rPr>
    </w:pPr>
    <w:r w:rsidRPr="00D211D5">
      <w:rPr>
        <w:caps/>
        <w:sz w:val="18"/>
        <w:szCs w:val="18"/>
      </w:rPr>
      <w:fldChar w:fldCharType="begin"/>
    </w:r>
    <w:r w:rsidRPr="00D211D5">
      <w:rPr>
        <w:caps/>
        <w:sz w:val="18"/>
        <w:szCs w:val="18"/>
      </w:rPr>
      <w:instrText xml:space="preserve"> PAGE   \* MERGEFORMAT </w:instrText>
    </w:r>
    <w:r w:rsidRPr="00D211D5">
      <w:rPr>
        <w:caps/>
        <w:sz w:val="18"/>
        <w:szCs w:val="18"/>
      </w:rPr>
      <w:fldChar w:fldCharType="separate"/>
    </w:r>
    <w:r w:rsidRPr="00D211D5">
      <w:rPr>
        <w:caps/>
        <w:noProof/>
        <w:sz w:val="18"/>
        <w:szCs w:val="18"/>
      </w:rPr>
      <w:t>2</w:t>
    </w:r>
    <w:r w:rsidRPr="00D211D5">
      <w:rPr>
        <w:caps/>
        <w:noProof/>
        <w:sz w:val="18"/>
        <w:szCs w:val="18"/>
      </w:rPr>
      <w:fldChar w:fldCharType="end"/>
    </w:r>
  </w:p>
  <w:p w14:paraId="64484E8F" w14:textId="47E4B608" w:rsidR="06B0ACBC" w:rsidRPr="0005424E" w:rsidRDefault="06B0ACBC" w:rsidP="06B0A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04D0F" w14:textId="77777777" w:rsidR="001B561D" w:rsidRPr="0005424E" w:rsidRDefault="001B561D">
      <w:pPr>
        <w:spacing w:after="0" w:line="240" w:lineRule="auto"/>
      </w:pPr>
      <w:r w:rsidRPr="0005424E">
        <w:separator/>
      </w:r>
    </w:p>
  </w:footnote>
  <w:footnote w:type="continuationSeparator" w:id="0">
    <w:p w14:paraId="2A7DF11E" w14:textId="77777777" w:rsidR="001B561D" w:rsidRPr="0005424E" w:rsidRDefault="001B561D">
      <w:pPr>
        <w:spacing w:after="0" w:line="240" w:lineRule="auto"/>
      </w:pPr>
      <w:r w:rsidRPr="000542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6B0ACBC" w:rsidRPr="0005424E" w14:paraId="767B277C" w14:textId="77777777" w:rsidTr="06B0ACBC">
      <w:trPr>
        <w:trHeight w:val="300"/>
      </w:trPr>
      <w:tc>
        <w:tcPr>
          <w:tcW w:w="3120" w:type="dxa"/>
        </w:tcPr>
        <w:p w14:paraId="52888635" w14:textId="589B54F9" w:rsidR="06B0ACBC" w:rsidRPr="0005424E" w:rsidRDefault="06B0ACBC" w:rsidP="06B0ACBC">
          <w:pPr>
            <w:pStyle w:val="Header"/>
            <w:ind w:left="-115"/>
          </w:pPr>
        </w:p>
      </w:tc>
      <w:tc>
        <w:tcPr>
          <w:tcW w:w="3120" w:type="dxa"/>
        </w:tcPr>
        <w:p w14:paraId="7725C9A4" w14:textId="289D8845" w:rsidR="06B0ACBC" w:rsidRPr="0005424E" w:rsidRDefault="06B0ACBC" w:rsidP="06B0ACBC">
          <w:pPr>
            <w:pStyle w:val="Header"/>
            <w:jc w:val="center"/>
          </w:pPr>
        </w:p>
      </w:tc>
      <w:tc>
        <w:tcPr>
          <w:tcW w:w="3120" w:type="dxa"/>
        </w:tcPr>
        <w:p w14:paraId="0CCFAE30" w14:textId="6BECCAA9" w:rsidR="06B0ACBC" w:rsidRPr="0005424E" w:rsidRDefault="06B0ACBC" w:rsidP="06B0ACBC">
          <w:pPr>
            <w:pStyle w:val="Header"/>
            <w:ind w:right="-115"/>
            <w:jc w:val="right"/>
          </w:pPr>
        </w:p>
      </w:tc>
    </w:tr>
  </w:tbl>
  <w:p w14:paraId="08E34BF8" w14:textId="22D97165" w:rsidR="06B0ACBC" w:rsidRPr="0005424E" w:rsidRDefault="06B0ACBC" w:rsidP="06B0AC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5F45"/>
    <w:multiLevelType w:val="hybridMultilevel"/>
    <w:tmpl w:val="D5E41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6D08B6"/>
    <w:multiLevelType w:val="hybridMultilevel"/>
    <w:tmpl w:val="418E2EE0"/>
    <w:lvl w:ilvl="0" w:tplc="C1DC8C6E">
      <w:start w:val="1"/>
      <w:numFmt w:val="decimal"/>
      <w:lvlText w:val="%1."/>
      <w:lvlJc w:val="left"/>
      <w:pPr>
        <w:ind w:left="720" w:hanging="360"/>
      </w:pPr>
    </w:lvl>
    <w:lvl w:ilvl="1" w:tplc="D186AFA4">
      <w:start w:val="1"/>
      <w:numFmt w:val="lowerLetter"/>
      <w:lvlText w:val="%2."/>
      <w:lvlJc w:val="left"/>
      <w:pPr>
        <w:ind w:left="1440" w:hanging="360"/>
      </w:pPr>
    </w:lvl>
    <w:lvl w:ilvl="2" w:tplc="AEEAB9EC">
      <w:start w:val="1"/>
      <w:numFmt w:val="lowerRoman"/>
      <w:lvlText w:val="%3."/>
      <w:lvlJc w:val="right"/>
      <w:pPr>
        <w:ind w:left="2160" w:hanging="180"/>
      </w:pPr>
    </w:lvl>
    <w:lvl w:ilvl="3" w:tplc="2C0AC3A8">
      <w:start w:val="1"/>
      <w:numFmt w:val="decimal"/>
      <w:lvlText w:val="%4."/>
      <w:lvlJc w:val="left"/>
      <w:pPr>
        <w:ind w:left="2880" w:hanging="360"/>
      </w:pPr>
    </w:lvl>
    <w:lvl w:ilvl="4" w:tplc="920EA232">
      <w:start w:val="1"/>
      <w:numFmt w:val="lowerLetter"/>
      <w:lvlText w:val="%5."/>
      <w:lvlJc w:val="left"/>
      <w:pPr>
        <w:ind w:left="3600" w:hanging="360"/>
      </w:pPr>
    </w:lvl>
    <w:lvl w:ilvl="5" w:tplc="DA8813FE">
      <w:start w:val="1"/>
      <w:numFmt w:val="lowerRoman"/>
      <w:lvlText w:val="%6."/>
      <w:lvlJc w:val="right"/>
      <w:pPr>
        <w:ind w:left="4320" w:hanging="180"/>
      </w:pPr>
    </w:lvl>
    <w:lvl w:ilvl="6" w:tplc="721C0640">
      <w:start w:val="1"/>
      <w:numFmt w:val="decimal"/>
      <w:lvlText w:val="%7."/>
      <w:lvlJc w:val="left"/>
      <w:pPr>
        <w:ind w:left="5040" w:hanging="360"/>
      </w:pPr>
    </w:lvl>
    <w:lvl w:ilvl="7" w:tplc="3F62E832">
      <w:start w:val="1"/>
      <w:numFmt w:val="lowerLetter"/>
      <w:lvlText w:val="%8."/>
      <w:lvlJc w:val="left"/>
      <w:pPr>
        <w:ind w:left="5760" w:hanging="360"/>
      </w:pPr>
    </w:lvl>
    <w:lvl w:ilvl="8" w:tplc="6A84C20E">
      <w:start w:val="1"/>
      <w:numFmt w:val="lowerRoman"/>
      <w:lvlText w:val="%9."/>
      <w:lvlJc w:val="right"/>
      <w:pPr>
        <w:ind w:left="6480" w:hanging="180"/>
      </w:pPr>
    </w:lvl>
  </w:abstractNum>
  <w:num w:numId="1" w16cid:durableId="1655330918">
    <w:abstractNumId w:val="1"/>
  </w:num>
  <w:num w:numId="2" w16cid:durableId="400056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8D4815"/>
    <w:rsid w:val="0005424E"/>
    <w:rsid w:val="000A6729"/>
    <w:rsid w:val="001802FA"/>
    <w:rsid w:val="001A4464"/>
    <w:rsid w:val="001B561D"/>
    <w:rsid w:val="00230C86"/>
    <w:rsid w:val="00263C39"/>
    <w:rsid w:val="0028130B"/>
    <w:rsid w:val="00473CDD"/>
    <w:rsid w:val="00A06B3F"/>
    <w:rsid w:val="00A5438F"/>
    <w:rsid w:val="00BE4C7A"/>
    <w:rsid w:val="00CE0BF7"/>
    <w:rsid w:val="00D211D5"/>
    <w:rsid w:val="00E11114"/>
    <w:rsid w:val="00E75BA7"/>
    <w:rsid w:val="019CE33A"/>
    <w:rsid w:val="0230B12D"/>
    <w:rsid w:val="03AC0BB0"/>
    <w:rsid w:val="04B77296"/>
    <w:rsid w:val="06B0ACBC"/>
    <w:rsid w:val="0872DC3F"/>
    <w:rsid w:val="0BEFF243"/>
    <w:rsid w:val="0D2DF18C"/>
    <w:rsid w:val="1082892F"/>
    <w:rsid w:val="1700905F"/>
    <w:rsid w:val="20823BC5"/>
    <w:rsid w:val="23458A92"/>
    <w:rsid w:val="23701910"/>
    <w:rsid w:val="2562BAF6"/>
    <w:rsid w:val="2588CCB5"/>
    <w:rsid w:val="260A51E8"/>
    <w:rsid w:val="273870E5"/>
    <w:rsid w:val="2744A82D"/>
    <w:rsid w:val="28562D9E"/>
    <w:rsid w:val="2ACA0AFA"/>
    <w:rsid w:val="2ADE9987"/>
    <w:rsid w:val="32FBB66C"/>
    <w:rsid w:val="3324CEA1"/>
    <w:rsid w:val="344C8214"/>
    <w:rsid w:val="37807B02"/>
    <w:rsid w:val="37FD98CB"/>
    <w:rsid w:val="38490A87"/>
    <w:rsid w:val="3901CA67"/>
    <w:rsid w:val="3A0512C8"/>
    <w:rsid w:val="3C84F218"/>
    <w:rsid w:val="3CD62C39"/>
    <w:rsid w:val="3DDB875C"/>
    <w:rsid w:val="3F05CD6C"/>
    <w:rsid w:val="4111118A"/>
    <w:rsid w:val="41DB3776"/>
    <w:rsid w:val="4253BAA3"/>
    <w:rsid w:val="449ADDD6"/>
    <w:rsid w:val="45515DAC"/>
    <w:rsid w:val="47912BCD"/>
    <w:rsid w:val="4BABFF02"/>
    <w:rsid w:val="512AFDC3"/>
    <w:rsid w:val="586D8175"/>
    <w:rsid w:val="6023884A"/>
    <w:rsid w:val="6280995D"/>
    <w:rsid w:val="647F6FEE"/>
    <w:rsid w:val="655485B6"/>
    <w:rsid w:val="67FB3CE6"/>
    <w:rsid w:val="6A011D1F"/>
    <w:rsid w:val="6B5E0C86"/>
    <w:rsid w:val="6D316578"/>
    <w:rsid w:val="6E011665"/>
    <w:rsid w:val="7042C9CE"/>
    <w:rsid w:val="708D4815"/>
    <w:rsid w:val="76FAD869"/>
    <w:rsid w:val="77593AF8"/>
    <w:rsid w:val="7AE69773"/>
    <w:rsid w:val="7ED8AF9B"/>
    <w:rsid w:val="7F84D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4815"/>
  <w15:chartTrackingRefBased/>
  <w15:docId w15:val="{D6254A2D-1D50-4F23-832C-FF93AAD9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ibliography">
    <w:name w:val="Bibliography"/>
    <w:basedOn w:val="Normal"/>
    <w:next w:val="Normal"/>
    <w:uiPriority w:val="37"/>
    <w:unhideWhenUsed/>
    <w:rsid w:val="00D21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81111">
      <w:bodyDiv w:val="1"/>
      <w:marLeft w:val="0"/>
      <w:marRight w:val="0"/>
      <w:marTop w:val="0"/>
      <w:marBottom w:val="0"/>
      <w:divBdr>
        <w:top w:val="none" w:sz="0" w:space="0" w:color="auto"/>
        <w:left w:val="none" w:sz="0" w:space="0" w:color="auto"/>
        <w:bottom w:val="none" w:sz="0" w:space="0" w:color="auto"/>
        <w:right w:val="none" w:sz="0" w:space="0" w:color="auto"/>
      </w:divBdr>
    </w:div>
    <w:div w:id="206532816">
      <w:bodyDiv w:val="1"/>
      <w:marLeft w:val="0"/>
      <w:marRight w:val="0"/>
      <w:marTop w:val="0"/>
      <w:marBottom w:val="0"/>
      <w:divBdr>
        <w:top w:val="none" w:sz="0" w:space="0" w:color="auto"/>
        <w:left w:val="none" w:sz="0" w:space="0" w:color="auto"/>
        <w:bottom w:val="none" w:sz="0" w:space="0" w:color="auto"/>
        <w:right w:val="none" w:sz="0" w:space="0" w:color="auto"/>
      </w:divBdr>
    </w:div>
    <w:div w:id="491220367">
      <w:bodyDiv w:val="1"/>
      <w:marLeft w:val="0"/>
      <w:marRight w:val="0"/>
      <w:marTop w:val="0"/>
      <w:marBottom w:val="0"/>
      <w:divBdr>
        <w:top w:val="none" w:sz="0" w:space="0" w:color="auto"/>
        <w:left w:val="none" w:sz="0" w:space="0" w:color="auto"/>
        <w:bottom w:val="none" w:sz="0" w:space="0" w:color="auto"/>
        <w:right w:val="none" w:sz="0" w:space="0" w:color="auto"/>
      </w:divBdr>
    </w:div>
    <w:div w:id="578952886">
      <w:bodyDiv w:val="1"/>
      <w:marLeft w:val="0"/>
      <w:marRight w:val="0"/>
      <w:marTop w:val="0"/>
      <w:marBottom w:val="0"/>
      <w:divBdr>
        <w:top w:val="none" w:sz="0" w:space="0" w:color="auto"/>
        <w:left w:val="none" w:sz="0" w:space="0" w:color="auto"/>
        <w:bottom w:val="none" w:sz="0" w:space="0" w:color="auto"/>
        <w:right w:val="none" w:sz="0" w:space="0" w:color="auto"/>
      </w:divBdr>
    </w:div>
    <w:div w:id="915819127">
      <w:bodyDiv w:val="1"/>
      <w:marLeft w:val="0"/>
      <w:marRight w:val="0"/>
      <w:marTop w:val="0"/>
      <w:marBottom w:val="0"/>
      <w:divBdr>
        <w:top w:val="none" w:sz="0" w:space="0" w:color="auto"/>
        <w:left w:val="none" w:sz="0" w:space="0" w:color="auto"/>
        <w:bottom w:val="none" w:sz="0" w:space="0" w:color="auto"/>
        <w:right w:val="none" w:sz="0" w:space="0" w:color="auto"/>
      </w:divBdr>
    </w:div>
    <w:div w:id="1144858381">
      <w:bodyDiv w:val="1"/>
      <w:marLeft w:val="0"/>
      <w:marRight w:val="0"/>
      <w:marTop w:val="0"/>
      <w:marBottom w:val="0"/>
      <w:divBdr>
        <w:top w:val="none" w:sz="0" w:space="0" w:color="auto"/>
        <w:left w:val="none" w:sz="0" w:space="0" w:color="auto"/>
        <w:bottom w:val="none" w:sz="0" w:space="0" w:color="auto"/>
        <w:right w:val="none" w:sz="0" w:space="0" w:color="auto"/>
      </w:divBdr>
    </w:div>
    <w:div w:id="1589658447">
      <w:bodyDiv w:val="1"/>
      <w:marLeft w:val="0"/>
      <w:marRight w:val="0"/>
      <w:marTop w:val="0"/>
      <w:marBottom w:val="0"/>
      <w:divBdr>
        <w:top w:val="none" w:sz="0" w:space="0" w:color="auto"/>
        <w:left w:val="none" w:sz="0" w:space="0" w:color="auto"/>
        <w:bottom w:val="none" w:sz="0" w:space="0" w:color="auto"/>
        <w:right w:val="none" w:sz="0" w:space="0" w:color="auto"/>
      </w:divBdr>
    </w:div>
    <w:div w:id="1990556624">
      <w:bodyDiv w:val="1"/>
      <w:marLeft w:val="0"/>
      <w:marRight w:val="0"/>
      <w:marTop w:val="0"/>
      <w:marBottom w:val="0"/>
      <w:divBdr>
        <w:top w:val="none" w:sz="0" w:space="0" w:color="auto"/>
        <w:left w:val="none" w:sz="0" w:space="0" w:color="auto"/>
        <w:bottom w:val="none" w:sz="0" w:space="0" w:color="auto"/>
        <w:right w:val="none" w:sz="0" w:space="0" w:color="auto"/>
      </w:divBdr>
    </w:div>
    <w:div w:id="211289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Shi21</b:Tag>
    <b:SourceType>Book</b:SourceType>
    <b:Guid>{89509CCA-FB21-42A6-B18F-F77BA0AD414C}</b:Guid>
    <b:Title>Turnover and Retention in the United Kingdom: Change, Uncertainty and Opportunity</b:Title>
    <b:Year>2021</b:Year>
    <b:Author>
      <b:Author>
        <b:NameList>
          <b:Person>
            <b:Last>Shipton</b:Last>
            <b:First>Helen</b:First>
          </b:Person>
          <b:Person>
            <b:Last>Whysall</b:Last>
            <b:First>Zara </b:First>
          </b:Person>
          <b:Person>
            <b:Last>Abe</b:Last>
            <b:First>Catherine </b:First>
          </b:Person>
        </b:NameList>
      </b:Author>
    </b:Author>
    <b:RefOrder>1</b:RefOrder>
  </b:Source>
  <b:Source>
    <b:Tag>Mai</b:Tag>
    <b:SourceType>JournalArticle</b:SourceType>
    <b:Guid>{5FBB1AE4-85B0-49A8-9635-0198BF849943}</b:Guid>
    <b:Title>Main Factors of Turnover and Minimization of Turnover Rate within Business Organization</b:Title>
    <b:JournalName>Open Journal for Research in Economics</b:JournalName>
    <b:Author>
      <b:Author>
        <b:NameList>
          <b:Person>
            <b:Last>Ivanova </b:Last>
            <b:First>Mariya </b:First>
          </b:Person>
        </b:NameList>
      </b:Author>
    </b:Author>
    <b:Year>2019</b:Year>
    <b:Pages>2(2):73-84</b:Pages>
    <b:RefOrder>2</b:RefOrder>
  </b:Source>
  <b:Source>
    <b:Tag>Paz24</b:Tag>
    <b:SourceType>Report</b:SourceType>
    <b:Guid>{62B9E140-2609-49FF-8083-DA32AD442713}</b:Guid>
    <b:Title>Crime Prevention and Community Safety</b:Title>
    <b:Year>2024</b:Year>
    <b:Author>
      <b:Author>
        <b:NameList>
          <b:Person>
            <b:Last>Pazzona</b:Last>
            <b:First>Matteo </b:First>
          </b:Person>
        </b:NameList>
      </b:Author>
    </b:Author>
    <b:RefOrder>3</b:RefOrder>
  </b:Source>
  <b:Source>
    <b:Tag>Can20</b:Tag>
    <b:SourceType>JournalArticle</b:SourceType>
    <b:Guid>{F970978E-3EE4-42E4-8D66-3CE20F4AD3B5}</b:Guid>
    <b:Title>Night-Time Shift Work and Related Stress Responses: A Study on Security Guards</b:Title>
    <b:Year>2020</b:Year>
    <b:Pages>17(2):562</b:Pages>
    <b:JournalName>International Journal of Environmental Research and Public Health (IJERPH)</b:JournalName>
    <b:Author>
      <b:Author>
        <b:NameList>
          <b:Person>
            <b:Last>Cannizzaro</b:Last>
            <b:First>Emanuele </b:First>
          </b:Person>
          <b:Person>
            <b:Last>Mazzucco</b:Last>
            <b:First>Walter </b:First>
          </b:Person>
        </b:NameList>
      </b:Author>
    </b:Author>
    <b:RefOrder>4</b:RefOrder>
  </b:Source>
  <b:Source>
    <b:Tag>Isa24</b:Tag>
    <b:SourceType>JournalArticle</b:SourceType>
    <b:Guid>{F32C6F64-E1AC-4EFD-AAF6-D48A79E5738A}</b:Guid>
    <b:Title>Training and development impact on job satisfaction, loyalty and retention among academics</b:Title>
    <b:JournalName>SA Journal of Human Resource Management</b:JournalName>
    <b:Year>2024</b:Year>
    <b:Author>
      <b:Author>
        <b:NameList>
          <b:Person>
            <b:Last>Isabirye</b:Last>
            <b:Middle>K</b:Middle>
            <b:First>Anthony</b:First>
          </b:Person>
        </b:NameList>
      </b:Author>
    </b:Author>
    <b:RefOrder>5</b:RefOrder>
  </b:Source>
  <b:Source>
    <b:Tag>Ber22</b:Tag>
    <b:SourceType>JournalArticle</b:SourceType>
    <b:Guid>{49CEA20F-205C-4B4F-BF0A-D9255F96002D}</b:Guid>
    <b:Title>Soft Budget Constraints and Banking in Transition Economies</b:Title>
    <b:JournalName>Journal of Comparative Economics</b:JournalName>
    <b:Year>2022</b:Year>
    <b:Pages>26(1):18-40</b:Pages>
    <b:Author>
      <b:Author>
        <b:NameList>
          <b:Person>
            <b:Last>Berglöf</b:Last>
            <b:First>Erik </b:First>
          </b:Person>
          <b:Person>
            <b:Last>Roland</b:Last>
            <b:First>Gérard </b:First>
          </b:Person>
        </b:NameList>
      </b:Author>
    </b:Author>
    <b:RefOrder>6</b:RefOrder>
  </b:Source>
</b:Sources>
</file>

<file path=customXml/itemProps1.xml><?xml version="1.0" encoding="utf-8"?>
<ds:datastoreItem xmlns:ds="http://schemas.openxmlformats.org/officeDocument/2006/customXml" ds:itemID="{6A30E922-246E-4587-B339-69ECA51D0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Tahsin Faruque</dc:creator>
  <cp:keywords/>
  <dc:description/>
  <cp:lastModifiedBy>Tahsin Faruque</cp:lastModifiedBy>
  <cp:revision>8</cp:revision>
  <dcterms:created xsi:type="dcterms:W3CDTF">2024-11-07T00:19:00Z</dcterms:created>
  <dcterms:modified xsi:type="dcterms:W3CDTF">2024-11-07T07:11:00Z</dcterms:modified>
</cp:coreProperties>
</file>