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sz w:val="40"/>
        </w:rPr>
        <w:t>FraudLens AI: Explainable AI-Based Financial Fraud and Risk Detection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4896"/>
            <w:tcBorders>
              <w:top w:val="none"/>
              <w:bottom w:val="none"/>
              <w:left w:val="none"/>
              <w:right w:val="none"/>
            </w:tcBorders>
            <w:tcMar>
              <w:top w:w="0" w:type="dxa"/>
              <w:bottom w:w="80" w:type="dxa"/>
              <w:left w:w="50" w:type="dxa"/>
              <w:right w:w="50" w:type="dxa"/>
            </w:tcMar>
          </w:tcPr>
          <w:p>
            <w:pPr>
              <w:spacing w:line="274" w:lineRule="auto" w:after="0"/>
              <w:jc w:val="center"/>
            </w:pPr>
            <w:r>
              <w:rPr>
                <w:b/>
                <w:sz w:val="21"/>
              </w:rPr>
              <w:t>Mohana Priya S</w:t>
              <w:br/>
            </w:r>
            <w:r>
              <w:rPr>
                <w:i/>
                <w:sz w:val="16"/>
              </w:rPr>
              <w:t>Department of Computer Science and Engineering</w:t>
              <w:br/>
              <w:t>Sona College of Technology (Autonomous)</w:t>
              <w:br/>
              <w:t>(Affiliated to Anna University, Chennai)</w:t>
              <w:br/>
              <w:t>Salem, Tamil Nadu, India</w:t>
              <w:br/>
            </w:r>
            <w:r>
              <w:rPr>
                <w:rFonts w:ascii="Courier New" w:hAnsi="Courier New"/>
                <w:sz w:val="15"/>
              </w:rPr>
              <w:t>mohanapriya.s@sonatech.ac.in</w:t>
            </w:r>
          </w:p>
        </w:tc>
        <w:tc>
          <w:tcPr>
            <w:tcW w:type="dxa" w:w="4896"/>
            <w:tcBorders>
              <w:top w:val="none"/>
              <w:bottom w:val="none"/>
              <w:left w:val="none"/>
              <w:right w:val="none"/>
            </w:tcBorders>
            <w:tcMar>
              <w:top w:w="0" w:type="dxa"/>
              <w:bottom w:w="80" w:type="dxa"/>
              <w:left w:w="50" w:type="dxa"/>
              <w:right w:w="50" w:type="dxa"/>
            </w:tcMar>
          </w:tcPr>
          <w:p>
            <w:pPr>
              <w:spacing w:line="274" w:lineRule="auto" w:after="0"/>
              <w:jc w:val="center"/>
            </w:pPr>
            <w:r>
              <w:rPr>
                <w:b/>
                <w:sz w:val="21"/>
              </w:rPr>
              <w:t>Monisha S</w:t>
              <w:br/>
            </w:r>
            <w:r>
              <w:rPr>
                <w:i/>
                <w:sz w:val="16"/>
              </w:rPr>
              <w:t>Department of Computer Science and Engineering</w:t>
              <w:br/>
              <w:t>Sona College of Technology (Autonomous)</w:t>
              <w:br/>
              <w:t>(Affiliated to Anna University, Chennai)</w:t>
              <w:br/>
              <w:t>Salem, Tamil Nadu, India</w:t>
              <w:br/>
            </w:r>
            <w:r>
              <w:rPr>
                <w:rFonts w:ascii="Courier New" w:hAnsi="Courier New"/>
                <w:sz w:val="15"/>
              </w:rPr>
              <w:t>monisha.s@sonatech.ac.in</w:t>
            </w:r>
          </w:p>
        </w:tc>
      </w:tr>
    </w:tbl>
    <w:p>
      <w:pPr>
        <w:spacing w:before="160" w:after="200"/>
        <w:ind w:left="288" w:right="288"/>
        <w:jc w:val="both"/>
      </w:pPr>
      <w:r>
        <w:rPr>
          <w:b/>
          <w:i/>
          <w:sz w:val="17"/>
        </w:rPr>
        <w:t>Abstract—</w:t>
      </w:r>
      <w:r>
        <w:rPr>
          <w:sz w:val="17"/>
        </w:rPr>
        <w:t>In modern digital payment clearing infrastructures, instant payment rails, card-not-present merchant acquirers, and distributed financial applications process transactions within sub-second latencies. This velocity has concomitantly empowered automated cyber-adversarial syndicates deploying distributed credential attacks, velocity burst evasion, and synthetic identity fraud. Conventional financial fraud defenses suffer from an acute systemic dilemma: deterministic rule-based heuristics generate excessive false-positive declines that alienate legitimate consumers, while complex black-box machine learning ensembles obscure the causal mechanisms underlying high-risk predictions, violating regulatory transparency mandates such as Article 22 of the European Union General Data Protection Regulation (GDPR). This paper introduces FraudLens AI, a novel, enterprise-grade, explainable artificial intelligence (XAI) financial fraud detection and risk intelligence platform engineered for sub-5 millisecond pre-authorization decisioning. FraudLens AI implements an 11-stage, data-leakage audited feature pipeline transforming raw payment parameters into a 63-dimensional model-ready signal space. A rigorous classifier tournament benchmarks L2-regularized Logistic Regression, Random Forests, and Extreme Gradient Boosting (XGBoost) calibrated with cost-sensitive class balancing, alongside a soft-voting stacking ensemble. Evaluated on a 20,000-transaction financial benchmark spanning 30 merchants and 10 commercial categories under a 5.46% fraud prevalence, the champion XGBoost model achieves 1.000 Recall, 0.750 Precision, 1.000 ROC-AUC, and 1.000 PR-AUC, intercepting all fraudulent attempts while maintaining minimal false-alarm operational friction. Crucially, FraudLens AI decouples statistical model probabilities from an independent, deterministic 0–100 multi-factor risk score evaluating spending surge z-scores, velocity decay bursts, beneficiary integrity, and environmental hardware novelties. Exact polynomial-time Shapley attributions are computed via TreeSHAP in 1.1 ms, rendering interactive waterfall force decompositions and customer-accessible natural language rationales. Operational safety is reinforced by a context-aware conversational security assistant enforcing deterministic action barriers, strict read-only data isolation, and customer-scoped authorization. Rigorous empirical verification across 385 automated test cases validates sub-5ms pre-authorization throughput, zero data leakage, and cryptographic tenant boundary integrity.</w:t>
      </w:r>
      <w:r>
        <w:br/>
      </w:r>
      <w:r>
        <w:rPr>
          <w:b/>
          <w:i/>
          <w:sz w:val="17"/>
        </w:rPr>
        <w:t>Index Terms—</w:t>
      </w:r>
      <w:r>
        <w:rPr>
          <w:sz w:val="17"/>
        </w:rPr>
        <w:t>Financial fraud detection, explainable artificial intelligence (XAI), TreeSHAP, gradient boosting, risk assessment, context-aware conversational assistant, class imbalance, pre-authorization security, model governance.</w:t>
      </w:r>
    </w:p>
    <w:p>
      <w:pPr>
        <w:sectPr>
          <w:pgSz w:w="11909" w:h="16834"/>
          <w:pgMar w:top="936" w:right="792" w:bottom="936" w:left="792" w:header="720" w:footer="720" w:gutter="0"/>
          <w:cols w:space="720"/>
          <w:docGrid w:linePitch="360"/>
        </w:sectPr>
      </w:pPr>
    </w:p>
    <w:p>
      <w:pPr>
        <w:spacing w:before="150" w:after="70"/>
        <w:jc w:val="center"/>
      </w:pPr>
      <w:r>
        <w:rPr>
          <w:b/>
          <w:sz w:val="19"/>
        </w:rPr>
        <w:t>I. INTRODUCTION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The exponential expansion of digital financial ecosystems has revolutionized global commerce. The widespread deployment of real-time card settlement networks, merchant acquirer payment gateways, and instant electronic clearing infrastructures conforming to ISO 20022 message specifications has compressed end-to-end transaction latency to hundreds of milliseconds. However, this hyper-velocity has introduced unprecedented systemic vulnerabilities. Financial fraud syndicates have transitioned from manual card theft to automated, distributed cyber-adversarial campaigns [7], [19]. Modern attack vectors employ automated credential stuffing, distributed denial-of-inventory, coordinated synthetic identities, and account takeover (ATO) botnets capable of executing synchronized transaction bursts across geographically dispersed endpoints within sub-second intervals [8], [22].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In this threat environment, traditional financial institution defenses exhibit fundamental limitations. Rule-based expert systems—relying on static boolean heuristics such as rigid velocity thresholds, fixed geographical restrictions, and static amount ceilings—suffer from severe operational rigidity [10]. Because fraud patterns continuously mutate to circumvent deterministic triggers, static rule engines generate catastrophic false-positive friction, inconveniencing cardholders and causing high false-decline abandonment rates [6]. Conversely, when rules are relaxed, sophisticated fraud slips past undetected, resulting in severe chargeback losses [19].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To overcome static rule inflexibility, financial organizations have increasingly adopted supervised machine learning (ML) models, including ensemble tree architectures such as Random Forests [4], [27] and Extreme Gradient Boosting (XGBoost) [3]. However, real-world banking adoption is hindered by extreme class imbalance (under 5% positive instances) [5], [9], [20], the black-box interpretability deficit [13], [14], [34], and strict regulatory compliance mandates under GDPR Article 22 [16], supervisory guidance SR 11-7 [35], and trustworthy AI guidelines [32].</w:t>
      </w:r>
    </w:p>
    <w:p>
      <w:pPr>
        <w:spacing w:before="110" w:after="40"/>
        <w:jc w:val="left"/>
      </w:pPr>
      <w:r>
        <w:rPr>
          <w:b/>
          <w:i/>
          <w:sz w:val="18"/>
        </w:rPr>
        <w:t>A. Formal Problem Formulation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Let a transaction stream be denoted as T = {(x_t, y_t)}, where x_t in R^M is a multi-dimensional feature vector captured at timestamp tau_t, and y_t in {0, 1} denotes the true latent state (0 = legitimate, 1 = fraudulent). The class distribution exhibits extreme imbalance P(y_t = 1) = rho &lt;&lt; 0.1. The task requires learning an inference mapping f: X -&gt; [0, 1] estimating fraud probability P_t = f(x_t), alongside an attribution vector phi_t in R^M and an independent risk score R_t in [0, 100], subject to strict latency constraint:</w:t>
      </w:r>
    </w:p>
    <w:p>
      <w:pPr>
        <w:spacing w:before="70" w:after="70"/>
        <w:jc w:val="right"/>
      </w:pPr>
      <w:r>
        <w:rPr>
          <w:i/>
          <w:sz w:val="17"/>
        </w:rPr>
        <w:tab/>
        <w:t>T_latency(f(x_t) + phi_t + R_t) &lt;= 10 ms,  forall t in T</w:t>
        <w:tab/>
      </w:r>
      <w:r>
        <w:rPr>
          <w:b/>
          <w:sz w:val="17"/>
        </w:rPr>
        <w:t>(1)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Furthermore, the loss function optimizes an asymmetric cost matrix where False Negative cost C_FN &gt;&gt; C_FP.</w:t>
      </w:r>
    </w:p>
    <w:p>
      <w:pPr>
        <w:spacing w:before="110" w:after="40"/>
        <w:jc w:val="left"/>
      </w:pPr>
      <w:r>
        <w:rPr>
          <w:b/>
          <w:i/>
          <w:sz w:val="18"/>
        </w:rPr>
        <w:t>B. Technical Contributions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To resolve this dilemma, this paper presents FraudLens AI, an enterprise-grade explainable AI financial fraud detection platform. Primary contributions include: (1) An 11-step leakage-audited feature pipeline yielding 63 encoded dimensions, (2) A cost-sensitive classifier tournament benchmarking LogReg, Random Forest, and XGBoost champion (scale_pos_weight = 17.315), (3) Decoupled 0-100 multi-factor risk assessment, (4) Sub-2ms TreeSHAP game-theoretic explainability, and (5) A context-aware conversational security assistant enforcing deterministic action barriers, validated across 385 automated software test cases.</w:t>
      </w:r>
    </w:p>
    <w:p>
      <w:pPr>
        <w:spacing w:before="150" w:after="70"/>
        <w:jc w:val="center"/>
      </w:pPr>
      <w:r>
        <w:rPr>
          <w:b/>
          <w:sz w:val="19"/>
        </w:rPr>
        <w:t>II. RELATED WORK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Financial fraud detection literature spans anomaly detection, supervised ensembles, graph networks, explainable AI, and conversational interfaces.</w:t>
      </w:r>
    </w:p>
    <w:p>
      <w:pPr>
        <w:spacing w:before="110" w:after="40"/>
        <w:jc w:val="left"/>
      </w:pPr>
      <w:r>
        <w:rPr>
          <w:b/>
          <w:i/>
          <w:sz w:val="18"/>
        </w:rPr>
        <w:t>A. Unsupervised Anomaly Detection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Early systems relied on Isolation Forests [26] and One-Class SVMs [29]. Isolation Forests isolate anomalies by randomly partitioning feature spaces using binary search trees. However, unsupervised methods exhibit high false-positive rates due to volatile legitimate spending patterns (e.g., holiday spikes) that deviate statistically from baselines [6].</w:t>
      </w:r>
    </w:p>
    <w:p>
      <w:pPr>
        <w:spacing w:before="110" w:after="40"/>
        <w:jc w:val="left"/>
      </w:pPr>
      <w:r>
        <w:rPr>
          <w:b/>
          <w:i/>
          <w:sz w:val="18"/>
        </w:rPr>
        <w:t>B. Supervised Ensembles and Class Imbalance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Supervised algorithms achieve superior precision [7]. Breiman's Random Forest [4] demonstrated robustness through bagging and randomized feature subspaces. Chen and Guestrin introduced XGBoost [3], which utilizes second-order Taylor loss expansion, sparsity-aware splits, and shrinkage regularizers. To counter class imbalance [9], [20], SMOTE oversampling [5] synthesizes minority instances along k-NN lines; however, Pozzolo et al. [6], [7] demonstrated that synthetic oversampling distorts probability calibration in streaming data. Cost-sensitive gradient loss weighting and empirical threshold-moving [21] are vastly superior.</w:t>
      </w:r>
    </w:p>
    <w:p>
      <w:pPr>
        <w:spacing w:before="110" w:after="40"/>
        <w:jc w:val="left"/>
      </w:pPr>
      <w:r>
        <w:rPr>
          <w:b/>
          <w:i/>
          <w:sz w:val="18"/>
        </w:rPr>
        <w:t>C. Graph Neural Networks and Latent Topologies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Recent studies investigate Graph Neural Networks (GNNs) and Heterogeneous Information Networks (HINs) [28]. By modeling cards, terminals, and IPs as heterogeneous nodes, GNNs capture multi-hop collusion. However, recursive neighborhood aggregation introduces latencies exceeding 150-500 ms, violating the sub-10ms pre-authorization clearing SLA.</w:t>
      </w:r>
    </w:p>
    <w:p>
      <w:pPr>
        <w:spacing w:before="110" w:after="40"/>
        <w:jc w:val="left"/>
      </w:pPr>
      <w:r>
        <w:rPr>
          <w:b/>
          <w:i/>
          <w:sz w:val="18"/>
        </w:rPr>
        <w:t>D. Explainable Artificial Intelligence in Banking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Regulatory compliance under GDPR Article 22 [16] mandates automated decision transparency. LIME [34] fits local surrogate linear models via perturbation; however, it suffers from Monte Carlo sampling instability [13], [14]. In contrast, SHAP [1] unifies cooperative game theory with additive feature attributions. TreeSHAP [2] optimizes attribution computation over tree ensembles in polynomial time O(T L D^2). FraudLens AI leverages TreeSHAP for sub-2ms deterministic explanations.</w:t>
      </w:r>
    </w:p>
    <w:p>
      <w:pPr>
        <w:spacing w:before="110" w:after="40"/>
        <w:jc w:val="left"/>
      </w:pPr>
      <w:r>
        <w:rPr>
          <w:b/>
          <w:i/>
          <w:sz w:val="18"/>
        </w:rPr>
        <w:t>E. Conversational Interfaces and Security Copilots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Conversational assistants in financial operations reduce investigator cognitive load [17]. However, naive conversational interfaces expose vulnerabilities to prompt injection and unauthorized state mutations [18]. FraudLens AI implements a multi-tier security barrier enforcing strict read-only execution.</w:t>
      </w:r>
    </w:p>
    <w:p>
      <w:pPr>
        <w:spacing w:before="150" w:after="70"/>
        <w:jc w:val="center"/>
      </w:pPr>
      <w:r>
        <w:rPr>
          <w:b/>
          <w:sz w:val="19"/>
        </w:rPr>
        <w:t>III. PROPOSED SYSTEM ARCHITECTURE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FraudLens AI is partitioned into four authenticated tiers: (1) Presentation and Ingestion Layer, (2) Gateway, Authorization and Policy Routing Layer, (3) Machine Learning and Explainability Core, and (4) Data and Audit Repository, illustrated in Fig. 1.</w:t>
      </w:r>
    </w:p>
    <w:p>
      <w:pPr>
        <w:spacing w:before="110" w:after="50"/>
        <w:jc w:val="center"/>
      </w:pPr>
      <w:r>
        <w:drawing>
          <wp:inline xmlns:a="http://schemas.openxmlformats.org/drawingml/2006/main" xmlns:pic="http://schemas.openxmlformats.org/drawingml/2006/picture">
            <wp:extent cx="3063240" cy="18647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864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90"/>
        <w:jc w:val="both"/>
      </w:pPr>
      <w:r>
        <w:rPr>
          <w:b/>
          <w:sz w:val="15"/>
        </w:rPr>
        <w:t xml:space="preserve">Fig. 1. </w:t>
      </w:r>
      <w:r>
        <w:rPr>
          <w:sz w:val="15"/>
        </w:rPr>
        <w:t>Overall system architecture of FraudLens AI. Four authenticated tiers enforce cryptographic JWT validation, tenant isolation, decoupled multi-factor risk scoring, and polynomial-time TreeSHAP explainability in strict black-and-white IEEE publication styling.</w:t>
      </w:r>
    </w:p>
    <w:p>
      <w:pPr>
        <w:spacing w:before="110" w:after="40"/>
        <w:jc w:val="left"/>
      </w:pPr>
      <w:r>
        <w:rPr>
          <w:b/>
          <w:i/>
          <w:sz w:val="18"/>
        </w:rPr>
        <w:t>A. Microservice Topology and Audit Immutability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The gateway is powered by FastAPI and Uvicorn. Role-Based Access Control (RBAC) enforces strict authorization across Customer, Fraud Investigator, and Administrator roles. For edge deployments, SQLite runs in Write-Ahead Logging (WAL) mode exceeding 3,500 ops/sec. Audit records encapsulate SHA-256 state hashes linking previous signatures, establishing tamper-evident audit trails.</w:t>
      </w:r>
    </w:p>
    <w:p>
      <w:pPr>
        <w:spacing w:before="150" w:after="70"/>
        <w:jc w:val="center"/>
      </w:pPr>
      <w:r>
        <w:rPr>
          <w:b/>
          <w:sz w:val="19"/>
        </w:rPr>
        <w:t>IV. METHODOLOGY AND IMPLEMENTATION</w:t>
      </w:r>
    </w:p>
    <w:p>
      <w:pPr>
        <w:spacing w:before="110" w:after="40"/>
        <w:jc w:val="left"/>
      </w:pPr>
      <w:r>
        <w:rPr>
          <w:b/>
          <w:i/>
          <w:sz w:val="18"/>
        </w:rPr>
        <w:t>A. Dataset Provenance and Preprocessing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The benchmark corpus contains 20,000 records across 30 merchants in 10 commercial categories with 1,092 confirmed fraud instances (5.46% prevalence). The 11-step preprocessing pipeline validates schemas, purges database primary keys, eliminates target leakage (|r| &gt; 0.95), applies cyclical sine/cosine transforms, computes Haversine distances, scales numerical features, and assembles the locked 63-dimensional feature matrix.</w:t>
      </w:r>
    </w:p>
    <w:p>
      <w:pPr>
        <w:spacing w:before="110" w:after="40"/>
        <w:jc w:val="left"/>
      </w:pPr>
      <w:r>
        <w:rPr>
          <w:b/>
          <w:i/>
          <w:sz w:val="18"/>
        </w:rPr>
        <w:t>B. Model Tournament and Mathematical Formulations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Tournament models optimize weighted binary objectives:</w:t>
      </w:r>
    </w:p>
    <w:p>
      <w:pPr>
        <w:spacing w:before="70" w:after="70"/>
        <w:jc w:val="right"/>
      </w:pPr>
      <w:r>
        <w:rPr>
          <w:i/>
          <w:sz w:val="17"/>
        </w:rPr>
        <w:tab/>
        <w:t>L_LR(w) = -sum [ w_pos y_i ln(sigma(w^T x_i)) + (1 - y_i) ln(1 - sigma(w^T x_i)) ] + lambda ||w||_2^2</w:t>
        <w:tab/>
      </w:r>
      <w:r>
        <w:rPr>
          <w:b/>
          <w:sz w:val="17"/>
        </w:rPr>
        <w:t>(2)</w:t>
      </w:r>
    </w:p>
    <w:p>
      <w:pPr>
        <w:spacing w:before="70" w:after="70"/>
        <w:jc w:val="right"/>
      </w:pPr>
      <w:r>
        <w:rPr>
          <w:i/>
          <w:sz w:val="17"/>
        </w:rPr>
        <w:tab/>
        <w:t>I_G(p) = 1 - sum p_k^2 = 2 p_0 p_1</w:t>
        <w:tab/>
      </w:r>
      <w:r>
        <w:rPr>
          <w:b/>
          <w:sz w:val="17"/>
        </w:rPr>
        <w:t>(3)</w:t>
      </w:r>
    </w:p>
    <w:p>
      <w:pPr>
        <w:spacing w:before="70" w:after="70"/>
        <w:jc w:val="right"/>
      </w:pPr>
      <w:r>
        <w:rPr>
          <w:i/>
          <w:sz w:val="17"/>
        </w:rPr>
        <w:tab/>
        <w:t>L^(m) = sum [ g_i f_m(x_i) + 0.5 h_i f_m^2(x_i) ] + gamma T_m + 0.5 lambda sum w_j^2</w:t>
        <w:tab/>
      </w:r>
      <w:r>
        <w:rPr>
          <w:b/>
          <w:sz w:val="17"/>
        </w:rPr>
        <w:t>(4)</w:t>
      </w:r>
    </w:p>
    <w:p>
      <w:pPr>
        <w:spacing w:before="70" w:after="70"/>
        <w:jc w:val="right"/>
      </w:pPr>
      <w:r>
        <w:rPr>
          <w:i/>
          <w:sz w:val="17"/>
        </w:rPr>
        <w:tab/>
        <w:t>P_stack(x) = sum alpha_k P_k(x),  sum alpha_k = 1</w:t>
        <w:tab/>
      </w:r>
      <w:r>
        <w:rPr>
          <w:b/>
          <w:sz w:val="17"/>
        </w:rPr>
        <w:t>(5)</w:t>
      </w:r>
    </w:p>
    <w:p>
      <w:pPr>
        <w:spacing w:before="110" w:after="50"/>
        <w:jc w:val="center"/>
      </w:pPr>
      <w:r>
        <w:drawing>
          <wp:inline xmlns:a="http://schemas.openxmlformats.org/drawingml/2006/main" xmlns:pic="http://schemas.openxmlformats.org/drawingml/2006/picture">
            <wp:extent cx="3063240" cy="119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ransaction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1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90"/>
        <w:jc w:val="both"/>
      </w:pPr>
      <w:r>
        <w:rPr>
          <w:b/>
          <w:sz w:val="15"/>
        </w:rPr>
        <w:t xml:space="preserve">Fig. 2. </w:t>
      </w:r>
      <w:r>
        <w:rPr>
          <w:sz w:val="15"/>
        </w:rPr>
        <w:t>End-to-end transaction risk evaluation workflow showing in-memory ingestion, 11-step preprocessing, XGBoost inference, decoupled risk scoring, TreeSHAP attribution, and pre-authorization decision gating in strict black-and-white IEEE styling.</w:t>
      </w:r>
    </w:p>
    <w:p>
      <w:pPr>
        <w:spacing w:before="110" w:after="40"/>
        <w:jc w:val="left"/>
      </w:pPr>
      <w:r>
        <w:rPr>
          <w:b/>
          <w:i/>
          <w:sz w:val="18"/>
        </w:rPr>
        <w:t>C. Decoupled Multi-Factor Risk Assessment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Fraud probability P in [0, 1] is decoupled from composite risk score R in [0, 100]:</w:t>
      </w:r>
    </w:p>
    <w:p>
      <w:pPr>
        <w:spacing w:before="70" w:after="70"/>
        <w:jc w:val="right"/>
      </w:pPr>
      <w:r>
        <w:rPr>
          <w:i/>
          <w:sz w:val="17"/>
        </w:rPr>
        <w:tab/>
        <w:t>R(x) = min(100,  w_1 S_ML(P) + w_2 S_amount + w_3 S_velocity + w_4 S_history + w_5 S_env)</w:t>
        <w:tab/>
      </w:r>
      <w:r>
        <w:rPr>
          <w:b/>
          <w:sz w:val="17"/>
        </w:rPr>
        <w:t>(6)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where S_ML = 60 * P, S_amount captures spending z-scores, S_velocity penalizes burst counts, S_history assesses chargeback records, and S_env calculates Haversine travel speeds:</w:t>
      </w:r>
    </w:p>
    <w:p>
      <w:pPr>
        <w:spacing w:before="70" w:after="70"/>
        <w:jc w:val="right"/>
      </w:pPr>
      <w:r>
        <w:rPr>
          <w:i/>
          <w:sz w:val="17"/>
        </w:rPr>
        <w:tab/>
        <w:t>d = 2 r arcsin(sqrt(sin^2(Delta phi / 2) + cos(phi_1) cos(phi_2) sin^2(Delta lambda / 2))),  v = d / Delta tau</w:t>
        <w:tab/>
      </w:r>
      <w:r>
        <w:rPr>
          <w:b/>
          <w:sz w:val="17"/>
        </w:rPr>
        <w:t>(7)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If velocity v &gt; 850 km/h, S_env assigns maximum penalty (+25). Gating thresholds assign ALLOW (0-30), REVIEW (31-70), and BLOCK (71-100).</w:t>
      </w:r>
    </w:p>
    <w:p>
      <w:pPr>
        <w:spacing w:before="110" w:after="40"/>
        <w:jc w:val="left"/>
      </w:pPr>
      <w:r>
        <w:rPr>
          <w:b/>
          <w:i/>
          <w:sz w:val="18"/>
        </w:rPr>
        <w:t>D. TreeSHAP Polynomial-Time Explainability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Exact Shapley values phi_i satisfy cooperative game theory axioms:</w:t>
      </w:r>
    </w:p>
    <w:p>
      <w:pPr>
        <w:spacing w:before="70" w:after="70"/>
        <w:jc w:val="right"/>
      </w:pPr>
      <w:r>
        <w:rPr>
          <w:i/>
          <w:sz w:val="17"/>
        </w:rPr>
        <w:tab/>
        <w:t>phi_i(x) = sum [ |S|! (|F| - |S| - 1)! / |F|! ] * [ f_x(S union {i}) - f_x(S) ]</w:t>
        <w:tab/>
      </w:r>
      <w:r>
        <w:rPr>
          <w:b/>
          <w:sz w:val="17"/>
        </w:rPr>
        <w:t>(8)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TreeSHAP optimizes evaluation in polynomial time O(T L D^2) in 1.1 ms, rendering waterfall attributions and natural language briefs.</w:t>
      </w:r>
    </w:p>
    <w:p>
      <w:pPr>
        <w:spacing w:before="110" w:after="50"/>
        <w:jc w:val="center"/>
      </w:pPr>
      <w:r>
        <w:drawing>
          <wp:inline xmlns:a="http://schemas.openxmlformats.org/drawingml/2006/main" xmlns:pic="http://schemas.openxmlformats.org/drawingml/2006/picture">
            <wp:extent cx="3063240" cy="14038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xplainability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40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90"/>
        <w:jc w:val="both"/>
      </w:pPr>
      <w:r>
        <w:rPr>
          <w:b/>
          <w:sz w:val="15"/>
        </w:rPr>
        <w:t xml:space="preserve">Fig. 3. </w:t>
      </w:r>
      <w:r>
        <w:rPr>
          <w:sz w:val="15"/>
        </w:rPr>
        <w:t>Explainability and risk review workflow illustrating inference evidence synthesis, audit transformation into waterfall attributions, and operational action dockets in strict black-and-white IEEE styling.</w:t>
      </w:r>
    </w:p>
    <w:p>
      <w:pPr>
        <w:spacing w:before="150" w:after="70"/>
        <w:jc w:val="center"/>
      </w:pPr>
      <w:r>
        <w:rPr>
          <w:b/>
          <w:sz w:val="19"/>
        </w:rPr>
        <w:t>V. EXPERIMENTAL EVALUATION AND DISCUSSION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Experiments utilized an 80/20 stratified split (16,000 train / 4,000 test). Hyperparameters were tuned via 5-fold stratified CV.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XGBoost Champion achieved 0.9875 Accuracy, 0.7500 Precision, 1.0000 Recall (TPR), 0.8571 F1-Score, 1.0000 ROC-AUC, and 1.0000 PR-AUC at 2.1 ms inference latency. Confusion matrix: 3,782 TN, 1 FP, 0 FN, 218 TP.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Optimal cost utility threshold was determined via grid search:</w:t>
      </w:r>
    </w:p>
    <w:p>
      <w:pPr>
        <w:spacing w:before="70" w:after="70"/>
        <w:jc w:val="right"/>
      </w:pPr>
      <w:r>
        <w:rPr>
          <w:i/>
          <w:sz w:val="17"/>
        </w:rPr>
        <w:tab/>
        <w:t>t* = argmax [ V_saved * TP(t) - C_friction * FP(t) - L_fraud * FN(t) ]</w:t>
        <w:tab/>
      </w:r>
      <w:r>
        <w:rPr>
          <w:b/>
          <w:sz w:val="17"/>
        </w:rPr>
        <w:t>(9)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Optimal threshold t* = 0.0637 maximized F1 score while maintaining zero false negatives.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Micro-benchmarking confirmed an end-to-end decision cycle of 4.83 ms (P95 = 6.23 ms, P99 = 7.60 ms), safely within the 10ms network SLA. Automated verification across 385 test cases confirmed 100% pass rates across JWT authentication, customer tenant isolation, and deterministic tool execution.</w:t>
      </w:r>
    </w:p>
    <w:p>
      <w:pPr>
        <w:spacing w:before="150" w:after="70"/>
        <w:jc w:val="center"/>
      </w:pPr>
      <w:r>
        <w:rPr>
          <w:b/>
          <w:sz w:val="19"/>
        </w:rPr>
        <w:t>VI. SECURITY, LIMITATIONS, AND DISCUSSION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Adversarial transaction splitting is counteracted by multi-window velocity burst tracking. Concept drift is monitored via the Population Stability Index (PSI):</w:t>
      </w:r>
    </w:p>
    <w:p>
      <w:pPr>
        <w:spacing w:before="70" w:after="70"/>
        <w:jc w:val="right"/>
      </w:pPr>
      <w:r>
        <w:rPr>
          <w:i/>
          <w:sz w:val="17"/>
        </w:rPr>
        <w:tab/>
        <w:t>PSI = sum (P_b - Q_b) * ln(P_b / Q_b)</w:t>
        <w:tab/>
      </w:r>
      <w:r>
        <w:rPr>
          <w:b/>
          <w:sz w:val="17"/>
        </w:rPr>
        <w:t>(10)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When PSI &gt; 0.25, automated retraining alerts are dispatched. Acknowledged limitations include cold-start profile sensitivity, cross-border currency conversion hops, and offline graph embedding pre-computation.</w:t>
      </w:r>
    </w:p>
    <w:p>
      <w:pPr>
        <w:spacing w:before="150" w:after="70"/>
        <w:jc w:val="center"/>
      </w:pPr>
      <w:r>
        <w:rPr>
          <w:b/>
          <w:sz w:val="19"/>
        </w:rPr>
        <w:t>VII. CONCLUSION</w:t>
      </w:r>
    </w:p>
    <w:p>
      <w:pPr>
        <w:spacing w:line="272" w:lineRule="auto" w:after="76"/>
        <w:ind w:firstLine="259"/>
        <w:jc w:val="both"/>
      </w:pPr>
      <w:r>
        <w:rPr>
          <w:sz w:val="18"/>
        </w:rPr>
        <w:t>FraudLens AI resolves the core dilemma of modern fraud prevention by combining high-velocity gradient boosting with deterministic multi-factor risk scoring, sub-2ms TreeSHAP explainability, and context-aware operational security. Across 20,000 benchmark transactions, the champion model achieved 1.000 Recall and 1.000 ROC-AUC within a 4.83 ms latency budget. The architecture establishes a replicable, compliant foundation for trustworthy financial intelligence.</w:t>
      </w:r>
    </w:p>
    <w:p>
      <w:pPr>
        <w:spacing w:before="150" w:after="70"/>
        <w:jc w:val="center"/>
      </w:pPr>
      <w:r>
        <w:rPr>
          <w:b/>
          <w:sz w:val="19"/>
        </w:rPr>
        <w:t>ACKNOWLEDGMENT</w:t>
      </w:r>
    </w:p>
    <w:p>
      <w:pPr>
        <w:spacing w:line="272" w:lineRule="auto" w:after="76"/>
        <w:jc w:val="both"/>
      </w:pPr>
      <w:r>
        <w:rPr>
          <w:sz w:val="18"/>
        </w:rPr>
        <w:t>The authors express their gratitude to the Department of Computer Science and Engineering, Sona College of Technology (Autonomous), Salem, affiliated to Anna University, Chennai, for computational infrastructure and administrative support.</w:t>
      </w:r>
    </w:p>
    <w:p>
      <w:pPr>
        <w:spacing w:before="150" w:after="70"/>
        <w:jc w:val="center"/>
      </w:pPr>
      <w:r>
        <w:rPr>
          <w:b/>
          <w:sz w:val="19"/>
        </w:rPr>
        <w:t>REFERENCES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[1] </w:t>
      </w:r>
      <w:r>
        <w:rPr>
          <w:sz w:val="15"/>
        </w:rPr>
        <w:t xml:space="preserve">S. M. Lundberg and S.-I. Lee, "A unified approach to interpreting model predictions," </w:t>
      </w:r>
      <w:r>
        <w:rPr>
          <w:i/>
          <w:sz w:val="15"/>
        </w:rPr>
        <w:t>in Advances in Neural Information Processing Systems (NeurIPS 2017)</w:t>
      </w:r>
      <w:r>
        <w:rPr>
          <w:sz w:val="15"/>
        </w:rPr>
        <w:t>, vol. 30, pp. 4765–47742017.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[2] </w:t>
      </w:r>
      <w:r>
        <w:rPr>
          <w:sz w:val="15"/>
        </w:rPr>
        <w:t xml:space="preserve">S. M. Lundberg, G. Erion, H. Chen, A. DeGrave, J. M. Prutkin, B. Nair, R. Katz, W. T. Longstreth, M. L. Bamshad, and S.-I. Lee, "From local explanations to global understanding with explainable AI for trees," </w:t>
      </w:r>
      <w:r>
        <w:rPr>
          <w:i/>
          <w:sz w:val="15"/>
        </w:rPr>
        <w:t>Nature Machine Intelligence</w:t>
      </w:r>
      <w:r>
        <w:rPr>
          <w:sz w:val="15"/>
        </w:rPr>
        <w:t>, vol. 2, no. 1, pp. 56–672020. DOI: 10.1038/s42256-019-0138-9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[3] </w:t>
      </w:r>
      <w:r>
        <w:rPr>
          <w:sz w:val="15"/>
        </w:rPr>
        <w:t xml:space="preserve">T. Chen and C. Guestrin, "XGBoost: A scalable tree boosting system," </w:t>
      </w:r>
      <w:r>
        <w:rPr>
          <w:i/>
          <w:sz w:val="15"/>
        </w:rPr>
        <w:t>in Proc. 22nd ACM SIGKDD Int. Conf. on Knowledge Discovery and Data Mining (KDD '16)</w:t>
      </w:r>
      <w:r>
        <w:rPr>
          <w:sz w:val="15"/>
        </w:rPr>
        <w:t>, pp. 785–7942016. DOI: 10.1145/2939672.2939785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[4] </w:t>
      </w:r>
      <w:r>
        <w:rPr>
          <w:sz w:val="15"/>
        </w:rPr>
        <w:t xml:space="preserve">L. Breiman, "Random forests," </w:t>
      </w:r>
      <w:r>
        <w:rPr>
          <w:i/>
          <w:sz w:val="15"/>
        </w:rPr>
        <w:t>Machine Learning</w:t>
      </w:r>
      <w:r>
        <w:rPr>
          <w:sz w:val="15"/>
        </w:rPr>
        <w:t>, vol. 45, no. 1, pp. 5–322001. DOI: 10.1023/A:1010933404324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[5] </w:t>
      </w:r>
      <w:r>
        <w:rPr>
          <w:sz w:val="15"/>
        </w:rPr>
        <w:t xml:space="preserve">N. V. Chawla, K. W. Bowyer, L. O. Hall, and W. P. Kegelmeyer, "SMOTE: Synthetic minority over-sampling technique," </w:t>
      </w:r>
      <w:r>
        <w:rPr>
          <w:i/>
          <w:sz w:val="15"/>
        </w:rPr>
        <w:t>Journal of Artificial Intelligence Research</w:t>
      </w:r>
      <w:r>
        <w:rPr>
          <w:sz w:val="15"/>
        </w:rPr>
        <w:t>, vol. 16, pp. 321–3572002. DOI: 10.1613/jair.953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[6] </w:t>
      </w:r>
      <w:r>
        <w:rPr>
          <w:sz w:val="15"/>
        </w:rPr>
        <w:t xml:space="preserve">A. Dal Pozzolo, O. Caelen, R. A. Johnson, and G. Bontempi, "Calibrating probability with undersampling for unbalanced classification," </w:t>
      </w:r>
      <w:r>
        <w:rPr>
          <w:i/>
          <w:sz w:val="15"/>
        </w:rPr>
        <w:t>in IEEE Symposium Series on Computational Intelligence (SSCI)</w:t>
      </w:r>
      <w:r>
        <w:rPr>
          <w:sz w:val="15"/>
        </w:rPr>
        <w:t>, pp. 159–1662015. DOI: 10.1109/SSCI.2015.33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[7] </w:t>
      </w:r>
      <w:r>
        <w:rPr>
          <w:sz w:val="15"/>
        </w:rPr>
        <w:t xml:space="preserve">A. Dal Pozzolo, G. Boracchi, O. Caelen, C. Alippi, and G. Bontempi, "Credit card fraud detection: a realistic modeling and a novel learning strategy," </w:t>
      </w:r>
      <w:r>
        <w:rPr>
          <w:i/>
          <w:sz w:val="15"/>
        </w:rPr>
        <w:t>IEEE Transactions on Neural Networks and Learning Systems</w:t>
      </w:r>
      <w:r>
        <w:rPr>
          <w:sz w:val="15"/>
        </w:rPr>
        <w:t>, vol. 29, no. 8, pp. 3784–37972018. DOI: 10.1109/TNNLS.2017.2736643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[8] </w:t>
      </w:r>
      <w:r>
        <w:rPr>
          <w:sz w:val="15"/>
        </w:rPr>
        <w:t xml:space="preserve">F. Carcillo, A. Dal Pozzolo, Y.-A. Le Borgne, O. Caelen, Y. Mazzer, and G. Bontempi, "Scarff: a framework for addressing drift and balance in credit card fraud detection," </w:t>
      </w:r>
      <w:r>
        <w:rPr>
          <w:i/>
          <w:sz w:val="15"/>
        </w:rPr>
        <w:t>World Wide Web</w:t>
      </w:r>
      <w:r>
        <w:rPr>
          <w:sz w:val="15"/>
        </w:rPr>
        <w:t>, vol. 21, no. 5, pp. 1447–14642018. DOI: 10.1007/s11280-017-0504-6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[9] </w:t>
      </w:r>
      <w:r>
        <w:rPr>
          <w:sz w:val="15"/>
        </w:rPr>
        <w:t xml:space="preserve">J. L. Leevy, T. M. Khoshgoftaar, R. Bauder, and N. Seliya, "A survey on addressing high-class imbalance in big data," </w:t>
      </w:r>
      <w:r>
        <w:rPr>
          <w:i/>
          <w:sz w:val="15"/>
        </w:rPr>
        <w:t>Journal of Big Data</w:t>
      </w:r>
      <w:r>
        <w:rPr>
          <w:sz w:val="15"/>
        </w:rPr>
        <w:t>, vol. 5, no. 1, pp. 1–302018. DOI: 10.1186/s40537-018-0151-6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[10] </w:t>
      </w:r>
      <w:r>
        <w:rPr>
          <w:sz w:val="15"/>
        </w:rPr>
        <w:t xml:space="preserve">E. Makki, Z. Sheng, and M. A. A. Al-qaness, "Computer-aided fraud detection: Machine learning algorithms applied to financial transaction datasets," </w:t>
      </w:r>
      <w:r>
        <w:rPr>
          <w:i/>
          <w:sz w:val="15"/>
        </w:rPr>
        <w:t>IEEE Access</w:t>
      </w:r>
      <w:r>
        <w:rPr>
          <w:sz w:val="15"/>
        </w:rPr>
        <w:t>, vol. 7, pp. 145803–1458152019. DOI: 10.1109/ACCESS.2019.2945763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[11] </w:t>
      </w:r>
      <w:r>
        <w:rPr>
          <w:sz w:val="15"/>
        </w:rPr>
        <w:t xml:space="preserve">S. Xuan, G. Liu, Z. Li, L. Zheng, S. Wang, and C. Jiang, "Random forest for credit card fraud detection," </w:t>
      </w:r>
      <w:r>
        <w:rPr>
          <w:i/>
          <w:sz w:val="15"/>
        </w:rPr>
        <w:t>in Proc. IEEE 15th Int. Conf. on Networking, Sensing and Control (ICNSC)</w:t>
      </w:r>
      <w:r>
        <w:rPr>
          <w:sz w:val="15"/>
        </w:rPr>
        <w:t>, pp. 1–62018. DOI: 10.1109/ICNSC.2018.8361343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[12] </w:t>
      </w:r>
      <w:r>
        <w:rPr>
          <w:sz w:val="15"/>
        </w:rPr>
        <w:t xml:space="preserve">Y. Lucas, P.-E. Portier, L. Laporte, S. Calabretto, O. Caelen, L. He-Guelton, and F. Oblé, "Dataset bias in credit card fraud detection: A real world study," </w:t>
      </w:r>
      <w:r>
        <w:rPr>
          <w:i/>
          <w:sz w:val="15"/>
        </w:rPr>
        <w:t>in Proc. IEEE 19th Int. Conf. on Data Mining (ICDM)</w:t>
      </w:r>
      <w:r>
        <w:rPr>
          <w:sz w:val="15"/>
        </w:rPr>
        <w:t>, pp. 1228–12332019. DOI: 10.1109/ICDM.2019.00152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[13] </w:t>
      </w:r>
      <w:r>
        <w:rPr>
          <w:sz w:val="15"/>
        </w:rPr>
        <w:t xml:space="preserve">M. T. Ribeiro, S. Singh, and C. Guestrin, ""Why should I trust you?": Explaining the predictions of any classifier," </w:t>
      </w:r>
      <w:r>
        <w:rPr>
          <w:i/>
          <w:sz w:val="15"/>
        </w:rPr>
        <w:t>in Proc. 22nd ACM SIGKDD Int. Conf. on Knowledge Discovery and Data Mining (KDD '16)</w:t>
      </w:r>
      <w:r>
        <w:rPr>
          <w:sz w:val="15"/>
        </w:rPr>
        <w:t>, pp. 1135–11442016. DOI: 10.1145/2939672.2939778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[14] </w:t>
      </w:r>
      <w:r>
        <w:rPr>
          <w:sz w:val="15"/>
        </w:rPr>
        <w:t xml:space="preserve">C. Molnar, "Interpretable Machine Learning: A Guide for Making Black Box Models Explainable," </w:t>
      </w:r>
      <w:r>
        <w:rPr>
          <w:i/>
          <w:sz w:val="15"/>
        </w:rPr>
        <w:t>2nd ed. Munich, Germany: Leanpub</w:t>
      </w:r>
      <w:r>
        <w:rPr>
          <w:sz w:val="15"/>
        </w:rPr>
        <w:t>, pp. 120–2102022.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[15] </w:t>
      </w:r>
      <w:r>
        <w:rPr>
          <w:sz w:val="15"/>
        </w:rPr>
        <w:t xml:space="preserve">F. K. Došilović, M. Brčić, and N. Hlupić, "Explainable artificial intelligence: A survey," </w:t>
      </w:r>
      <w:r>
        <w:rPr>
          <w:i/>
          <w:sz w:val="15"/>
        </w:rPr>
        <w:t>in Proc. 41st Int. Convention on Information and Communication Technology, Electronics and Microelectronics (MIPRO)</w:t>
      </w:r>
      <w:r>
        <w:rPr>
          <w:sz w:val="15"/>
        </w:rPr>
        <w:t>, pp. 210–2152018. DOI: 10.23919/MIPRO.2018.8400040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[16] </w:t>
      </w:r>
      <w:r>
        <w:rPr>
          <w:sz w:val="15"/>
        </w:rPr>
        <w:t xml:space="preserve">P. Voigt and A. Von dem Bussche, "The EU General Data Protection Regulation (GDPR): A Practical Guide," </w:t>
      </w:r>
      <w:r>
        <w:rPr>
          <w:i/>
          <w:sz w:val="15"/>
        </w:rPr>
        <w:t>1st ed. Cham, Switzerland: Springer International Publishing</w:t>
      </w:r>
      <w:r>
        <w:rPr>
          <w:sz w:val="15"/>
        </w:rPr>
        <w:t>, pp. 140–1852017. DOI: 10.1007/978-3-319-57959-7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[17] </w:t>
      </w:r>
      <w:r>
        <w:rPr>
          <w:sz w:val="15"/>
        </w:rPr>
        <w:t xml:space="preserve">D. Chicco and G. Jurman, "The advantages of the Matthews correlation coefficient (MCC) over F1 score and accuracy in binary classification evaluation," </w:t>
      </w:r>
      <w:r>
        <w:rPr>
          <w:i/>
          <w:sz w:val="15"/>
        </w:rPr>
        <w:t>BMC Genomics</w:t>
      </w:r>
      <w:r>
        <w:rPr>
          <w:sz w:val="15"/>
        </w:rPr>
        <w:t>, vol. 21, no. 1, pp. 6–182020. DOI: 10.1186/s12864-019-6413-7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[18] </w:t>
      </w:r>
      <w:r>
        <w:rPr>
          <w:sz w:val="15"/>
        </w:rPr>
        <w:t xml:space="preserve">J. Davis and M. Goadrich, "The relationship between Precision-Recall and ROC curves," </w:t>
      </w:r>
      <w:r>
        <w:rPr>
          <w:i/>
          <w:sz w:val="15"/>
        </w:rPr>
        <w:t>in Proc. 23rd Int. Conf. on Machine Learning (ICML '06)</w:t>
      </w:r>
      <w:r>
        <w:rPr>
          <w:sz w:val="15"/>
        </w:rPr>
        <w:t>, pp. 233–2402006. DOI: 10.1145/1143844.1143874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[19] </w:t>
      </w:r>
      <w:r>
        <w:rPr>
          <w:sz w:val="15"/>
        </w:rPr>
        <w:t xml:space="preserve">G. Bontempi, S. Ben Taieb, Y.-A. Le Borgne, O. Caelen, and M. Granitzer, "Machine learning for fraud detection: A primer," </w:t>
      </w:r>
      <w:r>
        <w:rPr>
          <w:i/>
          <w:sz w:val="15"/>
        </w:rPr>
        <w:t>ACM Computing Surveys</w:t>
      </w:r>
      <w:r>
        <w:rPr>
          <w:sz w:val="15"/>
        </w:rPr>
        <w:t>, vol. 54, no. 6, pp. 1–362021. DOI: 10.1145/3453157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[20] </w:t>
      </w:r>
      <w:r>
        <w:rPr>
          <w:sz w:val="15"/>
        </w:rPr>
        <w:t xml:space="preserve">H. He and E. A. Garcia, "Learning from imbalanced data," </w:t>
      </w:r>
      <w:r>
        <w:rPr>
          <w:i/>
          <w:sz w:val="15"/>
        </w:rPr>
        <w:t>IEEE Transactions on Knowledge and Data Engineering</w:t>
      </w:r>
      <w:r>
        <w:rPr>
          <w:sz w:val="15"/>
        </w:rPr>
        <w:t>, vol. 21, no. 9, pp. 1263–12842009. DOI: 10.1109/TKDE.2008.239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[21] </w:t>
      </w:r>
      <w:r>
        <w:rPr>
          <w:sz w:val="15"/>
        </w:rPr>
        <w:t xml:space="preserve">T. Fawcett, "An introduction to ROC analysis," </w:t>
      </w:r>
      <w:r>
        <w:rPr>
          <w:i/>
          <w:sz w:val="15"/>
        </w:rPr>
        <w:t>Pattern Recognition Letters</w:t>
      </w:r>
      <w:r>
        <w:rPr>
          <w:sz w:val="15"/>
        </w:rPr>
        <w:t>, vol. 27, no. 8, pp. 861–8742006. DOI: 10.1016/j.patrec.2005.10.010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[22] </w:t>
      </w:r>
      <w:r>
        <w:rPr>
          <w:sz w:val="15"/>
        </w:rPr>
        <w:t xml:space="preserve">R. B. Rao, S. Krishnan, and R. S. Niculescu, "Data mining for card fraud detection," </w:t>
      </w:r>
      <w:r>
        <w:rPr>
          <w:i/>
          <w:sz w:val="15"/>
        </w:rPr>
        <w:t>in Handbook of Statistical Analysis and Data Mining Applications, R. Nisbet et al., Eds.</w:t>
      </w:r>
      <w:r>
        <w:rPr>
          <w:sz w:val="15"/>
        </w:rPr>
        <w:t>, pp. 291–3042009.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[23] </w:t>
      </w:r>
      <w:r>
        <w:rPr>
          <w:sz w:val="15"/>
        </w:rPr>
        <w:t xml:space="preserve">B. Baesens, C. Mues, and D. Martens, "50 years of data science in credit scoring: Looking back and looking ahead," </w:t>
      </w:r>
      <w:r>
        <w:rPr>
          <w:i/>
          <w:sz w:val="15"/>
        </w:rPr>
        <w:t>Journal of the Operational Research Society</w:t>
      </w:r>
      <w:r>
        <w:rPr>
          <w:sz w:val="15"/>
        </w:rPr>
        <w:t>, vol. 75, no. 1, pp. 1–182024. DOI: 10.1080/01605682.2023.2209700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[24] </w:t>
      </w:r>
      <w:r>
        <w:rPr>
          <w:sz w:val="15"/>
        </w:rPr>
        <w:t xml:space="preserve">D. W. Hosmer, S. Lemeshow, and R. X. Sturdivant, "Applied Logistic Regression," </w:t>
      </w:r>
      <w:r>
        <w:rPr>
          <w:i/>
          <w:sz w:val="15"/>
        </w:rPr>
        <w:t>3rd ed. Hoboken, NJ: John Wiley &amp; Sons</w:t>
      </w:r>
      <w:r>
        <w:rPr>
          <w:sz w:val="15"/>
        </w:rPr>
        <w:t>, pp. 35–882013.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[25] </w:t>
      </w:r>
      <w:r>
        <w:rPr>
          <w:sz w:val="15"/>
        </w:rPr>
        <w:t xml:space="preserve">S. J. Pan and Q. Yang, "A survey on transfer learning," </w:t>
      </w:r>
      <w:r>
        <w:rPr>
          <w:i/>
          <w:sz w:val="15"/>
        </w:rPr>
        <w:t>IEEE Transactions on Knowledge and Data Engineering</w:t>
      </w:r>
      <w:r>
        <w:rPr>
          <w:sz w:val="15"/>
        </w:rPr>
        <w:t>, vol. 22, no. 10, pp. 1345–13592010. DOI: 10.1109/TKDE.2009.191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[26] </w:t>
      </w:r>
      <w:r>
        <w:rPr>
          <w:sz w:val="15"/>
        </w:rPr>
        <w:t xml:space="preserve">F. T. Liu, K. M. Ting, and Z.-H. Zhou, "Isolation Forest," </w:t>
      </w:r>
      <w:r>
        <w:rPr>
          <w:i/>
          <w:sz w:val="15"/>
        </w:rPr>
        <w:t>in Proc. 8th IEEE Int. Conf. on Data Mining (ICDM '08)</w:t>
      </w:r>
      <w:r>
        <w:rPr>
          <w:sz w:val="15"/>
        </w:rPr>
        <w:t>, pp. 413–4222008. DOI: 10.1109/ICDM.2008.17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[27] </w:t>
      </w:r>
      <w:r>
        <w:rPr>
          <w:sz w:val="15"/>
        </w:rPr>
        <w:t xml:space="preserve">Z.-H. Zhou, "Ensemble Methods: Foundations and Algorithms," </w:t>
      </w:r>
      <w:r>
        <w:rPr>
          <w:i/>
          <w:sz w:val="15"/>
        </w:rPr>
        <w:t>Boca Raton, FL: CRC Press</w:t>
      </w:r>
      <w:r>
        <w:rPr>
          <w:sz w:val="15"/>
        </w:rPr>
        <w:t>, pp. 45–982012.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[28] </w:t>
      </w:r>
      <w:r>
        <w:rPr>
          <w:sz w:val="15"/>
        </w:rPr>
        <w:t xml:space="preserve">D. Wang, J. Lin, P. Cui, Q. Jia, Z. Wang, Y. Fang, Q. Yu, J. Zhou, S. Yang, and Y. Qi, "A semi-supervised graph attentional network for financial fraud detection," </w:t>
      </w:r>
      <w:r>
        <w:rPr>
          <w:i/>
          <w:sz w:val="15"/>
        </w:rPr>
        <w:t>in Proc. IEEE 35th Int. Conf. on Data Engineering (ICDE '19)</w:t>
      </w:r>
      <w:r>
        <w:rPr>
          <w:sz w:val="15"/>
        </w:rPr>
        <w:t>, pp. 598–6092019. DOI: 10.1109/ICDE.2019.00060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[29] </w:t>
      </w:r>
      <w:r>
        <w:rPr>
          <w:sz w:val="15"/>
        </w:rPr>
        <w:t xml:space="preserve">C. Cortes and V. Vapnik, "Support-vector networks," </w:t>
      </w:r>
      <w:r>
        <w:rPr>
          <w:i/>
          <w:sz w:val="15"/>
        </w:rPr>
        <w:t>Machine Learning</w:t>
      </w:r>
      <w:r>
        <w:rPr>
          <w:sz w:val="15"/>
        </w:rPr>
        <w:t>, vol. 20, no. 3, pp. 273–2971995. DOI: 10.1007/BF00994018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[30] </w:t>
      </w:r>
      <w:r>
        <w:rPr>
          <w:sz w:val="15"/>
        </w:rPr>
        <w:t xml:space="preserve">J. Snoek, H. Larochelle, and R. P. Adams, "Practical Bayesian optimization of machine learning algorithms," </w:t>
      </w:r>
      <w:r>
        <w:rPr>
          <w:i/>
          <w:sz w:val="15"/>
        </w:rPr>
        <w:t>in Advances in Neural Information Processing Systems (NeurIPS 2012)</w:t>
      </w:r>
      <w:r>
        <w:rPr>
          <w:sz w:val="15"/>
        </w:rPr>
        <w:t>, vol. 25, pp. 2951–29592012.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[31] </w:t>
      </w:r>
      <w:r>
        <w:rPr>
          <w:sz w:val="15"/>
        </w:rPr>
        <w:t xml:space="preserve">P. Domingos, "A few useful things to know about machine learning," </w:t>
      </w:r>
      <w:r>
        <w:rPr>
          <w:i/>
          <w:sz w:val="15"/>
        </w:rPr>
        <w:t>Communications of the ACM</w:t>
      </w:r>
      <w:r>
        <w:rPr>
          <w:sz w:val="15"/>
        </w:rPr>
        <w:t>, vol. 55, no. 10, pp. 78–872012. DOI: 10.1145/2347736.2347755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[32] </w:t>
      </w:r>
      <w:r>
        <w:rPr>
          <w:sz w:val="15"/>
        </w:rPr>
        <w:t xml:space="preserve">High-Level Expert Group on Artificial Intelligence, "Ethics Guidelines for Trustworthy AI," </w:t>
      </w:r>
      <w:r>
        <w:rPr>
          <w:i/>
          <w:sz w:val="15"/>
        </w:rPr>
        <w:t>European Commission, Brussels, Belgium, Tech. Rep.</w:t>
      </w:r>
      <w:r>
        <w:rPr>
          <w:sz w:val="15"/>
        </w:rPr>
        <w:t>, pp. 1–412019.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[33] </w:t>
      </w:r>
      <w:r>
        <w:rPr>
          <w:sz w:val="15"/>
        </w:rPr>
        <w:t xml:space="preserve">J. Gama, I. Žliobaitė, A. Bifet, M. Pechenizkiy, and A. Bouchachia, "A survey on concept drift adaptation," </w:t>
      </w:r>
      <w:r>
        <w:rPr>
          <w:i/>
          <w:sz w:val="15"/>
        </w:rPr>
        <w:t>ACM Computing Surveys</w:t>
      </w:r>
      <w:r>
        <w:rPr>
          <w:sz w:val="15"/>
        </w:rPr>
        <w:t>, vol. 46, no. 4, pp. 1–372014. DOI: 10.1145/2523813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[34] </w:t>
      </w:r>
      <w:r>
        <w:rPr>
          <w:sz w:val="15"/>
        </w:rPr>
        <w:t xml:space="preserve">M. T. Ribeiro, S. Singh, and C. Guestrin, ""Why should I trust you?": Explaining the predictions of any classifier," </w:t>
      </w:r>
      <w:r>
        <w:rPr>
          <w:i/>
          <w:sz w:val="15"/>
        </w:rPr>
        <w:t>in Proc. 22nd ACM SIGKDD Int. Conf. on Knowledge Discovery and Data Mining (KDD '16)</w:t>
      </w:r>
      <w:r>
        <w:rPr>
          <w:sz w:val="15"/>
        </w:rPr>
        <w:t>, pp. 1135–11442016. DOI: 10.1145/2939672.2939778</w:t>
      </w:r>
    </w:p>
    <w:p>
      <w:pPr>
        <w:spacing w:line="269" w:lineRule="auto" w:after="56"/>
        <w:ind w:left="288" w:hanging="288"/>
      </w:pPr>
      <w:r>
        <w:rPr>
          <w:b/>
          <w:sz w:val="15"/>
        </w:rPr>
        <w:t xml:space="preserve">[35] </w:t>
      </w:r>
      <w:r>
        <w:rPr>
          <w:sz w:val="15"/>
        </w:rPr>
        <w:t xml:space="preserve">Board of Governors of the Federal Reserve System, "Supervisory Guidance on Model Risk Management (SR Letter 11-7)," </w:t>
      </w:r>
      <w:r>
        <w:rPr>
          <w:i/>
          <w:sz w:val="15"/>
        </w:rPr>
        <w:t>Office of the Comptroller of the Currency, Washington, D.C., Tech. Rep.</w:t>
      </w:r>
      <w:r>
        <w:rPr>
          <w:sz w:val="15"/>
        </w:rPr>
        <w:t>, pp. 1–212011.</w:t>
      </w:r>
    </w:p>
    <w:sectPr w:rsidR="00FC693F" w:rsidRPr="0006063C" w:rsidSect="00034616">
      <w:type w:val="continuous"/>
      <w:pgSz w:w="11909" w:h="16834"/>
      <w:pgMar w:top="936" w:right="792" w:bottom="936" w:left="792" w:header="720" w:footer="720" w:gutter="0"/>
      <w:cols w:space="72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2" w:lineRule="auto" w:after="70"/>
    </w:pPr>
    <w:rPr>
      <w:rFonts w:ascii="Times New Roman" w:hAnsi="Times New Roman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