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07" w:lineRule="auto"/>
        <w:jc w:val="center"/>
      </w:pPr>
      <w:r>
        <w:rPr>
          <w:rFonts w:ascii="Times New Roman" w:hAnsi="Times New Roman"/>
          <w:sz w:val="22"/>
        </w:rPr>
        <w:t>APPENDIX 1</w:t>
        <w:br/>
        <w:t>(A typical Specimen of Cover Page &amp; Title Page)</w:t>
      </w:r>
    </w:p>
    <w:p>
      <w:pPr>
        <w:spacing w:before="400" w:after="320" w:line="307" w:lineRule="auto"/>
        <w:jc w:val="center"/>
      </w:pPr>
      <w:r>
        <w:rPr>
          <w:rFonts w:ascii="Times New Roman" w:hAnsi="Times New Roman"/>
          <w:b/>
          <w:sz w:val="36"/>
        </w:rPr>
        <w:t>FRAUDLENS AI: EXPLAINABLE AI-BASED FINANCIAL FRAUD AND RISK DETECTION SYSTEM</w:t>
      </w:r>
    </w:p>
    <w:p>
      <w:pPr>
        <w:spacing w:before="200" w:after="200" w:line="307" w:lineRule="auto"/>
        <w:jc w:val="center"/>
      </w:pPr>
      <w:r>
        <w:rPr>
          <w:rFonts w:ascii="Times New Roman" w:hAnsi="Times New Roman"/>
          <w:b/>
          <w:sz w:val="28"/>
        </w:rPr>
        <w:t>A PROJECT REPORT</w:t>
      </w:r>
    </w:p>
    <w:p>
      <w:pPr>
        <w:spacing w:before="120" w:after="200" w:line="307" w:lineRule="auto"/>
        <w:jc w:val="center"/>
      </w:pPr>
      <w:r>
        <w:rPr>
          <w:rFonts w:ascii="Times New Roman" w:hAnsi="Times New Roman"/>
          <w:i/>
          <w:sz w:val="28"/>
        </w:rPr>
        <w:t>Submitted by</w:t>
      </w:r>
    </w:p>
    <w:p>
      <w:pPr>
        <w:spacing w:before="200" w:after="320" w:line="307" w:lineRule="auto"/>
        <w:jc w:val="center"/>
      </w:pPr>
      <w:r>
        <w:rPr>
          <w:rFonts w:ascii="Times New Roman" w:hAnsi="Times New Roman"/>
          <w:b/>
          <w:sz w:val="32"/>
        </w:rPr>
        <w:t>MOHAMED YASAR M</w:t>
        <w:br/>
      </w:r>
      <w:r>
        <w:rPr>
          <w:rFonts w:ascii="Times New Roman" w:hAnsi="Times New Roman"/>
          <w:sz w:val="28"/>
        </w:rPr>
        <w:t>(Reg. No.: 211419104035)</w:t>
      </w:r>
    </w:p>
    <w:p>
      <w:pPr>
        <w:spacing w:before="200" w:after="280" w:line="307" w:lineRule="auto"/>
        <w:jc w:val="center"/>
      </w:pPr>
      <w:r>
        <w:rPr>
          <w:rFonts w:ascii="Times New Roman" w:hAnsi="Times New Roman"/>
          <w:i/>
          <w:sz w:val="28"/>
        </w:rPr>
        <w:t>in partial fulfillment for the award of the degree</w:t>
        <w:br/>
        <w:t>of</w:t>
      </w:r>
    </w:p>
    <w:p>
      <w:pPr>
        <w:spacing w:before="200" w:after="400" w:line="307" w:lineRule="auto"/>
        <w:jc w:val="center"/>
      </w:pPr>
      <w:r>
        <w:rPr>
          <w:rFonts w:ascii="Times New Roman" w:hAnsi="Times New Roman"/>
          <w:b/>
          <w:sz w:val="32"/>
        </w:rPr>
        <w:t>BACHELOR OF ENGINEERING</w:t>
        <w:br/>
        <w:t>IN</w:t>
        <w:br/>
        <w:t>COMPUTER SCIENCE AND ENGINEERING</w:t>
      </w:r>
    </w:p>
    <w:p>
      <w:pPr>
        <w:spacing w:before="400" w:after="80" w:line="307" w:lineRule="auto"/>
        <w:jc w:val="center"/>
      </w:pPr>
      <w:r>
        <w:rPr>
          <w:rFonts w:ascii="Times New Roman" w:hAnsi="Times New Roman"/>
          <w:b/>
          <w:sz w:val="32"/>
        </w:rPr>
        <w:t>SONA COLLEGE OF TECHNOLOGY, SALEM</w:t>
      </w:r>
    </w:p>
    <w:p>
      <w:pPr>
        <w:spacing w:before="80" w:after="320" w:line="307" w:lineRule="auto"/>
        <w:jc w:val="center"/>
      </w:pPr>
      <w:r>
        <w:rPr>
          <w:rFonts w:ascii="Times New Roman" w:hAnsi="Times New Roman"/>
          <w:b/>
          <w:sz w:val="28"/>
        </w:rPr>
        <w:t>ANNA UNIVERSITY : CHENNAI 600 025</w:t>
        <w:br/>
        <w:t>OCTOBER 2026</w:t>
      </w:r>
    </w:p>
    <w:p>
      <w:r>
        <w:br w:type="page"/>
      </w:r>
    </w:p>
    <w:p>
      <w:pPr>
        <w:spacing w:before="480" w:after="320" w:line="307" w:lineRule="auto"/>
        <w:jc w:val="center"/>
      </w:pPr>
      <w:r>
        <w:rPr>
          <w:rFonts w:ascii="Times New Roman" w:hAnsi="Times New Roman"/>
          <w:b/>
          <w:sz w:val="36"/>
        </w:rPr>
        <w:t>FRAUDLENS AI: EXPLAINABLE AI-BASED FINANCIAL FRAUD AND RISK DETECTION SYSTEM</w:t>
      </w:r>
    </w:p>
    <w:p>
      <w:pPr>
        <w:spacing w:before="200" w:after="200" w:line="307" w:lineRule="auto"/>
        <w:jc w:val="center"/>
      </w:pPr>
      <w:r>
        <w:rPr>
          <w:rFonts w:ascii="Times New Roman" w:hAnsi="Times New Roman"/>
          <w:b/>
          <w:sz w:val="28"/>
        </w:rPr>
        <w:t>A PROJECT REPORT</w:t>
      </w:r>
    </w:p>
    <w:p>
      <w:pPr>
        <w:spacing w:before="120" w:after="200" w:line="307" w:lineRule="auto"/>
        <w:jc w:val="center"/>
      </w:pPr>
      <w:r>
        <w:rPr>
          <w:rFonts w:ascii="Times New Roman" w:hAnsi="Times New Roman"/>
          <w:i/>
          <w:sz w:val="28"/>
        </w:rPr>
        <w:t>Submitted by</w:t>
      </w:r>
    </w:p>
    <w:p>
      <w:pPr>
        <w:spacing w:before="200" w:after="320" w:line="307" w:lineRule="auto"/>
        <w:jc w:val="center"/>
      </w:pPr>
      <w:r>
        <w:rPr>
          <w:rFonts w:ascii="Times New Roman" w:hAnsi="Times New Roman"/>
          <w:b/>
          <w:sz w:val="32"/>
        </w:rPr>
        <w:t>MOHAMED YASAR M</w:t>
        <w:br/>
      </w:r>
      <w:r>
        <w:rPr>
          <w:rFonts w:ascii="Times New Roman" w:hAnsi="Times New Roman"/>
          <w:sz w:val="28"/>
        </w:rPr>
        <w:t>(Reg. No.: 211419104035)</w:t>
      </w:r>
    </w:p>
    <w:p>
      <w:pPr>
        <w:spacing w:before="200" w:after="280" w:line="307" w:lineRule="auto"/>
        <w:jc w:val="center"/>
      </w:pPr>
      <w:r>
        <w:rPr>
          <w:rFonts w:ascii="Times New Roman" w:hAnsi="Times New Roman"/>
          <w:i/>
          <w:sz w:val="28"/>
        </w:rPr>
        <w:t>in partial fulfillment for the award of the degree</w:t>
        <w:br/>
        <w:t>of</w:t>
      </w:r>
    </w:p>
    <w:p>
      <w:pPr>
        <w:spacing w:before="200" w:after="400" w:line="307" w:lineRule="auto"/>
        <w:jc w:val="center"/>
      </w:pPr>
      <w:r>
        <w:rPr>
          <w:rFonts w:ascii="Times New Roman" w:hAnsi="Times New Roman"/>
          <w:b/>
          <w:sz w:val="32"/>
        </w:rPr>
        <w:t>BACHELOR OF ENGINEERING</w:t>
        <w:br/>
        <w:t>IN</w:t>
        <w:br/>
        <w:t>COMPUTER SCIENCE AND ENGINEERING</w:t>
      </w:r>
    </w:p>
    <w:p>
      <w:pPr>
        <w:spacing w:before="400" w:after="80" w:line="307" w:lineRule="auto"/>
        <w:jc w:val="center"/>
      </w:pPr>
      <w:r>
        <w:rPr>
          <w:rFonts w:ascii="Times New Roman" w:hAnsi="Times New Roman"/>
          <w:b/>
          <w:sz w:val="32"/>
        </w:rPr>
        <w:t>SONA COLLEGE OF TECHNOLOGY, SALEM</w:t>
      </w:r>
    </w:p>
    <w:p>
      <w:pPr>
        <w:spacing w:before="80" w:after="320" w:line="307" w:lineRule="auto"/>
        <w:jc w:val="center"/>
      </w:pPr>
      <w:r>
        <w:rPr>
          <w:rFonts w:ascii="Times New Roman" w:hAnsi="Times New Roman"/>
          <w:b/>
          <w:sz w:val="28"/>
        </w:rPr>
        <w:t>ANNA UNIVERSITY : CHENNAI 600 025</w:t>
        <w:br/>
        <w:t>OCTOBER 2026</w:t>
      </w:r>
    </w:p>
    <w:p>
      <w:r>
        <w:br w:type="page"/>
      </w:r>
    </w:p>
    <w:p>
      <w:pPr>
        <w:spacing w:before="0" w:after="320" w:line="307" w:lineRule="auto"/>
        <w:jc w:val="center"/>
      </w:pPr>
      <w:r>
        <w:rPr>
          <w:rFonts w:ascii="Times New Roman" w:hAnsi="Times New Roman"/>
          <w:sz w:val="22"/>
        </w:rPr>
        <w:t>APPENDIX 2</w:t>
        <w:br/>
        <w:t>SAMPLE SHEET FOR COMPLETION CERTIFICATE</w:t>
      </w:r>
    </w:p>
    <w:p>
      <w:pPr>
        <w:spacing w:before="320" w:after="80" w:line="307" w:lineRule="auto"/>
        <w:jc w:val="center"/>
      </w:pPr>
      <w:r>
        <w:rPr>
          <w:rFonts w:ascii="Times New Roman" w:hAnsi="Times New Roman"/>
          <w:b/>
          <w:sz w:val="32"/>
        </w:rPr>
        <w:t>SONA COLLEGE OF TECHNOLOGY, SALEM</w:t>
      </w:r>
    </w:p>
    <w:p>
      <w:pPr>
        <w:spacing w:before="80" w:after="600" w:line="307" w:lineRule="auto"/>
        <w:jc w:val="center"/>
      </w:pPr>
      <w:r>
        <w:rPr>
          <w:rFonts w:ascii="Times New Roman" w:hAnsi="Times New Roman"/>
          <w:b/>
          <w:sz w:val="28"/>
        </w:rPr>
        <w:t>DEPARTMENT OF COMPUTER SCIENCE AND ENGINEERING</w:t>
      </w:r>
    </w:p>
    <w:p>
      <w:pPr>
        <w:spacing w:before="400" w:after="1200" w:line="307" w:lineRule="auto"/>
        <w:jc w:val="both"/>
      </w:pPr>
      <w:r>
        <w:rPr>
          <w:rFonts w:ascii="Times New Roman" w:hAnsi="Times New Roman"/>
          <w:sz w:val="26"/>
        </w:rPr>
        <w:t>The project report entitled "</w:t>
      </w:r>
      <w:r>
        <w:rPr>
          <w:rFonts w:ascii="Times New Roman" w:hAnsi="Times New Roman"/>
          <w:b/>
          <w:sz w:val="26"/>
        </w:rPr>
        <w:t>FRAUDLENS AI: EXPLAINABLE AI-BASED FINANCIAL FRAUD AND RISK DETECTION SYSTEM</w:t>
      </w:r>
      <w:r>
        <w:rPr>
          <w:rFonts w:ascii="Times New Roman" w:hAnsi="Times New Roman"/>
          <w:sz w:val="26"/>
        </w:rPr>
        <w:t>" submitted by MOHAMED YASAR M (Reg. No. 211419104035) is completed and may be accepted for being evaluated.</w:t>
      </w:r>
    </w:p>
    <w:tbl>
      <w:tblPr>
        <w:tblW w:type="auto" w:w="0"/>
        <w:jc w:val="center"/>
        <w:tblLook w:firstColumn="1" w:firstRow="1" w:lastColumn="0" w:lastRow="0" w:noHBand="0" w:noVBand="1" w:val="04A0"/>
      </w:tblPr>
      <w:tblGrid>
        <w:gridCol w:w="4514"/>
        <w:gridCol w:w="4514"/>
      </w:tblGrid>
      <w:tr>
        <w:tc>
          <w:tcPr>
            <w:tcW w:type="dxa" w:w="4608"/>
          </w:tcPr>
          <w:p>
            <w:pPr>
              <w:spacing w:before="0" w:after="50" w:line="307" w:lineRule="auto"/>
              <w:jc w:val="left"/>
            </w:pPr>
            <w:r>
              <w:rPr>
                <w:rFonts w:ascii="Times New Roman" w:hAnsi="Times New Roman"/>
                <w:b/>
                <w:sz w:val="24"/>
              </w:rPr>
              <w:t>Date: 03-10-2026</w:t>
              <w:br/>
              <w:t>Place: Salem</w:t>
            </w:r>
          </w:p>
        </w:tc>
        <w:tc>
          <w:tcPr>
            <w:tcW w:type="dxa" w:w="4608"/>
          </w:tcPr>
          <w:p>
            <w:pPr>
              <w:spacing w:before="0" w:after="50" w:line="307" w:lineRule="auto"/>
              <w:jc w:val="right"/>
            </w:pPr>
            <w:r>
              <w:rPr>
                <w:rFonts w:ascii="Times New Roman" w:hAnsi="Times New Roman"/>
                <w:sz w:val="23"/>
              </w:rPr>
              <w:t>Signature of the Supervisor</w:t>
              <w:br/>
              <w:br/>
              <w:t>(Dr. R. Senthil Kumar, M.E., Ph.D.)</w:t>
              <w:br/>
              <w:t>Professor, Department of Computer Science and Engineering</w:t>
            </w:r>
          </w:p>
        </w:tc>
      </w:tr>
    </w:tbl>
    <w:p>
      <w:r>
        <w:br w:type="page"/>
      </w:r>
    </w:p>
    <w:p>
      <w:pPr>
        <w:spacing w:before="0" w:after="240" w:line="307" w:lineRule="auto"/>
        <w:jc w:val="center"/>
      </w:pPr>
      <w:r>
        <w:rPr>
          <w:rFonts w:ascii="Times New Roman" w:hAnsi="Times New Roman"/>
          <w:sz w:val="22"/>
        </w:rPr>
        <w:t>APPENDIX 3</w:t>
        <w:br/>
        <w:t>(A typical specimen of Bonafide Certificate)</w:t>
      </w:r>
    </w:p>
    <w:p>
      <w:pPr>
        <w:spacing w:before="240" w:after="80" w:line="307" w:lineRule="auto"/>
        <w:jc w:val="center"/>
      </w:pPr>
      <w:r>
        <w:rPr>
          <w:rFonts w:ascii="Times New Roman" w:hAnsi="Times New Roman"/>
          <w:b/>
          <w:sz w:val="32"/>
        </w:rPr>
        <w:t>SONA COLLEGE OF TECHNOLOGY, SALEM</w:t>
        <w:br/>
        <w:t>(AUTONOMOUS)</w:t>
      </w:r>
    </w:p>
    <w:p>
      <w:pPr>
        <w:spacing w:before="80" w:after="400" w:line="307" w:lineRule="auto"/>
        <w:jc w:val="center"/>
      </w:pPr>
      <w:r>
        <w:rPr>
          <w:rFonts w:ascii="Times New Roman" w:hAnsi="Times New Roman"/>
          <w:b/>
          <w:sz w:val="26"/>
        </w:rPr>
        <w:t>AFFILIATED TO ANNA UNIVERSITY : CHENNAI 600 025</w:t>
      </w:r>
    </w:p>
    <w:p>
      <w:pPr>
        <w:spacing w:before="320" w:after="1000" w:line="307" w:lineRule="auto"/>
        <w:jc w:val="both"/>
      </w:pPr>
      <w:r>
        <w:rPr>
          <w:rFonts w:ascii="Times New Roman" w:hAnsi="Times New Roman"/>
          <w:sz w:val="24"/>
        </w:rPr>
        <w:t>Certified that this project report "</w:t>
      </w:r>
      <w:r>
        <w:rPr>
          <w:rFonts w:ascii="Times New Roman" w:hAnsi="Times New Roman"/>
          <w:b/>
          <w:sz w:val="24"/>
        </w:rPr>
        <w:t>FRAUDLENS AI: EXPLAINABLE AI-BASED FINANCIAL FRAUD AND RISK DETECTION SYSTEM</w:t>
      </w:r>
      <w:r>
        <w:rPr>
          <w:rFonts w:ascii="Times New Roman" w:hAnsi="Times New Roman"/>
          <w:sz w:val="24"/>
        </w:rPr>
        <w:t>" is the bonafide work of "MOHAMED YASAR M (Reg. No. 211419104035)" who carried out the project work under my supervision.</w:t>
      </w:r>
    </w:p>
    <w:tbl>
      <w:tblPr>
        <w:tblW w:type="auto" w:w="0"/>
        <w:jc w:val="center"/>
        <w:tblLook w:firstColumn="1" w:firstRow="1" w:lastColumn="0" w:lastRow="0" w:noHBand="0" w:noVBand="1" w:val="04A0"/>
      </w:tblPr>
      <w:tblGrid>
        <w:gridCol w:w="4514"/>
        <w:gridCol w:w="4514"/>
      </w:tblGrid>
      <w:tr>
        <w:tc>
          <w:tcPr>
            <w:tcW w:type="dxa" w:w="4608"/>
          </w:tcPr>
          <w:p>
            <w:pPr>
              <w:spacing w:before="0" w:after="50" w:line="307" w:lineRule="auto"/>
              <w:jc w:val="left"/>
            </w:pPr>
            <w:r>
              <w:rPr>
                <w:rFonts w:ascii="Times New Roman" w:hAnsi="Times New Roman"/>
                <w:sz w:val="22"/>
              </w:rPr>
              <w:t>SIGNATURE</w:t>
              <w:br/>
              <w:br/>
              <w:br/>
              <w:t>Dr. B. Sathiyabhama, M.E., Ph.D.</w:t>
              <w:br/>
              <w:t>HEAD OF THE DEPARTMENT</w:t>
              <w:br/>
              <w:t>Professor &amp; Head, Department of Computer Science and Engineering</w:t>
              <w:br/>
              <w:t>Sona College of Technology, Junction Main Road, Salem - 636 005, Tamil Nadu, India</w:t>
            </w:r>
          </w:p>
        </w:tc>
        <w:tc>
          <w:tcPr>
            <w:tcW w:type="dxa" w:w="4608"/>
          </w:tcPr>
          <w:p>
            <w:pPr>
              <w:spacing w:before="0" w:after="50" w:line="307" w:lineRule="auto"/>
              <w:jc w:val="right"/>
            </w:pPr>
            <w:r>
              <w:rPr>
                <w:rFonts w:ascii="Times New Roman" w:hAnsi="Times New Roman"/>
                <w:sz w:val="22"/>
              </w:rPr>
              <w:t>SIGNATURE</w:t>
              <w:br/>
              <w:br/>
              <w:br/>
              <w:t>Dr. R. Senthil Kumar, M.E., Ph.D.</w:t>
              <w:br/>
              <w:t>SUPERVISOR</w:t>
              <w:br/>
              <w:t>Professor, Department of Computer Science and Engineering</w:t>
              <w:br/>
              <w:t>Sona College of Technology, Junction Main Road, Salem - 636 005, Tamil Nadu, India</w:t>
            </w:r>
          </w:p>
        </w:tc>
      </w:tr>
    </w:tbl>
    <w:p>
      <w:r>
        <w:br w:type="page"/>
      </w:r>
    </w:p>
    <w:p>
      <w:pPr>
        <w:spacing w:before="320" w:after="280" w:line="307" w:lineRule="auto"/>
        <w:jc w:val="center"/>
      </w:pPr>
      <w:r>
        <w:rPr>
          <w:rFonts w:ascii="Times New Roman" w:hAnsi="Times New Roman"/>
          <w:b/>
          <w:sz w:val="32"/>
        </w:rPr>
        <w:t>ABSTRACT</w:t>
      </w:r>
    </w:p>
    <w:p>
      <w:pPr>
        <w:spacing w:before="0" w:after="70" w:line="300" w:lineRule="auto"/>
        <w:jc w:val="both"/>
      </w:pPr>
      <w:r>
        <w:rPr>
          <w:rFonts w:ascii="Times New Roman" w:hAnsi="Times New Roman"/>
          <w:sz w:val="23"/>
        </w:rPr>
        <w:t>In the modern financial digital economy, the exponential adoption of instantaneous payment infrastructures—such as Unified Payments Interface (UPI), Immediate Payment Service (IMPS), real-time card clearing, and digital merchant wallets—has transformed consumer commerce while concurrently catalyzing unprecedented growth in sophisticated financial fraud. Fraud syndicates increasingly deploy distributed account takeover (ATO) botnets, synthetic identity rings, cross-border payment evasion, credential stuffing, and velocity burst manipulation to exploit authorization latency windows. Conventional fraud mitigation mechanisms remain fundamentally polarized: static deterministic rule-based engines suffer from acute rigidity and catastrophic false-positive friction, while contemporary "black-box" machine learning ensembles, despite high statistical accuracy, obscure the causal reasoning underpinning their decisions. This lack of transparency violates emerging regulatory compliance directives (including the European Union General Data Protection Regulation Right to Explanation and Reserve Bank of India digital payment security directives) and impedes the operational velocity of human forensic investigators.</w:t>
      </w:r>
    </w:p>
    <w:p>
      <w:pPr>
        <w:spacing w:before="0" w:after="70" w:line="300" w:lineRule="auto"/>
        <w:jc w:val="both"/>
      </w:pPr>
      <w:r>
        <w:rPr>
          <w:rFonts w:ascii="Times New Roman" w:hAnsi="Times New Roman"/>
          <w:sz w:val="23"/>
        </w:rPr>
        <w:t>To resolve this critical industry dilemma, this project presents FraudLens AI, an enterprise-grade, end-to-end explainable artificial intelligence (XAI) financial fraud detection, risk intelligence, and autonomous case investigation platform. FraudLens AI is architected upon a foundational master synthetic dataset comprising 20,000 transaction records across 57 attributes, encompassing 30 heterogeneous commercial merchants spanning diverse risk categories, ticket sizes, and geographies across Tamil Nadu and Karnataka. The system incorporates an automated 11-step dataset validation and feature-engineering pipeline that synthesizes cyclical temporal projections, spending velocity surges, location mismatch signals, and non-linear behavioral ratios while rigorously preventing synthetic target leakage.</w:t>
      </w:r>
    </w:p>
    <w:p>
      <w:pPr>
        <w:spacing w:before="0" w:after="70" w:line="300" w:lineRule="auto"/>
        <w:jc w:val="both"/>
      </w:pPr>
      <w:r>
        <w:rPr>
          <w:rFonts w:ascii="Times New Roman" w:hAnsi="Times New Roman"/>
          <w:sz w:val="23"/>
        </w:rPr>
        <w:t>A competitive machine learning tournament evaluates three supervised classification architectures: regularized Logistic Regression with inverse class weighting, a 300-tree tuned Random Forest classifier, and an extreme gradient boosted decision tree (XGBoost) model calibrated with positive-class imbalance weighting (scale_pos_weight). A soft-voting stacking ensemble synthesizes the probabilistic outputs of these constituent estimators. On empirical test evaluation, the champion XGBoost architecture achieves a ROC-AUC of 1.000, a Precision-Recall AUC of 1.000, a test recall of 100.0%, and a precision of 75.0% on imbalanced fraud distributions, flawlessly capturing all fraudulent transfers.</w:t>
      </w:r>
    </w:p>
    <w:p>
      <w:pPr>
        <w:spacing w:before="0" w:after="70" w:line="300" w:lineRule="auto"/>
        <w:jc w:val="both"/>
      </w:pPr>
      <w:r>
        <w:rPr>
          <w:rFonts w:ascii="Times New Roman" w:hAnsi="Times New Roman"/>
          <w:sz w:val="23"/>
        </w:rPr>
        <w:t>A central architectural innovation of FraudLens AI is the strict mathematical decoupling between model-derived Fraud Probability (0.0 to 1.0) and an independent Deterministic Multi-Factor Risk Score (0 to 100). The multi-factor scoring engine aggregates five distinct operational dimensions: continuous ML probability curves (up to 60 points), historical spending baseline anomalies (up to 25 points), transaction velocity bursts (up to 20 points), beneficiary integrity histories (up to 15 points), and hardware/environmental novelty signals (up to 25 points). Based on this holistic risk score, an autonomous pre-authorization orchestrator enforces sub-5ms gatekeeper decisioning across three discrete tiers: Frictionless Pass (ALLOW: score 0–30), Step-Up Authentication (REVIEW: score 31–70 or rapid velocity bursts), and Hard Interception (BLOCK: score 71–100 or critical security breaches).</w:t>
      </w:r>
    </w:p>
    <w:p>
      <w:pPr>
        <w:spacing w:before="0" w:after="70" w:line="300" w:lineRule="auto"/>
        <w:jc w:val="both"/>
      </w:pPr>
      <w:r>
        <w:rPr>
          <w:rFonts w:ascii="Times New Roman" w:hAnsi="Times New Roman"/>
          <w:sz w:val="23"/>
        </w:rPr>
        <w:t>To deliver actionable transparency, FraudLens AI integrates TreeSHAP (SHapley Additive exPlanations) to calculate exact, game-theoretically grounded feature attributions for every inference event, visualizing local risk-increasing and risk-decreasing factors through interactive waterfall charts and evidence-grounded natural language narratives. For review-tier transactions, the platform deploys a realistic smartphone SMS OTP verification challenge with strict token matching and simulated balance protection, ensuring zero funds are deducted until explicit authorization. Furthermore, the system incorporates an AI Forensic Copilot powered by Google Gemini 1.5 Pro and xAI Grok-2, capable of generating comprehensive investigation dossiers, 4-stage kill-chain attack topologies, copyable Mermaid architectural graphs, and regulatory Suspicious Activity Report (SAR) filings. Role-Based Access Control (RBAC), idempotency keys, and an immutable cryptographic audit ledger guarantee robust multi-tenant privacy and systemic data integrity.</w:t>
      </w:r>
    </w:p>
    <w:p>
      <w:r>
        <w:br w:type="page"/>
      </w:r>
    </w:p>
    <w:p>
      <w:pPr>
        <w:spacing w:before="320" w:after="280" w:line="307" w:lineRule="auto"/>
        <w:jc w:val="center"/>
      </w:pPr>
      <w:r>
        <w:rPr>
          <w:rFonts w:ascii="Times New Roman" w:hAnsi="Times New Roman"/>
          <w:b/>
          <w:sz w:val="32"/>
        </w:rPr>
        <w:t>ACKNOWLEDGEMENT</w:t>
      </w:r>
    </w:p>
    <w:p>
      <w:pPr>
        <w:spacing w:before="0" w:after="50" w:line="307" w:lineRule="auto"/>
        <w:jc w:val="both"/>
      </w:pPr>
      <w:r>
        <w:rPr>
          <w:rFonts w:ascii="Times New Roman" w:hAnsi="Times New Roman"/>
          <w:sz w:val="24"/>
        </w:rPr>
        <w:t>I express my deepest gratitude and sincere thanks to the Management of Sona College of Technology, Salem, for providing the state-of-the-art computational infrastructure, academic ecosystem, and research facilities that made this project work possible.</w:t>
      </w:r>
    </w:p>
    <w:p>
      <w:pPr>
        <w:spacing w:before="0" w:after="50" w:line="307" w:lineRule="auto"/>
        <w:jc w:val="both"/>
      </w:pPr>
      <w:r>
        <w:rPr>
          <w:rFonts w:ascii="Times New Roman" w:hAnsi="Times New Roman"/>
          <w:sz w:val="24"/>
        </w:rPr>
        <w:t>I convey my profound thanks and respectful regards to Dr. S. R. R. Senthilkumar, Principal, Sona College of Technology, for his continuous encouragement and administrative support throughout the tenure of my engineering education.</w:t>
      </w:r>
    </w:p>
    <w:p>
      <w:pPr>
        <w:spacing w:before="0" w:after="50" w:line="307" w:lineRule="auto"/>
        <w:jc w:val="both"/>
      </w:pPr>
      <w:r>
        <w:rPr>
          <w:rFonts w:ascii="Times New Roman" w:hAnsi="Times New Roman"/>
          <w:sz w:val="24"/>
        </w:rPr>
        <w:t>I extend my heartfelt gratitude to Dr. B. Sathiyabhama, M.E., Ph.D., Professor and Head of the Department of Computer Science and Engineering, for her invaluable guidance, visionary leadership, and persistent motivation during the progress of this project.</w:t>
      </w:r>
    </w:p>
    <w:p>
      <w:pPr>
        <w:spacing w:before="0" w:after="50" w:line="307" w:lineRule="auto"/>
        <w:jc w:val="both"/>
      </w:pPr>
      <w:r>
        <w:rPr>
          <w:rFonts w:ascii="Times New Roman" w:hAnsi="Times New Roman"/>
          <w:sz w:val="24"/>
        </w:rPr>
        <w:t>I am immensely indebted and express my sincere gratitude to my project supervisor, Dr. R. Senthil Kumar, M.E., Ph.D., Professor, Department of Computer Science and Engineering, whose profound technical insights, critical reviews, and constant mentorship were instrumental in shaping the architecture, machine learning methodology, and final presentation of FraudLens AI.</w:t>
      </w:r>
    </w:p>
    <w:p>
      <w:pPr>
        <w:spacing w:before="0" w:after="50" w:line="307" w:lineRule="auto"/>
        <w:jc w:val="both"/>
      </w:pPr>
      <w:r>
        <w:rPr>
          <w:rFonts w:ascii="Times New Roman" w:hAnsi="Times New Roman"/>
          <w:sz w:val="24"/>
        </w:rPr>
        <w:t>I also extend my sincere thanks to all the faculty members, technical laboratory staff, and administrative personnel of the Department of Computer Science and Engineering for their direct and indirect cooperation throughout the development and testing phases.</w:t>
      </w:r>
    </w:p>
    <w:p>
      <w:pPr>
        <w:spacing w:before="0" w:after="50" w:line="307" w:lineRule="auto"/>
        <w:jc w:val="both"/>
      </w:pPr>
      <w:r>
        <w:rPr>
          <w:rFonts w:ascii="Times New Roman" w:hAnsi="Times New Roman"/>
          <w:sz w:val="24"/>
        </w:rPr>
        <w:t>Finally, I convey my heartfelt appreciation to my parents, family members, and fellow classmates for their unwavering support, moral encouragement, and understanding during the execution of this academic endeavor.</w:t>
      </w:r>
    </w:p>
    <w:p>
      <w:r>
        <w:br w:type="page"/>
      </w:r>
    </w:p>
    <w:p>
      <w:pPr>
        <w:spacing w:before="320" w:after="280" w:line="307" w:lineRule="auto"/>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3010"/>
        <w:gridCol w:w="3010"/>
        <w:gridCol w:w="3010"/>
      </w:tblGrid>
      <w:tr>
        <w:tc>
          <w:tcPr>
            <w:tcW w:type="dxa" w:w="1584"/>
          </w:tcPr>
          <w:p>
            <w:r>
              <w:rPr>
                <w:rFonts w:ascii="Times New Roman" w:hAnsi="Times New Roman"/>
                <w:b/>
                <w:sz w:val="21"/>
              </w:rPr>
              <w:t>CHAPTER</w:t>
            </w:r>
          </w:p>
        </w:tc>
        <w:tc>
          <w:tcPr>
            <w:tcW w:type="dxa" w:w="6480"/>
          </w:tcPr>
          <w:p>
            <w:r>
              <w:rPr>
                <w:rFonts w:ascii="Times New Roman" w:hAnsi="Times New Roman"/>
                <w:b/>
                <w:sz w:val="21"/>
              </w:rPr>
              <w:t>TITLE</w:t>
            </w:r>
          </w:p>
        </w:tc>
        <w:tc>
          <w:tcPr>
            <w:tcW w:type="dxa" w:w="1152"/>
          </w:tcPr>
          <w:p>
            <w:r>
              <w:rPr>
                <w:rFonts w:ascii="Times New Roman" w:hAnsi="Times New Roman"/>
                <w:b/>
                <w:sz w:val="21"/>
              </w:rPr>
              <w:t>PAGE NO</w:t>
            </w:r>
          </w:p>
        </w:tc>
      </w:tr>
      <w:tr>
        <w:tc>
          <w:tcPr>
            <w:tcW w:type="dxa" w:w="1584"/>
          </w:tcPr>
          <w:p>
            <w:pPr>
              <w:spacing w:before="20" w:after="20"/>
            </w:pPr>
            <w:r>
              <w:rPr>
                <w:rFonts w:ascii="Times New Roman" w:hAnsi="Times New Roman"/>
                <w:b/>
                <w:sz w:val="19"/>
              </w:rPr>
            </w:r>
          </w:p>
        </w:tc>
        <w:tc>
          <w:tcPr>
            <w:tcW w:type="dxa" w:w="6480"/>
          </w:tcPr>
          <w:p>
            <w:pPr>
              <w:spacing w:before="20" w:after="20"/>
            </w:pPr>
            <w:r>
              <w:rPr>
                <w:rFonts w:ascii="Times New Roman" w:hAnsi="Times New Roman"/>
                <w:b/>
                <w:sz w:val="19"/>
              </w:rPr>
              <w:t>ABSTRACT</w:t>
            </w:r>
          </w:p>
        </w:tc>
        <w:tc>
          <w:tcPr>
            <w:tcW w:type="dxa" w:w="1152"/>
          </w:tcPr>
          <w:p>
            <w:pPr>
              <w:spacing w:before="20" w:after="20"/>
              <w:jc w:val="right"/>
            </w:pPr>
            <w:r>
              <w:rPr>
                <w:rFonts w:ascii="Times New Roman" w:hAnsi="Times New Roman"/>
                <w:b/>
                <w:sz w:val="19"/>
              </w:rPr>
              <w:t>iv</w:t>
            </w:r>
          </w:p>
        </w:tc>
      </w:tr>
      <w:tr>
        <w:tc>
          <w:tcPr>
            <w:tcW w:type="dxa" w:w="1584"/>
          </w:tcPr>
          <w:p>
            <w:pPr>
              <w:spacing w:before="20" w:after="20"/>
            </w:pPr>
            <w:r>
              <w:rPr>
                <w:rFonts w:ascii="Times New Roman" w:hAnsi="Times New Roman"/>
                <w:b/>
                <w:sz w:val="19"/>
              </w:rPr>
            </w:r>
          </w:p>
        </w:tc>
        <w:tc>
          <w:tcPr>
            <w:tcW w:type="dxa" w:w="6480"/>
          </w:tcPr>
          <w:p>
            <w:pPr>
              <w:spacing w:before="20" w:after="20"/>
            </w:pPr>
            <w:r>
              <w:rPr>
                <w:rFonts w:ascii="Times New Roman" w:hAnsi="Times New Roman"/>
                <w:b/>
                <w:sz w:val="19"/>
              </w:rPr>
              <w:t>ACKNOWLEDGEMENT</w:t>
            </w:r>
          </w:p>
        </w:tc>
        <w:tc>
          <w:tcPr>
            <w:tcW w:type="dxa" w:w="1152"/>
          </w:tcPr>
          <w:p>
            <w:pPr>
              <w:spacing w:before="20" w:after="20"/>
              <w:jc w:val="right"/>
            </w:pPr>
            <w:r>
              <w:rPr>
                <w:rFonts w:ascii="Times New Roman" w:hAnsi="Times New Roman"/>
                <w:b/>
                <w:sz w:val="19"/>
              </w:rPr>
              <w:t>vi</w:t>
            </w:r>
          </w:p>
        </w:tc>
      </w:tr>
      <w:tr>
        <w:tc>
          <w:tcPr>
            <w:tcW w:type="dxa" w:w="1584"/>
          </w:tcPr>
          <w:p>
            <w:pPr>
              <w:spacing w:before="20" w:after="20"/>
            </w:pPr>
            <w:r>
              <w:rPr>
                <w:rFonts w:ascii="Times New Roman" w:hAnsi="Times New Roman"/>
                <w:b/>
                <w:sz w:val="19"/>
              </w:rPr>
            </w:r>
          </w:p>
        </w:tc>
        <w:tc>
          <w:tcPr>
            <w:tcW w:type="dxa" w:w="6480"/>
          </w:tcPr>
          <w:p>
            <w:pPr>
              <w:spacing w:before="20" w:after="20"/>
            </w:pPr>
            <w:r>
              <w:rPr>
                <w:rFonts w:ascii="Times New Roman" w:hAnsi="Times New Roman"/>
                <w:b/>
                <w:sz w:val="19"/>
              </w:rPr>
              <w:t>LIST OF TABLES</w:t>
            </w:r>
          </w:p>
        </w:tc>
        <w:tc>
          <w:tcPr>
            <w:tcW w:type="dxa" w:w="1152"/>
          </w:tcPr>
          <w:p>
            <w:pPr>
              <w:spacing w:before="20" w:after="20"/>
              <w:jc w:val="right"/>
            </w:pPr>
            <w:r>
              <w:rPr>
                <w:rFonts w:ascii="Times New Roman" w:hAnsi="Times New Roman"/>
                <w:b/>
                <w:sz w:val="19"/>
              </w:rPr>
              <w:t>viii</w:t>
            </w:r>
          </w:p>
        </w:tc>
      </w:tr>
      <w:tr>
        <w:tc>
          <w:tcPr>
            <w:tcW w:type="dxa" w:w="1584"/>
          </w:tcPr>
          <w:p>
            <w:pPr>
              <w:spacing w:before="20" w:after="20"/>
            </w:pPr>
            <w:r>
              <w:rPr>
                <w:rFonts w:ascii="Times New Roman" w:hAnsi="Times New Roman"/>
                <w:b/>
                <w:sz w:val="19"/>
              </w:rPr>
            </w:r>
          </w:p>
        </w:tc>
        <w:tc>
          <w:tcPr>
            <w:tcW w:type="dxa" w:w="6480"/>
          </w:tcPr>
          <w:p>
            <w:pPr>
              <w:spacing w:before="20" w:after="20"/>
            </w:pPr>
            <w:r>
              <w:rPr>
                <w:rFonts w:ascii="Times New Roman" w:hAnsi="Times New Roman"/>
                <w:b/>
                <w:sz w:val="19"/>
              </w:rPr>
              <w:t>LIST OF FIGURES</w:t>
            </w:r>
          </w:p>
        </w:tc>
        <w:tc>
          <w:tcPr>
            <w:tcW w:type="dxa" w:w="1152"/>
          </w:tcPr>
          <w:p>
            <w:pPr>
              <w:spacing w:before="20" w:after="20"/>
              <w:jc w:val="right"/>
            </w:pPr>
            <w:r>
              <w:rPr>
                <w:rFonts w:ascii="Times New Roman" w:hAnsi="Times New Roman"/>
                <w:b/>
                <w:sz w:val="19"/>
              </w:rPr>
              <w:t>ix</w:t>
            </w:r>
          </w:p>
        </w:tc>
      </w:tr>
      <w:tr>
        <w:tc>
          <w:tcPr>
            <w:tcW w:type="dxa" w:w="1584"/>
          </w:tcPr>
          <w:p>
            <w:pPr>
              <w:spacing w:before="20" w:after="20"/>
            </w:pPr>
            <w:r>
              <w:rPr>
                <w:rFonts w:ascii="Times New Roman" w:hAnsi="Times New Roman"/>
                <w:b/>
                <w:sz w:val="19"/>
              </w:rPr>
              <w:t>1</w:t>
            </w:r>
          </w:p>
        </w:tc>
        <w:tc>
          <w:tcPr>
            <w:tcW w:type="dxa" w:w="6480"/>
          </w:tcPr>
          <w:p>
            <w:pPr>
              <w:spacing w:before="20" w:after="20"/>
            </w:pPr>
            <w:r>
              <w:rPr>
                <w:rFonts w:ascii="Times New Roman" w:hAnsi="Times New Roman"/>
                <w:b/>
                <w:sz w:val="19"/>
              </w:rPr>
              <w:t>INTRODUCTION</w:t>
            </w:r>
          </w:p>
        </w:tc>
        <w:tc>
          <w:tcPr>
            <w:tcW w:type="dxa" w:w="1152"/>
          </w:tcPr>
          <w:p>
            <w:pPr>
              <w:spacing w:before="20" w:after="20"/>
              <w:jc w:val="right"/>
            </w:pPr>
            <w:r>
              <w:rPr>
                <w:rFonts w:ascii="Times New Roman" w:hAnsi="Times New Roman"/>
                <w:b/>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1.1 Overview of the Project</w:t>
            </w:r>
          </w:p>
        </w:tc>
        <w:tc>
          <w:tcPr>
            <w:tcW w:type="dxa" w:w="1152"/>
          </w:tcPr>
          <w:p>
            <w:pPr>
              <w:spacing w:before="20" w:after="20"/>
              <w:jc w:val="right"/>
            </w:pPr>
            <w:r>
              <w:rPr>
                <w:rFonts w:ascii="Times New Roman" w:hAnsi="Times New Roman"/>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1.2 Objective of the Project</w:t>
            </w:r>
          </w:p>
        </w:tc>
        <w:tc>
          <w:tcPr>
            <w:tcW w:type="dxa" w:w="1152"/>
          </w:tcPr>
          <w:p>
            <w:pPr>
              <w:spacing w:before="20" w:after="20"/>
              <w:jc w:val="right"/>
            </w:pPr>
            <w:r>
              <w:rPr>
                <w:rFonts w:ascii="Times New Roman" w:hAnsi="Times New Roman"/>
                <w:sz w:val="19"/>
              </w:rPr>
              <w:t>3</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1.3 Literature Review</w:t>
            </w:r>
          </w:p>
        </w:tc>
        <w:tc>
          <w:tcPr>
            <w:tcW w:type="dxa" w:w="1152"/>
          </w:tcPr>
          <w:p>
            <w:pPr>
              <w:spacing w:before="20" w:after="20"/>
              <w:jc w:val="right"/>
            </w:pPr>
            <w:r>
              <w:rPr>
                <w:rFonts w:ascii="Times New Roman" w:hAnsi="Times New Roman"/>
                <w:sz w:val="19"/>
              </w:rPr>
              <w:t>4</w:t>
            </w:r>
          </w:p>
        </w:tc>
      </w:tr>
      <w:tr>
        <w:tc>
          <w:tcPr>
            <w:tcW w:type="dxa" w:w="1584"/>
          </w:tcPr>
          <w:p>
            <w:pPr>
              <w:spacing w:before="20" w:after="20"/>
            </w:pPr>
            <w:r>
              <w:rPr>
                <w:rFonts w:ascii="Times New Roman" w:hAnsi="Times New Roman"/>
                <w:b/>
                <w:sz w:val="19"/>
              </w:rPr>
              <w:t>2</w:t>
            </w:r>
          </w:p>
        </w:tc>
        <w:tc>
          <w:tcPr>
            <w:tcW w:type="dxa" w:w="6480"/>
          </w:tcPr>
          <w:p>
            <w:pPr>
              <w:spacing w:before="20" w:after="20"/>
            </w:pPr>
            <w:r>
              <w:rPr>
                <w:rFonts w:ascii="Times New Roman" w:hAnsi="Times New Roman"/>
                <w:b/>
                <w:sz w:val="19"/>
              </w:rPr>
              <w:t>SYSTEM ANALYSIS</w:t>
            </w:r>
          </w:p>
        </w:tc>
        <w:tc>
          <w:tcPr>
            <w:tcW w:type="dxa" w:w="1152"/>
          </w:tcPr>
          <w:p>
            <w:pPr>
              <w:spacing w:before="20" w:after="20"/>
              <w:jc w:val="right"/>
            </w:pPr>
            <w:r>
              <w:rPr>
                <w:rFonts w:ascii="Times New Roman" w:hAnsi="Times New Roman"/>
                <w:b/>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2.1 Problem Definition</w:t>
            </w:r>
          </w:p>
        </w:tc>
        <w:tc>
          <w:tcPr>
            <w:tcW w:type="dxa" w:w="1152"/>
          </w:tcPr>
          <w:p>
            <w:pPr>
              <w:spacing w:before="20" w:after="20"/>
              <w:jc w:val="right"/>
            </w:pPr>
            <w:r>
              <w:rPr>
                <w:rFonts w:ascii="Times New Roman" w:hAnsi="Times New Roman"/>
                <w:sz w:val="19"/>
              </w:rPr>
              <w:t>9</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2.2 Existing System</w:t>
            </w:r>
          </w:p>
        </w:tc>
        <w:tc>
          <w:tcPr>
            <w:tcW w:type="dxa" w:w="1152"/>
          </w:tcPr>
          <w:p>
            <w:pPr>
              <w:spacing w:before="20" w:after="20"/>
              <w:jc w:val="right"/>
            </w:pPr>
            <w:r>
              <w:rPr>
                <w:rFonts w:ascii="Times New Roman" w:hAnsi="Times New Roman"/>
                <w:sz w:val="19"/>
              </w:rPr>
              <w:t>10</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2.3 Proposed System</w:t>
            </w:r>
          </w:p>
        </w:tc>
        <w:tc>
          <w:tcPr>
            <w:tcW w:type="dxa" w:w="1152"/>
          </w:tcPr>
          <w:p>
            <w:pPr>
              <w:spacing w:before="20" w:after="20"/>
              <w:jc w:val="right"/>
            </w:pPr>
            <w:r>
              <w:rPr>
                <w:rFonts w:ascii="Times New Roman" w:hAnsi="Times New Roman"/>
                <w:sz w:val="19"/>
              </w:rPr>
              <w:t>11</w:t>
            </w:r>
          </w:p>
        </w:tc>
      </w:tr>
      <w:tr>
        <w:tc>
          <w:tcPr>
            <w:tcW w:type="dxa" w:w="1584"/>
          </w:tcPr>
          <w:p>
            <w:pPr>
              <w:spacing w:before="20" w:after="20"/>
            </w:pPr>
            <w:r>
              <w:rPr>
                <w:rFonts w:ascii="Times New Roman" w:hAnsi="Times New Roman"/>
                <w:b/>
                <w:sz w:val="19"/>
              </w:rPr>
              <w:t>3</w:t>
            </w:r>
          </w:p>
        </w:tc>
        <w:tc>
          <w:tcPr>
            <w:tcW w:type="dxa" w:w="6480"/>
          </w:tcPr>
          <w:p>
            <w:pPr>
              <w:spacing w:before="20" w:after="20"/>
            </w:pPr>
            <w:r>
              <w:rPr>
                <w:rFonts w:ascii="Times New Roman" w:hAnsi="Times New Roman"/>
                <w:b/>
                <w:sz w:val="19"/>
              </w:rPr>
              <w:t>SYSTEM STUDY</w:t>
            </w:r>
          </w:p>
        </w:tc>
        <w:tc>
          <w:tcPr>
            <w:tcW w:type="dxa" w:w="1152"/>
          </w:tcPr>
          <w:p>
            <w:pPr>
              <w:spacing w:before="20" w:after="20"/>
              <w:jc w:val="right"/>
            </w:pPr>
            <w:r>
              <w:rPr>
                <w:rFonts w:ascii="Times New Roman" w:hAnsi="Times New Roman"/>
                <w:b/>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3.1 Feasibility Study</w:t>
            </w:r>
          </w:p>
        </w:tc>
        <w:tc>
          <w:tcPr>
            <w:tcW w:type="dxa" w:w="1152"/>
          </w:tcPr>
          <w:p>
            <w:pPr>
              <w:spacing w:before="20" w:after="20"/>
              <w:jc w:val="right"/>
            </w:pPr>
            <w:r>
              <w:rPr>
                <w:rFonts w:ascii="Times New Roman" w:hAnsi="Times New Roman"/>
                <w:sz w:val="19"/>
              </w:rPr>
              <w:t>13</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3.1.1 Economic Feasibility</w:t>
            </w:r>
          </w:p>
        </w:tc>
        <w:tc>
          <w:tcPr>
            <w:tcW w:type="dxa" w:w="1152"/>
          </w:tcPr>
          <w:p>
            <w:pPr>
              <w:spacing w:before="20" w:after="20"/>
              <w:jc w:val="right"/>
            </w:pPr>
            <w:r>
              <w:rPr>
                <w:rFonts w:ascii="Times New Roman" w:hAnsi="Times New Roman"/>
                <w:sz w:val="19"/>
              </w:rPr>
              <w:t>13</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3.1.2 Technical Feasibility</w:t>
            </w:r>
          </w:p>
        </w:tc>
        <w:tc>
          <w:tcPr>
            <w:tcW w:type="dxa" w:w="1152"/>
          </w:tcPr>
          <w:p>
            <w:pPr>
              <w:spacing w:before="20" w:after="20"/>
              <w:jc w:val="right"/>
            </w:pPr>
            <w:r>
              <w:rPr>
                <w:rFonts w:ascii="Times New Roman" w:hAnsi="Times New Roman"/>
                <w:sz w:val="19"/>
              </w:rPr>
              <w:t>13</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3.1.3 Performance Feasibility</w:t>
            </w:r>
          </w:p>
        </w:tc>
        <w:tc>
          <w:tcPr>
            <w:tcW w:type="dxa" w:w="1152"/>
          </w:tcPr>
          <w:p>
            <w:pPr>
              <w:spacing w:before="20" w:after="20"/>
              <w:jc w:val="right"/>
            </w:pPr>
            <w:r>
              <w:rPr>
                <w:rFonts w:ascii="Times New Roman" w:hAnsi="Times New Roman"/>
                <w:sz w:val="19"/>
              </w:rPr>
              <w:t>14</w:t>
            </w:r>
          </w:p>
        </w:tc>
      </w:tr>
      <w:tr>
        <w:tc>
          <w:tcPr>
            <w:tcW w:type="dxa" w:w="1584"/>
          </w:tcPr>
          <w:p>
            <w:pPr>
              <w:spacing w:before="20" w:after="20"/>
            </w:pPr>
            <w:r>
              <w:rPr>
                <w:rFonts w:ascii="Times New Roman" w:hAnsi="Times New Roman"/>
                <w:b/>
                <w:sz w:val="19"/>
              </w:rPr>
              <w:t>4</w:t>
            </w:r>
          </w:p>
        </w:tc>
        <w:tc>
          <w:tcPr>
            <w:tcW w:type="dxa" w:w="6480"/>
          </w:tcPr>
          <w:p>
            <w:pPr>
              <w:spacing w:before="20" w:after="20"/>
            </w:pPr>
            <w:r>
              <w:rPr>
                <w:rFonts w:ascii="Times New Roman" w:hAnsi="Times New Roman"/>
                <w:b/>
                <w:sz w:val="19"/>
              </w:rPr>
              <w:t>SYSTEM REQUIREMENTS</w:t>
            </w:r>
          </w:p>
        </w:tc>
        <w:tc>
          <w:tcPr>
            <w:tcW w:type="dxa" w:w="1152"/>
          </w:tcPr>
          <w:p>
            <w:pPr>
              <w:spacing w:before="20" w:after="20"/>
              <w:jc w:val="right"/>
            </w:pPr>
            <w:r>
              <w:rPr>
                <w:rFonts w:ascii="Times New Roman" w:hAnsi="Times New Roman"/>
                <w:b/>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4.1 Hardware Requirements</w:t>
            </w:r>
          </w:p>
        </w:tc>
        <w:tc>
          <w:tcPr>
            <w:tcW w:type="dxa" w:w="1152"/>
          </w:tcPr>
          <w:p>
            <w:pPr>
              <w:spacing w:before="20" w:after="20"/>
              <w:jc w:val="right"/>
            </w:pPr>
            <w:r>
              <w:rPr>
                <w:rFonts w:ascii="Times New Roman" w:hAnsi="Times New Roman"/>
                <w:sz w:val="19"/>
              </w:rPr>
              <w:t>16</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4.2 Software Requirements</w:t>
            </w:r>
          </w:p>
        </w:tc>
        <w:tc>
          <w:tcPr>
            <w:tcW w:type="dxa" w:w="1152"/>
          </w:tcPr>
          <w:p>
            <w:pPr>
              <w:spacing w:before="20" w:after="20"/>
              <w:jc w:val="right"/>
            </w:pPr>
            <w:r>
              <w:rPr>
                <w:rFonts w:ascii="Times New Roman" w:hAnsi="Times New Roman"/>
                <w:sz w:val="19"/>
              </w:rPr>
              <w:t>16</w:t>
            </w:r>
          </w:p>
        </w:tc>
      </w:tr>
      <w:tr>
        <w:tc>
          <w:tcPr>
            <w:tcW w:type="dxa" w:w="1584"/>
          </w:tcPr>
          <w:p>
            <w:pPr>
              <w:spacing w:before="20" w:after="20"/>
            </w:pPr>
            <w:r>
              <w:rPr>
                <w:rFonts w:ascii="Times New Roman" w:hAnsi="Times New Roman"/>
                <w:b/>
                <w:sz w:val="19"/>
              </w:rPr>
              <w:t>5</w:t>
            </w:r>
          </w:p>
        </w:tc>
        <w:tc>
          <w:tcPr>
            <w:tcW w:type="dxa" w:w="6480"/>
          </w:tcPr>
          <w:p>
            <w:pPr>
              <w:spacing w:before="20" w:after="20"/>
            </w:pPr>
            <w:r>
              <w:rPr>
                <w:rFonts w:ascii="Times New Roman" w:hAnsi="Times New Roman"/>
                <w:b/>
                <w:sz w:val="19"/>
              </w:rPr>
              <w:t>SYSTEM DESIGN</w:t>
            </w:r>
          </w:p>
        </w:tc>
        <w:tc>
          <w:tcPr>
            <w:tcW w:type="dxa" w:w="1152"/>
          </w:tcPr>
          <w:p>
            <w:pPr>
              <w:spacing w:before="20" w:after="20"/>
              <w:jc w:val="right"/>
            </w:pPr>
            <w:r>
              <w:rPr>
                <w:rFonts w:ascii="Times New Roman" w:hAnsi="Times New Roman"/>
                <w:b/>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5.1 System Architecture</w:t>
            </w:r>
          </w:p>
        </w:tc>
        <w:tc>
          <w:tcPr>
            <w:tcW w:type="dxa" w:w="1152"/>
          </w:tcPr>
          <w:p>
            <w:pPr>
              <w:spacing w:before="20" w:after="20"/>
              <w:jc w:val="right"/>
            </w:pPr>
            <w:r>
              <w:rPr>
                <w:rFonts w:ascii="Times New Roman" w:hAnsi="Times New Roman"/>
                <w:sz w:val="19"/>
              </w:rPr>
              <w:t>18</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5.2 Class Diagram</w:t>
            </w:r>
          </w:p>
        </w:tc>
        <w:tc>
          <w:tcPr>
            <w:tcW w:type="dxa" w:w="1152"/>
          </w:tcPr>
          <w:p>
            <w:pPr>
              <w:spacing w:before="20" w:after="20"/>
              <w:jc w:val="right"/>
            </w:pPr>
            <w:r>
              <w:rPr>
                <w:rFonts w:ascii="Times New Roman" w:hAnsi="Times New Roman"/>
                <w:sz w:val="19"/>
              </w:rPr>
              <w:t>19</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5.3 Use Case Diagram</w:t>
            </w:r>
          </w:p>
        </w:tc>
        <w:tc>
          <w:tcPr>
            <w:tcW w:type="dxa" w:w="1152"/>
          </w:tcPr>
          <w:p>
            <w:pPr>
              <w:spacing w:before="20" w:after="20"/>
              <w:jc w:val="right"/>
            </w:pPr>
            <w:r>
              <w:rPr>
                <w:rFonts w:ascii="Times New Roman" w:hAnsi="Times New Roman"/>
                <w:sz w:val="19"/>
              </w:rPr>
              <w:t>20</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5.4 Flow Diagram</w:t>
            </w:r>
          </w:p>
        </w:tc>
        <w:tc>
          <w:tcPr>
            <w:tcW w:type="dxa" w:w="1152"/>
          </w:tcPr>
          <w:p>
            <w:pPr>
              <w:spacing w:before="20" w:after="20"/>
              <w:jc w:val="right"/>
            </w:pPr>
            <w:r>
              <w:rPr>
                <w:rFonts w:ascii="Times New Roman" w:hAnsi="Times New Roman"/>
                <w:sz w:val="19"/>
              </w:rPr>
              <w:t>21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5.5 Sequence Diagram</w:t>
            </w:r>
          </w:p>
        </w:tc>
        <w:tc>
          <w:tcPr>
            <w:tcW w:type="dxa" w:w="1152"/>
          </w:tcPr>
          <w:p>
            <w:pPr>
              <w:spacing w:before="20" w:after="20"/>
              <w:jc w:val="right"/>
            </w:pPr>
            <w:r>
              <w:rPr>
                <w:rFonts w:ascii="Times New Roman" w:hAnsi="Times New Roman"/>
                <w:sz w:val="19"/>
              </w:rPr>
              <w:t>21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5.6 Database Design</w:t>
            </w:r>
          </w:p>
        </w:tc>
        <w:tc>
          <w:tcPr>
            <w:tcW w:type="dxa" w:w="1152"/>
          </w:tcPr>
          <w:p>
            <w:pPr>
              <w:spacing w:before="20" w:after="20"/>
              <w:jc w:val="right"/>
            </w:pPr>
            <w:r>
              <w:rPr>
                <w:rFonts w:ascii="Times New Roman" w:hAnsi="Times New Roman"/>
                <w:sz w:val="19"/>
              </w:rPr>
              <w:t>22</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5.6.1 Table Design</w:t>
            </w:r>
          </w:p>
        </w:tc>
        <w:tc>
          <w:tcPr>
            <w:tcW w:type="dxa" w:w="1152"/>
          </w:tcPr>
          <w:p>
            <w:pPr>
              <w:spacing w:before="20" w:after="20"/>
              <w:jc w:val="right"/>
            </w:pPr>
            <w:r>
              <w:rPr>
                <w:rFonts w:ascii="Times New Roman" w:hAnsi="Times New Roman"/>
                <w:sz w:val="19"/>
              </w:rPr>
              <w:t>22</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5.6.2 ER Diagrams</w:t>
            </w:r>
          </w:p>
        </w:tc>
        <w:tc>
          <w:tcPr>
            <w:tcW w:type="dxa" w:w="1152"/>
          </w:tcPr>
          <w:p>
            <w:pPr>
              <w:spacing w:before="20" w:after="20"/>
              <w:jc w:val="right"/>
            </w:pPr>
            <w:r>
              <w:rPr>
                <w:rFonts w:ascii="Times New Roman" w:hAnsi="Times New Roman"/>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5.6.3 Data Flow Diagrams</w:t>
            </w:r>
          </w:p>
        </w:tc>
        <w:tc>
          <w:tcPr>
            <w:tcW w:type="dxa" w:w="1152"/>
          </w:tcPr>
          <w:p>
            <w:pPr>
              <w:spacing w:before="20" w:after="20"/>
              <w:jc w:val="right"/>
            </w:pPr>
            <w:r>
              <w:rPr>
                <w:rFonts w:ascii="Times New Roman" w:hAnsi="Times New Roman"/>
                <w:sz w:val="19"/>
              </w:rPr>
              <w:t>22</w:t>
            </w:r>
          </w:p>
        </w:tc>
      </w:tr>
      <w:tr>
        <w:tc>
          <w:tcPr>
            <w:tcW w:type="dxa" w:w="1584"/>
          </w:tcPr>
          <w:p>
            <w:pPr>
              <w:spacing w:before="20" w:after="20"/>
            </w:pPr>
            <w:r>
              <w:rPr>
                <w:rFonts w:ascii="Times New Roman" w:hAnsi="Times New Roman"/>
                <w:b/>
                <w:sz w:val="19"/>
              </w:rPr>
              <w:t>6</w:t>
            </w:r>
          </w:p>
        </w:tc>
        <w:tc>
          <w:tcPr>
            <w:tcW w:type="dxa" w:w="6480"/>
          </w:tcPr>
          <w:p>
            <w:pPr>
              <w:spacing w:before="20" w:after="20"/>
            </w:pPr>
            <w:r>
              <w:rPr>
                <w:rFonts w:ascii="Times New Roman" w:hAnsi="Times New Roman"/>
                <w:b/>
                <w:sz w:val="19"/>
              </w:rPr>
              <w:t>PROPOSED ALGORITHM IMPLEMENTATION</w:t>
            </w:r>
          </w:p>
        </w:tc>
        <w:tc>
          <w:tcPr>
            <w:tcW w:type="dxa" w:w="1152"/>
          </w:tcPr>
          <w:p>
            <w:pPr>
              <w:spacing w:before="20" w:after="20"/>
              <w:jc w:val="right"/>
            </w:pPr>
            <w:r>
              <w:rPr>
                <w:rFonts w:ascii="Times New Roman" w:hAnsi="Times New Roman"/>
                <w:b/>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6.1 Project Description</w:t>
            </w:r>
          </w:p>
        </w:tc>
        <w:tc>
          <w:tcPr>
            <w:tcW w:type="dxa" w:w="1152"/>
          </w:tcPr>
          <w:p>
            <w:pPr>
              <w:spacing w:before="20" w:after="20"/>
              <w:jc w:val="right"/>
            </w:pPr>
            <w:r>
              <w:rPr>
                <w:rFonts w:ascii="Times New Roman" w:hAnsi="Times New Roman"/>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6.1.1 Dataset Specification &amp; Integrity Audit</w:t>
            </w:r>
          </w:p>
        </w:tc>
        <w:tc>
          <w:tcPr>
            <w:tcW w:type="dxa" w:w="1152"/>
          </w:tcPr>
          <w:p>
            <w:pPr>
              <w:spacing w:before="20" w:after="20"/>
              <w:jc w:val="right"/>
            </w:pPr>
            <w:r>
              <w:rPr>
                <w:rFonts w:ascii="Times New Roman" w:hAnsi="Times New Roman"/>
                <w:sz w:val="19"/>
              </w:rPr>
              <w:t>30</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6.1.2 Preprocessing, Imputation &amp; Scaling</w:t>
            </w:r>
          </w:p>
        </w:tc>
        <w:tc>
          <w:tcPr>
            <w:tcW w:type="dxa" w:w="1152"/>
          </w:tcPr>
          <w:p>
            <w:pPr>
              <w:spacing w:before="20" w:after="20"/>
              <w:jc w:val="right"/>
            </w:pPr>
            <w:r>
              <w:rPr>
                <w:rFonts w:ascii="Times New Roman" w:hAnsi="Times New Roman"/>
                <w:sz w:val="19"/>
              </w:rPr>
              <w:t>30</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6.1.3 Behavioral Feature Engineering</w:t>
            </w:r>
          </w:p>
        </w:tc>
        <w:tc>
          <w:tcPr>
            <w:tcW w:type="dxa" w:w="1152"/>
          </w:tcPr>
          <w:p>
            <w:pPr>
              <w:spacing w:before="20" w:after="20"/>
              <w:jc w:val="right"/>
            </w:pPr>
            <w:r>
              <w:rPr>
                <w:rFonts w:ascii="Times New Roman" w:hAnsi="Times New Roman"/>
                <w:sz w:val="19"/>
              </w:rPr>
              <w:t>31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6.1.5 Class Imbalance Mitigation Strategy</w:t>
            </w:r>
          </w:p>
        </w:tc>
        <w:tc>
          <w:tcPr>
            <w:tcW w:type="dxa" w:w="1152"/>
          </w:tcPr>
          <w:p>
            <w:pPr>
              <w:spacing w:before="20" w:after="20"/>
              <w:jc w:val="right"/>
            </w:pPr>
            <w:r>
              <w:rPr>
                <w:rFonts w:ascii="Times New Roman" w:hAnsi="Times New Roman"/>
                <w:sz w:val="19"/>
              </w:rPr>
              <w:t>32</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6.1.7 Decoupled Multi-Factor Risk Scoring</w:t>
            </w:r>
          </w:p>
        </w:tc>
        <w:tc>
          <w:tcPr>
            <w:tcW w:type="dxa" w:w="1152"/>
          </w:tcPr>
          <w:p>
            <w:pPr>
              <w:spacing w:before="20" w:after="20"/>
              <w:jc w:val="right"/>
            </w:pPr>
            <w:r>
              <w:rPr>
                <w:rFonts w:ascii="Times New Roman" w:hAnsi="Times New Roman"/>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6.1.8 Explainable AI via TreeSHAP</w:t>
            </w:r>
          </w:p>
        </w:tc>
        <w:tc>
          <w:tcPr>
            <w:tcW w:type="dxa" w:w="1152"/>
          </w:tcPr>
          <w:p>
            <w:pPr>
              <w:spacing w:before="20" w:after="20"/>
              <w:jc w:val="right"/>
            </w:pPr>
            <w:r>
              <w:rPr>
                <w:rFonts w:ascii="Times New Roman" w:hAnsi="Times New Roman"/>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6.2 Modules Overview</w:t>
            </w:r>
          </w:p>
        </w:tc>
        <w:tc>
          <w:tcPr>
            <w:tcW w:type="dxa" w:w="1152"/>
          </w:tcPr>
          <w:p>
            <w:pPr>
              <w:spacing w:before="20" w:after="20"/>
              <w:jc w:val="right"/>
            </w:pPr>
            <w:r>
              <w:rPr>
                <w:rFonts w:ascii="Times New Roman" w:hAnsi="Times New Roman"/>
                <w:sz w:val="19"/>
              </w:rPr>
              <w:t>34</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6.3 Module Description (6.3.1 - 6.3.10)</w:t>
            </w:r>
          </w:p>
        </w:tc>
        <w:tc>
          <w:tcPr>
            <w:tcW w:type="dxa" w:w="1152"/>
          </w:tcPr>
          <w:p>
            <w:pPr>
              <w:spacing w:before="20" w:after="20"/>
              <w:jc w:val="right"/>
            </w:pPr>
            <w:r>
              <w:rPr>
                <w:rFonts w:ascii="Times New Roman" w:hAnsi="Times New Roman"/>
                <w:sz w:val="19"/>
              </w:rPr>
              <w:t>35</w:t>
            </w:r>
          </w:p>
        </w:tc>
      </w:tr>
      <w:tr>
        <w:tc>
          <w:tcPr>
            <w:tcW w:type="dxa" w:w="1584"/>
          </w:tcPr>
          <w:p>
            <w:pPr>
              <w:spacing w:before="20" w:after="20"/>
            </w:pPr>
            <w:r>
              <w:rPr>
                <w:rFonts w:ascii="Times New Roman" w:hAnsi="Times New Roman"/>
                <w:b/>
                <w:sz w:val="19"/>
              </w:rPr>
              <w:t>7</w:t>
            </w:r>
          </w:p>
        </w:tc>
        <w:tc>
          <w:tcPr>
            <w:tcW w:type="dxa" w:w="6480"/>
          </w:tcPr>
          <w:p>
            <w:pPr>
              <w:spacing w:before="20" w:after="20"/>
            </w:pPr>
            <w:r>
              <w:rPr>
                <w:rFonts w:ascii="Times New Roman" w:hAnsi="Times New Roman"/>
                <w:b/>
                <w:sz w:val="19"/>
              </w:rPr>
              <w:t>RESULTS AND DISCUSSION</w:t>
            </w:r>
          </w:p>
        </w:tc>
        <w:tc>
          <w:tcPr>
            <w:tcW w:type="dxa" w:w="1152"/>
          </w:tcPr>
          <w:p>
            <w:pPr>
              <w:spacing w:before="20" w:after="20"/>
              <w:jc w:val="right"/>
            </w:pPr>
            <w:r>
              <w:rPr>
                <w:rFonts w:ascii="Times New Roman" w:hAnsi="Times New Roman"/>
                <w:b/>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7.1 Results and Discussion</w:t>
            </w:r>
          </w:p>
        </w:tc>
        <w:tc>
          <w:tcPr>
            <w:tcW w:type="dxa" w:w="1152"/>
          </w:tcPr>
          <w:p>
            <w:pPr>
              <w:spacing w:before="20" w:after="20"/>
              <w:jc w:val="right"/>
            </w:pPr>
            <w:r>
              <w:rPr>
                <w:rFonts w:ascii="Times New Roman" w:hAnsi="Times New Roman"/>
                <w:sz w:val="19"/>
              </w:rPr>
              <w:t>43</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7.1.1 ML Model Performance Comparison</w:t>
            </w:r>
          </w:p>
        </w:tc>
        <w:tc>
          <w:tcPr>
            <w:tcW w:type="dxa" w:w="1152"/>
          </w:tcPr>
          <w:p>
            <w:pPr>
              <w:spacing w:before="20" w:after="20"/>
              <w:jc w:val="right"/>
            </w:pPr>
            <w:r>
              <w:rPr>
                <w:rFonts w:ascii="Times New Roman" w:hAnsi="Times New Roman"/>
                <w:sz w:val="19"/>
              </w:rPr>
              <w:t>43</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7.1.2 Confusion Matrix Analysis</w:t>
            </w:r>
          </w:p>
        </w:tc>
        <w:tc>
          <w:tcPr>
            <w:tcW w:type="dxa" w:w="1152"/>
          </w:tcPr>
          <w:p>
            <w:pPr>
              <w:spacing w:before="20" w:after="20"/>
              <w:jc w:val="right"/>
            </w:pPr>
            <w:r>
              <w:rPr>
                <w:rFonts w:ascii="Times New Roman" w:hAnsi="Times New Roman"/>
                <w:sz w:val="19"/>
              </w:rPr>
              <w:t>43</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7.1.3 Global &amp; Local TreeSHAP Attributions</w:t>
            </w:r>
          </w:p>
        </w:tc>
        <w:tc>
          <w:tcPr>
            <w:tcW w:type="dxa" w:w="1152"/>
          </w:tcPr>
          <w:p>
            <w:pPr>
              <w:spacing w:before="20" w:after="20"/>
              <w:jc w:val="right"/>
            </w:pPr>
            <w:r>
              <w:rPr>
                <w:rFonts w:ascii="Times New Roman" w:hAnsi="Times New Roman"/>
                <w:sz w:val="19"/>
              </w:rPr>
              <w:t>44</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7.1.4 Pre-Authorization Latency Profile</w:t>
            </w:r>
          </w:p>
        </w:tc>
        <w:tc>
          <w:tcPr>
            <w:tcW w:type="dxa" w:w="1152"/>
          </w:tcPr>
          <w:p>
            <w:pPr>
              <w:spacing w:before="20" w:after="20"/>
              <w:jc w:val="right"/>
            </w:pPr>
            <w:r>
              <w:rPr>
                <w:rFonts w:ascii="Times New Roman" w:hAnsi="Times New Roman"/>
                <w:sz w:val="19"/>
              </w:rPr>
              <w:t>44</w:t>
            </w:r>
          </w:p>
        </w:tc>
      </w:tr>
      <w:tr>
        <w:tc>
          <w:tcPr>
            <w:tcW w:type="dxa" w:w="1584"/>
          </w:tcPr>
          <w:p>
            <w:pPr>
              <w:spacing w:before="20" w:after="20"/>
            </w:pPr>
            <w:r>
              <w:rPr>
                <w:rFonts w:ascii="Times New Roman" w:hAnsi="Times New Roman"/>
                <w:b/>
                <w:sz w:val="19"/>
              </w:rPr>
              <w:t>8</w:t>
            </w:r>
          </w:p>
        </w:tc>
        <w:tc>
          <w:tcPr>
            <w:tcW w:type="dxa" w:w="6480"/>
          </w:tcPr>
          <w:p>
            <w:pPr>
              <w:spacing w:before="20" w:after="20"/>
            </w:pPr>
            <w:r>
              <w:rPr>
                <w:rFonts w:ascii="Times New Roman" w:hAnsi="Times New Roman"/>
                <w:b/>
                <w:sz w:val="19"/>
              </w:rPr>
              <w:t>SYSTEM TESTING</w:t>
            </w:r>
          </w:p>
        </w:tc>
        <w:tc>
          <w:tcPr>
            <w:tcW w:type="dxa" w:w="1152"/>
          </w:tcPr>
          <w:p>
            <w:pPr>
              <w:spacing w:before="20" w:after="20"/>
              <w:jc w:val="right"/>
            </w:pPr>
            <w:r>
              <w:rPr>
                <w:rFonts w:ascii="Times New Roman" w:hAnsi="Times New Roman"/>
                <w:b/>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8.1 Testing Methodology</w:t>
            </w:r>
          </w:p>
        </w:tc>
        <w:tc>
          <w:tcPr>
            <w:tcW w:type="dxa" w:w="1152"/>
          </w:tcPr>
          <w:p>
            <w:pPr>
              <w:spacing w:before="20" w:after="20"/>
              <w:jc w:val="right"/>
            </w:pPr>
            <w:r>
              <w:rPr>
                <w:rFonts w:ascii="Times New Roman" w:hAnsi="Times New Roman"/>
                <w:sz w:val="19"/>
              </w:rPr>
              <w:t>49</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8.2 Unit Testing</w:t>
            </w:r>
          </w:p>
        </w:tc>
        <w:tc>
          <w:tcPr>
            <w:tcW w:type="dxa" w:w="1152"/>
          </w:tcPr>
          <w:p>
            <w:pPr>
              <w:spacing w:before="20" w:after="20"/>
              <w:jc w:val="right"/>
            </w:pPr>
            <w:r>
              <w:rPr>
                <w:rFonts w:ascii="Times New Roman" w:hAnsi="Times New Roman"/>
                <w:sz w:val="19"/>
              </w:rPr>
              <w:t>49</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8.3 Integration Testing</w:t>
            </w:r>
          </w:p>
        </w:tc>
        <w:tc>
          <w:tcPr>
            <w:tcW w:type="dxa" w:w="1152"/>
          </w:tcPr>
          <w:p>
            <w:pPr>
              <w:spacing w:before="20" w:after="20"/>
              <w:jc w:val="right"/>
            </w:pPr>
            <w:r>
              <w:rPr>
                <w:rFonts w:ascii="Times New Roman" w:hAnsi="Times New Roman"/>
                <w:sz w:val="19"/>
              </w:rPr>
              <w:t>49</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8.4 Validation Testing</w:t>
            </w:r>
          </w:p>
        </w:tc>
        <w:tc>
          <w:tcPr>
            <w:tcW w:type="dxa" w:w="1152"/>
          </w:tcPr>
          <w:p>
            <w:pPr>
              <w:spacing w:before="20" w:after="20"/>
              <w:jc w:val="right"/>
            </w:pPr>
            <w:r>
              <w:rPr>
                <w:rFonts w:ascii="Times New Roman" w:hAnsi="Times New Roman"/>
                <w:sz w:val="19"/>
              </w:rPr>
              <w:t>50</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8.5 Testing Report</w:t>
            </w:r>
          </w:p>
        </w:tc>
        <w:tc>
          <w:tcPr>
            <w:tcW w:type="dxa" w:w="1152"/>
          </w:tcPr>
          <w:p>
            <w:pPr>
              <w:spacing w:before="20" w:after="20"/>
              <w:jc w:val="right"/>
            </w:pPr>
            <w:r>
              <w:rPr>
                <w:rFonts w:ascii="Times New Roman" w:hAnsi="Times New Roman"/>
                <w:sz w:val="19"/>
              </w:rPr>
              <w:t>50</w:t>
            </w:r>
          </w:p>
        </w:tc>
      </w:tr>
      <w:tr>
        <w:tc>
          <w:tcPr>
            <w:tcW w:type="dxa" w:w="1584"/>
          </w:tcPr>
          <w:p>
            <w:pPr>
              <w:spacing w:before="20" w:after="20"/>
            </w:pPr>
            <w:r>
              <w:rPr>
                <w:rFonts w:ascii="Times New Roman" w:hAnsi="Times New Roman"/>
                <w:b/>
                <w:sz w:val="19"/>
              </w:rPr>
              <w:t>9</w:t>
            </w:r>
          </w:p>
        </w:tc>
        <w:tc>
          <w:tcPr>
            <w:tcW w:type="dxa" w:w="6480"/>
          </w:tcPr>
          <w:p>
            <w:pPr>
              <w:spacing w:before="20" w:after="20"/>
            </w:pPr>
            <w:r>
              <w:rPr>
                <w:rFonts w:ascii="Times New Roman" w:hAnsi="Times New Roman"/>
                <w:b/>
                <w:sz w:val="19"/>
              </w:rPr>
              <w:t>CONCLUSION AND FUTURE ENHANCEMENT</w:t>
            </w:r>
          </w:p>
        </w:tc>
        <w:tc>
          <w:tcPr>
            <w:tcW w:type="dxa" w:w="1152"/>
          </w:tcPr>
          <w:p>
            <w:pPr>
              <w:spacing w:before="20" w:after="20"/>
              <w:jc w:val="right"/>
            </w:pPr>
            <w:r>
              <w:rPr>
                <w:rFonts w:ascii="Times New Roman" w:hAnsi="Times New Roman"/>
                <w:b/>
                <w:sz w:val="19"/>
              </w:rPr>
              <w:t>1</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9.1 Conclusion</w:t>
            </w:r>
          </w:p>
        </w:tc>
        <w:tc>
          <w:tcPr>
            <w:tcW w:type="dxa" w:w="1152"/>
          </w:tcPr>
          <w:p>
            <w:pPr>
              <w:spacing w:before="20" w:after="20"/>
              <w:jc w:val="right"/>
            </w:pPr>
            <w:r>
              <w:rPr>
                <w:rFonts w:ascii="Times New Roman" w:hAnsi="Times New Roman"/>
                <w:sz w:val="19"/>
              </w:rPr>
              <w:t>53</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9.2 Future Enhancement</w:t>
            </w:r>
          </w:p>
        </w:tc>
        <w:tc>
          <w:tcPr>
            <w:tcW w:type="dxa" w:w="1152"/>
          </w:tcPr>
          <w:p>
            <w:pPr>
              <w:spacing w:before="20" w:after="20"/>
              <w:jc w:val="right"/>
            </w:pPr>
            <w:r>
              <w:rPr>
                <w:rFonts w:ascii="Times New Roman" w:hAnsi="Times New Roman"/>
                <w:sz w:val="19"/>
              </w:rPr>
              <w:t>54</w:t>
            </w:r>
          </w:p>
        </w:tc>
      </w:tr>
      <w:tr>
        <w:tc>
          <w:tcPr>
            <w:tcW w:type="dxa" w:w="1584"/>
          </w:tcPr>
          <w:p>
            <w:pPr>
              <w:spacing w:before="20" w:after="20"/>
            </w:pPr>
            <w:r>
              <w:rPr>
                <w:rFonts w:ascii="Times New Roman" w:hAnsi="Times New Roman"/>
                <w:b/>
                <w:sz w:val="19"/>
              </w:rPr>
            </w:r>
          </w:p>
        </w:tc>
        <w:tc>
          <w:tcPr>
            <w:tcW w:type="dxa" w:w="6480"/>
          </w:tcPr>
          <w:p>
            <w:pPr>
              <w:spacing w:before="20" w:after="20"/>
            </w:pPr>
            <w:r>
              <w:rPr>
                <w:rFonts w:ascii="Times New Roman" w:hAnsi="Times New Roman"/>
                <w:b/>
                <w:sz w:val="19"/>
              </w:rPr>
              <w:t>APPENDIX</w:t>
            </w:r>
          </w:p>
        </w:tc>
        <w:tc>
          <w:tcPr>
            <w:tcW w:type="dxa" w:w="1152"/>
          </w:tcPr>
          <w:p>
            <w:pPr>
              <w:spacing w:before="20" w:after="20"/>
              <w:jc w:val="right"/>
            </w:pPr>
            <w:r>
              <w:rPr>
                <w:rFonts w:ascii="Times New Roman" w:hAnsi="Times New Roman"/>
                <w:b/>
                <w:sz w:val="19"/>
              </w:rPr>
              <w:t>55</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A.1 Core Source Code Excerpts</w:t>
            </w:r>
          </w:p>
        </w:tc>
        <w:tc>
          <w:tcPr>
            <w:tcW w:type="dxa" w:w="1152"/>
          </w:tcPr>
          <w:p>
            <w:pPr>
              <w:spacing w:before="20" w:after="20"/>
              <w:jc w:val="right"/>
            </w:pPr>
            <w:r>
              <w:rPr>
                <w:rFonts w:ascii="Times New Roman" w:hAnsi="Times New Roman"/>
                <w:sz w:val="19"/>
              </w:rPr>
              <w:t>55</w:t>
            </w:r>
          </w:p>
        </w:tc>
      </w:tr>
      <w:tr>
        <w:tc>
          <w:tcPr>
            <w:tcW w:type="dxa" w:w="1584"/>
          </w:tcPr>
          <w:p>
            <w:pPr>
              <w:spacing w:before="20" w:after="20"/>
            </w:pPr>
            <w:r>
              <w:rPr>
                <w:rFonts w:ascii="Times New Roman" w:hAnsi="Times New Roman"/>
                <w:sz w:val="19"/>
              </w:rPr>
            </w:r>
          </w:p>
        </w:tc>
        <w:tc>
          <w:tcPr>
            <w:tcW w:type="dxa" w:w="6480"/>
          </w:tcPr>
          <w:p>
            <w:pPr>
              <w:spacing w:before="20" w:after="20"/>
            </w:pPr>
            <w:r>
              <w:rPr>
                <w:rFonts w:ascii="Times New Roman" w:hAnsi="Times New Roman"/>
                <w:sz w:val="19"/>
              </w:rPr>
              <w:t xml:space="preserve">  A.2 Application Screenshots Ecosystem</w:t>
            </w:r>
          </w:p>
        </w:tc>
        <w:tc>
          <w:tcPr>
            <w:tcW w:type="dxa" w:w="1152"/>
          </w:tcPr>
          <w:p>
            <w:pPr>
              <w:spacing w:before="20" w:after="20"/>
              <w:jc w:val="right"/>
            </w:pPr>
            <w:r>
              <w:rPr>
                <w:rFonts w:ascii="Times New Roman" w:hAnsi="Times New Roman"/>
                <w:sz w:val="19"/>
              </w:rPr>
              <w:t>57</w:t>
            </w:r>
          </w:p>
        </w:tc>
      </w:tr>
      <w:tr>
        <w:tc>
          <w:tcPr>
            <w:tcW w:type="dxa" w:w="1584"/>
          </w:tcPr>
          <w:p>
            <w:pPr>
              <w:spacing w:before="20" w:after="20"/>
            </w:pPr>
            <w:r>
              <w:rPr>
                <w:rFonts w:ascii="Times New Roman" w:hAnsi="Times New Roman"/>
                <w:b/>
                <w:sz w:val="19"/>
              </w:rPr>
            </w:r>
          </w:p>
        </w:tc>
        <w:tc>
          <w:tcPr>
            <w:tcW w:type="dxa" w:w="6480"/>
          </w:tcPr>
          <w:p>
            <w:pPr>
              <w:spacing w:before="20" w:after="20"/>
            </w:pPr>
            <w:r>
              <w:rPr>
                <w:rFonts w:ascii="Times New Roman" w:hAnsi="Times New Roman"/>
                <w:b/>
                <w:sz w:val="19"/>
              </w:rPr>
              <w:t>REFERENCES</w:t>
            </w:r>
          </w:p>
        </w:tc>
        <w:tc>
          <w:tcPr>
            <w:tcW w:type="dxa" w:w="1152"/>
          </w:tcPr>
          <w:p>
            <w:pPr>
              <w:spacing w:before="20" w:after="20"/>
              <w:jc w:val="right"/>
            </w:pPr>
            <w:r>
              <w:rPr>
                <w:rFonts w:ascii="Times New Roman" w:hAnsi="Times New Roman"/>
                <w:b/>
                <w:sz w:val="19"/>
              </w:rPr>
              <w:t>58</w:t>
            </w:r>
          </w:p>
        </w:tc>
      </w:tr>
    </w:tbl>
    <w:p>
      <w:r>
        <w:br w:type="page"/>
      </w:r>
    </w:p>
    <w:p>
      <w:pPr>
        <w:spacing w:before="320" w:after="280" w:line="307" w:lineRule="auto"/>
        <w:jc w:val="center"/>
      </w:pPr>
      <w:r>
        <w:rPr>
          <w:rFonts w:ascii="Times New Roman" w:hAnsi="Times New Roman"/>
          <w:b/>
          <w:sz w:val="32"/>
        </w:rPr>
        <w:t>LIST OF TABLES</w:t>
      </w:r>
    </w:p>
    <w:tbl>
      <w:tblPr>
        <w:tblW w:type="auto" w:w="0"/>
        <w:jc w:val="center"/>
        <w:tblLook w:firstColumn="1" w:firstRow="1" w:lastColumn="0" w:lastRow="0" w:noHBand="0" w:noVBand="1" w:val="04A0"/>
      </w:tblPr>
      <w:tblGrid>
        <w:gridCol w:w="3010"/>
        <w:gridCol w:w="3010"/>
        <w:gridCol w:w="3010"/>
      </w:tblGrid>
      <w:tr>
        <w:tc>
          <w:tcPr>
            <w:tcW w:type="dxa" w:w="1872"/>
          </w:tcPr>
          <w:p>
            <w:r>
              <w:rPr>
                <w:rFonts w:ascii="Times New Roman" w:hAnsi="Times New Roman"/>
                <w:b/>
                <w:sz w:val="21"/>
              </w:rPr>
              <w:t>TABLE NO.</w:t>
            </w:r>
          </w:p>
        </w:tc>
        <w:tc>
          <w:tcPr>
            <w:tcW w:type="dxa" w:w="6192"/>
          </w:tcPr>
          <w:p>
            <w:r>
              <w:rPr>
                <w:rFonts w:ascii="Times New Roman" w:hAnsi="Times New Roman"/>
                <w:b/>
                <w:sz w:val="21"/>
              </w:rPr>
              <w:t>TITLE</w:t>
            </w:r>
          </w:p>
        </w:tc>
        <w:tc>
          <w:tcPr>
            <w:tcW w:type="dxa" w:w="1152"/>
          </w:tcPr>
          <w:p>
            <w:r>
              <w:rPr>
                <w:rFonts w:ascii="Times New Roman" w:hAnsi="Times New Roman"/>
                <w:b/>
                <w:sz w:val="21"/>
              </w:rPr>
              <w:t>PAGE NO</w:t>
            </w:r>
          </w:p>
        </w:tc>
      </w:tr>
      <w:tr>
        <w:tc>
          <w:tcPr>
            <w:tcW w:type="dxa" w:w="1872"/>
          </w:tcPr>
          <w:p>
            <w:pPr>
              <w:spacing w:before="30" w:after="30"/>
            </w:pPr>
            <w:r>
              <w:rPr>
                <w:rFonts w:ascii="Times New Roman" w:hAnsi="Times New Roman"/>
                <w:sz w:val="19"/>
              </w:rPr>
              <w:t>Table 1.1</w:t>
            </w:r>
          </w:p>
        </w:tc>
        <w:tc>
          <w:tcPr>
            <w:tcW w:type="dxa" w:w="6192"/>
          </w:tcPr>
          <w:p>
            <w:pPr>
              <w:spacing w:before="30" w:after="30"/>
            </w:pPr>
            <w:r>
              <w:rPr>
                <w:rFonts w:ascii="Times New Roman" w:hAnsi="Times New Roman"/>
                <w:sz w:val="19"/>
              </w:rPr>
              <w:t>Comparative Literature Survey of Fraud Detection Methodologies</w:t>
            </w:r>
          </w:p>
        </w:tc>
        <w:tc>
          <w:tcPr>
            <w:tcW w:type="dxa" w:w="1152"/>
          </w:tcPr>
          <w:p>
            <w:pPr>
              <w:spacing w:before="30" w:after="30"/>
              <w:jc w:val="right"/>
            </w:pPr>
            <w:r>
              <w:rPr>
                <w:rFonts w:ascii="Times New Roman" w:hAnsi="Times New Roman"/>
                <w:sz w:val="19"/>
              </w:rPr>
              <w:t>6</w:t>
            </w:r>
          </w:p>
        </w:tc>
      </w:tr>
      <w:tr>
        <w:tc>
          <w:tcPr>
            <w:tcW w:type="dxa" w:w="1872"/>
          </w:tcPr>
          <w:p>
            <w:pPr>
              <w:spacing w:before="30" w:after="30"/>
            </w:pPr>
            <w:r>
              <w:rPr>
                <w:rFonts w:ascii="Times New Roman" w:hAnsi="Times New Roman"/>
                <w:sz w:val="19"/>
              </w:rPr>
              <w:t>Table 3.1</w:t>
            </w:r>
          </w:p>
        </w:tc>
        <w:tc>
          <w:tcPr>
            <w:tcW w:type="dxa" w:w="6192"/>
          </w:tcPr>
          <w:p>
            <w:pPr>
              <w:spacing w:before="30" w:after="30"/>
            </w:pPr>
            <w:r>
              <w:rPr>
                <w:rFonts w:ascii="Times New Roman" w:hAnsi="Times New Roman"/>
                <w:sz w:val="19"/>
              </w:rPr>
              <w:t>Economic Feasibility Cost-Benefit and ROI Analysis</w:t>
            </w:r>
          </w:p>
        </w:tc>
        <w:tc>
          <w:tcPr>
            <w:tcW w:type="dxa" w:w="1152"/>
          </w:tcPr>
          <w:p>
            <w:pPr>
              <w:spacing w:before="30" w:after="30"/>
              <w:jc w:val="right"/>
            </w:pPr>
            <w:r>
              <w:rPr>
                <w:rFonts w:ascii="Times New Roman" w:hAnsi="Times New Roman"/>
                <w:sz w:val="19"/>
              </w:rPr>
              <w:t>13</w:t>
            </w:r>
          </w:p>
        </w:tc>
      </w:tr>
      <w:tr>
        <w:tc>
          <w:tcPr>
            <w:tcW w:type="dxa" w:w="1872"/>
          </w:tcPr>
          <w:p>
            <w:pPr>
              <w:spacing w:before="30" w:after="30"/>
            </w:pPr>
            <w:r>
              <w:rPr>
                <w:rFonts w:ascii="Times New Roman" w:hAnsi="Times New Roman"/>
                <w:sz w:val="19"/>
              </w:rPr>
              <w:t>Table 4.1</w:t>
            </w:r>
          </w:p>
        </w:tc>
        <w:tc>
          <w:tcPr>
            <w:tcW w:type="dxa" w:w="6192"/>
          </w:tcPr>
          <w:p>
            <w:pPr>
              <w:spacing w:before="30" w:after="30"/>
            </w:pPr>
            <w:r>
              <w:rPr>
                <w:rFonts w:ascii="Times New Roman" w:hAnsi="Times New Roman"/>
                <w:sz w:val="19"/>
              </w:rPr>
              <w:t>Hardware Infrastructure Specifications</w:t>
            </w:r>
          </w:p>
        </w:tc>
        <w:tc>
          <w:tcPr>
            <w:tcW w:type="dxa" w:w="1152"/>
          </w:tcPr>
          <w:p>
            <w:pPr>
              <w:spacing w:before="30" w:after="30"/>
              <w:jc w:val="right"/>
            </w:pPr>
            <w:r>
              <w:rPr>
                <w:rFonts w:ascii="Times New Roman" w:hAnsi="Times New Roman"/>
                <w:sz w:val="19"/>
              </w:rPr>
              <w:t>16</w:t>
            </w:r>
          </w:p>
        </w:tc>
      </w:tr>
      <w:tr>
        <w:tc>
          <w:tcPr>
            <w:tcW w:type="dxa" w:w="1872"/>
          </w:tcPr>
          <w:p>
            <w:pPr>
              <w:spacing w:before="30" w:after="30"/>
            </w:pPr>
            <w:r>
              <w:rPr>
                <w:rFonts w:ascii="Times New Roman" w:hAnsi="Times New Roman"/>
                <w:sz w:val="19"/>
              </w:rPr>
              <w:t>Table 4.2</w:t>
            </w:r>
          </w:p>
        </w:tc>
        <w:tc>
          <w:tcPr>
            <w:tcW w:type="dxa" w:w="6192"/>
          </w:tcPr>
          <w:p>
            <w:pPr>
              <w:spacing w:before="30" w:after="30"/>
            </w:pPr>
            <w:r>
              <w:rPr>
                <w:rFonts w:ascii="Times New Roman" w:hAnsi="Times New Roman"/>
                <w:sz w:val="19"/>
              </w:rPr>
              <w:t>Software Environment &amp; Runtime Dependencies</w:t>
            </w:r>
          </w:p>
        </w:tc>
        <w:tc>
          <w:tcPr>
            <w:tcW w:type="dxa" w:w="1152"/>
          </w:tcPr>
          <w:p>
            <w:pPr>
              <w:spacing w:before="30" w:after="30"/>
              <w:jc w:val="right"/>
            </w:pPr>
            <w:r>
              <w:rPr>
                <w:rFonts w:ascii="Times New Roman" w:hAnsi="Times New Roman"/>
                <w:sz w:val="19"/>
              </w:rPr>
              <w:t>16</w:t>
            </w:r>
          </w:p>
        </w:tc>
      </w:tr>
      <w:tr>
        <w:tc>
          <w:tcPr>
            <w:tcW w:type="dxa" w:w="1872"/>
          </w:tcPr>
          <w:p>
            <w:pPr>
              <w:spacing w:before="30" w:after="30"/>
            </w:pPr>
            <w:r>
              <w:rPr>
                <w:rFonts w:ascii="Times New Roman" w:hAnsi="Times New Roman"/>
                <w:sz w:val="19"/>
              </w:rPr>
              <w:t>Table 5.1</w:t>
            </w:r>
          </w:p>
        </w:tc>
        <w:tc>
          <w:tcPr>
            <w:tcW w:type="dxa" w:w="6192"/>
          </w:tcPr>
          <w:p>
            <w:pPr>
              <w:spacing w:before="30" w:after="30"/>
            </w:pPr>
            <w:r>
              <w:rPr>
                <w:rFonts w:ascii="Times New Roman" w:hAnsi="Times New Roman"/>
                <w:sz w:val="19"/>
              </w:rPr>
              <w:t>Relational Database Schema Specifications (20 Entities)</w:t>
            </w:r>
          </w:p>
        </w:tc>
        <w:tc>
          <w:tcPr>
            <w:tcW w:type="dxa" w:w="1152"/>
          </w:tcPr>
          <w:p>
            <w:pPr>
              <w:spacing w:before="30" w:after="30"/>
              <w:jc w:val="right"/>
            </w:pPr>
            <w:r>
              <w:rPr>
                <w:rFonts w:ascii="Times New Roman" w:hAnsi="Times New Roman"/>
                <w:sz w:val="19"/>
              </w:rPr>
              <w:t>22</w:t>
            </w:r>
          </w:p>
        </w:tc>
      </w:tr>
      <w:tr>
        <w:tc>
          <w:tcPr>
            <w:tcW w:type="dxa" w:w="1872"/>
          </w:tcPr>
          <w:p>
            <w:pPr>
              <w:spacing w:before="30" w:after="30"/>
            </w:pPr>
            <w:r>
              <w:rPr>
                <w:rFonts w:ascii="Times New Roman" w:hAnsi="Times New Roman"/>
                <w:sz w:val="19"/>
              </w:rPr>
              <w:t>Table 6.1</w:t>
            </w:r>
          </w:p>
        </w:tc>
        <w:tc>
          <w:tcPr>
            <w:tcW w:type="dxa" w:w="6192"/>
          </w:tcPr>
          <w:p>
            <w:pPr>
              <w:spacing w:before="30" w:after="30"/>
            </w:pPr>
            <w:r>
              <w:rPr>
                <w:rFonts w:ascii="Times New Roman" w:hAnsi="Times New Roman"/>
                <w:sz w:val="19"/>
              </w:rPr>
              <w:t>Master Dataset Attribute &amp; Domain Specifications (57 Features)</w:t>
            </w:r>
          </w:p>
        </w:tc>
        <w:tc>
          <w:tcPr>
            <w:tcW w:type="dxa" w:w="1152"/>
          </w:tcPr>
          <w:p>
            <w:pPr>
              <w:spacing w:before="30" w:after="30"/>
              <w:jc w:val="right"/>
            </w:pPr>
            <w:r>
              <w:rPr>
                <w:rFonts w:ascii="Times New Roman" w:hAnsi="Times New Roman"/>
                <w:sz w:val="19"/>
              </w:rPr>
              <w:t>30</w:t>
            </w:r>
          </w:p>
        </w:tc>
      </w:tr>
      <w:tr>
        <w:tc>
          <w:tcPr>
            <w:tcW w:type="dxa" w:w="1872"/>
          </w:tcPr>
          <w:p>
            <w:pPr>
              <w:spacing w:before="30" w:after="30"/>
            </w:pPr>
            <w:r>
              <w:rPr>
                <w:rFonts w:ascii="Times New Roman" w:hAnsi="Times New Roman"/>
                <w:sz w:val="19"/>
              </w:rPr>
              <w:t>Table 6.2</w:t>
            </w:r>
          </w:p>
        </w:tc>
        <w:tc>
          <w:tcPr>
            <w:tcW w:type="dxa" w:w="6192"/>
          </w:tcPr>
          <w:p>
            <w:pPr>
              <w:spacing w:before="30" w:after="30"/>
            </w:pPr>
            <w:r>
              <w:rPr>
                <w:rFonts w:ascii="Times New Roman" w:hAnsi="Times New Roman"/>
                <w:sz w:val="19"/>
              </w:rPr>
              <w:t>Preprocessing Transformation &amp; Imputation Strategy</w:t>
            </w:r>
          </w:p>
        </w:tc>
        <w:tc>
          <w:tcPr>
            <w:tcW w:type="dxa" w:w="1152"/>
          </w:tcPr>
          <w:p>
            <w:pPr>
              <w:spacing w:before="30" w:after="30"/>
              <w:jc w:val="right"/>
            </w:pPr>
            <w:r>
              <w:rPr>
                <w:rFonts w:ascii="Times New Roman" w:hAnsi="Times New Roman"/>
                <w:sz w:val="19"/>
              </w:rPr>
              <w:t>31</w:t>
            </w:r>
          </w:p>
        </w:tc>
      </w:tr>
      <w:tr>
        <w:tc>
          <w:tcPr>
            <w:tcW w:type="dxa" w:w="1872"/>
          </w:tcPr>
          <w:p>
            <w:pPr>
              <w:spacing w:before="30" w:after="30"/>
            </w:pPr>
            <w:r>
              <w:rPr>
                <w:rFonts w:ascii="Times New Roman" w:hAnsi="Times New Roman"/>
                <w:sz w:val="19"/>
              </w:rPr>
              <w:t>Table 6.3</w:t>
            </w:r>
          </w:p>
        </w:tc>
        <w:tc>
          <w:tcPr>
            <w:tcW w:type="dxa" w:w="6192"/>
          </w:tcPr>
          <w:p>
            <w:pPr>
              <w:spacing w:before="30" w:after="30"/>
            </w:pPr>
            <w:r>
              <w:rPr>
                <w:rFonts w:ascii="Times New Roman" w:hAnsi="Times New Roman"/>
                <w:sz w:val="19"/>
              </w:rPr>
              <w:t>Machine Learning Model Hyperparameters &amp; Architecture</w:t>
            </w:r>
          </w:p>
        </w:tc>
        <w:tc>
          <w:tcPr>
            <w:tcW w:type="dxa" w:w="1152"/>
          </w:tcPr>
          <w:p>
            <w:pPr>
              <w:spacing w:before="30" w:after="30"/>
              <w:jc w:val="right"/>
            </w:pPr>
            <w:r>
              <w:rPr>
                <w:rFonts w:ascii="Times New Roman" w:hAnsi="Times New Roman"/>
                <w:sz w:val="19"/>
              </w:rPr>
              <w:t>33</w:t>
            </w:r>
          </w:p>
        </w:tc>
      </w:tr>
      <w:tr>
        <w:tc>
          <w:tcPr>
            <w:tcW w:type="dxa" w:w="1872"/>
          </w:tcPr>
          <w:p>
            <w:pPr>
              <w:spacing w:before="30" w:after="30"/>
            </w:pPr>
            <w:r>
              <w:rPr>
                <w:rFonts w:ascii="Times New Roman" w:hAnsi="Times New Roman"/>
                <w:sz w:val="19"/>
              </w:rPr>
              <w:t>Table 6.4</w:t>
            </w:r>
          </w:p>
        </w:tc>
        <w:tc>
          <w:tcPr>
            <w:tcW w:type="dxa" w:w="6192"/>
          </w:tcPr>
          <w:p>
            <w:pPr>
              <w:spacing w:before="30" w:after="30"/>
            </w:pPr>
            <w:r>
              <w:rPr>
                <w:rFonts w:ascii="Times New Roman" w:hAnsi="Times New Roman"/>
                <w:sz w:val="19"/>
              </w:rPr>
              <w:t>Multi-Factor Risk Scoring Point Allocation Matrix</w:t>
            </w:r>
          </w:p>
        </w:tc>
        <w:tc>
          <w:tcPr>
            <w:tcW w:type="dxa" w:w="1152"/>
          </w:tcPr>
          <w:p>
            <w:pPr>
              <w:spacing w:before="30" w:after="30"/>
              <w:jc w:val="right"/>
            </w:pPr>
            <w:r>
              <w:rPr>
                <w:rFonts w:ascii="Times New Roman" w:hAnsi="Times New Roman"/>
                <w:sz w:val="19"/>
              </w:rPr>
              <w:t>33</w:t>
            </w:r>
          </w:p>
        </w:tc>
      </w:tr>
      <w:tr>
        <w:tc>
          <w:tcPr>
            <w:tcW w:type="dxa" w:w="1872"/>
          </w:tcPr>
          <w:p>
            <w:pPr>
              <w:spacing w:before="30" w:after="30"/>
            </w:pPr>
            <w:r>
              <w:rPr>
                <w:rFonts w:ascii="Times New Roman" w:hAnsi="Times New Roman"/>
                <w:sz w:val="19"/>
              </w:rPr>
              <w:t>Table 6.5</w:t>
            </w:r>
          </w:p>
        </w:tc>
        <w:tc>
          <w:tcPr>
            <w:tcW w:type="dxa" w:w="6192"/>
          </w:tcPr>
          <w:p>
            <w:pPr>
              <w:spacing w:before="30" w:after="30"/>
            </w:pPr>
            <w:r>
              <w:rPr>
                <w:rFonts w:ascii="Times New Roman" w:hAnsi="Times New Roman"/>
                <w:sz w:val="19"/>
              </w:rPr>
              <w:t>Global Top-15 Feature Importance Attributions via TreeSHAP</w:t>
            </w:r>
          </w:p>
        </w:tc>
        <w:tc>
          <w:tcPr>
            <w:tcW w:type="dxa" w:w="1152"/>
          </w:tcPr>
          <w:p>
            <w:pPr>
              <w:spacing w:before="30" w:after="30"/>
              <w:jc w:val="right"/>
            </w:pPr>
            <w:r>
              <w:rPr>
                <w:rFonts w:ascii="Times New Roman" w:hAnsi="Times New Roman"/>
                <w:sz w:val="19"/>
              </w:rPr>
              <w:t>34</w:t>
            </w:r>
          </w:p>
        </w:tc>
      </w:tr>
      <w:tr>
        <w:tc>
          <w:tcPr>
            <w:tcW w:type="dxa" w:w="1872"/>
          </w:tcPr>
          <w:p>
            <w:pPr>
              <w:spacing w:before="30" w:after="30"/>
            </w:pPr>
            <w:r>
              <w:rPr>
                <w:rFonts w:ascii="Times New Roman" w:hAnsi="Times New Roman"/>
                <w:sz w:val="19"/>
              </w:rPr>
              <w:t>Table 6.6</w:t>
            </w:r>
          </w:p>
        </w:tc>
        <w:tc>
          <w:tcPr>
            <w:tcW w:type="dxa" w:w="6192"/>
          </w:tcPr>
          <w:p>
            <w:pPr>
              <w:spacing w:before="30" w:after="30"/>
            </w:pPr>
            <w:r>
              <w:rPr>
                <w:rFonts w:ascii="Times New Roman" w:hAnsi="Times New Roman"/>
                <w:sz w:val="19"/>
              </w:rPr>
              <w:t>Pre-Authorization Three-Tier Decision Matrix &amp; Actions</w:t>
            </w:r>
          </w:p>
        </w:tc>
        <w:tc>
          <w:tcPr>
            <w:tcW w:type="dxa" w:w="1152"/>
          </w:tcPr>
          <w:p>
            <w:pPr>
              <w:spacing w:before="30" w:after="30"/>
              <w:jc w:val="right"/>
            </w:pPr>
            <w:r>
              <w:rPr>
                <w:rFonts w:ascii="Times New Roman" w:hAnsi="Times New Roman"/>
                <w:sz w:val="19"/>
              </w:rPr>
              <w:t>42</w:t>
            </w:r>
          </w:p>
        </w:tc>
      </w:tr>
      <w:tr>
        <w:tc>
          <w:tcPr>
            <w:tcW w:type="dxa" w:w="1872"/>
          </w:tcPr>
          <w:p>
            <w:pPr>
              <w:spacing w:before="30" w:after="30"/>
            </w:pPr>
            <w:r>
              <w:rPr>
                <w:rFonts w:ascii="Times New Roman" w:hAnsi="Times New Roman"/>
                <w:sz w:val="19"/>
              </w:rPr>
              <w:t>Table 7.1</w:t>
            </w:r>
          </w:p>
        </w:tc>
        <w:tc>
          <w:tcPr>
            <w:tcW w:type="dxa" w:w="6192"/>
          </w:tcPr>
          <w:p>
            <w:pPr>
              <w:spacing w:before="30" w:after="30"/>
            </w:pPr>
            <w:r>
              <w:rPr>
                <w:rFonts w:ascii="Times New Roman" w:hAnsi="Times New Roman"/>
                <w:sz w:val="19"/>
              </w:rPr>
              <w:t>Comprehensive ML Model Performance Comparison</w:t>
            </w:r>
          </w:p>
        </w:tc>
        <w:tc>
          <w:tcPr>
            <w:tcW w:type="dxa" w:w="1152"/>
          </w:tcPr>
          <w:p>
            <w:pPr>
              <w:spacing w:before="30" w:after="30"/>
              <w:jc w:val="right"/>
            </w:pPr>
            <w:r>
              <w:rPr>
                <w:rFonts w:ascii="Times New Roman" w:hAnsi="Times New Roman"/>
                <w:sz w:val="19"/>
              </w:rPr>
              <w:t>43</w:t>
            </w:r>
          </w:p>
        </w:tc>
      </w:tr>
      <w:tr>
        <w:tc>
          <w:tcPr>
            <w:tcW w:type="dxa" w:w="1872"/>
          </w:tcPr>
          <w:p>
            <w:pPr>
              <w:spacing w:before="30" w:after="30"/>
            </w:pPr>
            <w:r>
              <w:rPr>
                <w:rFonts w:ascii="Times New Roman" w:hAnsi="Times New Roman"/>
                <w:sz w:val="19"/>
              </w:rPr>
              <w:t>Table 7.2</w:t>
            </w:r>
          </w:p>
        </w:tc>
        <w:tc>
          <w:tcPr>
            <w:tcW w:type="dxa" w:w="6192"/>
          </w:tcPr>
          <w:p>
            <w:pPr>
              <w:spacing w:before="30" w:after="30"/>
            </w:pPr>
            <w:r>
              <w:rPr>
                <w:rFonts w:ascii="Times New Roman" w:hAnsi="Times New Roman"/>
                <w:sz w:val="19"/>
              </w:rPr>
              <w:t>Confusion Matrix Metrics across Test &amp; Deployment Splits</w:t>
            </w:r>
          </w:p>
        </w:tc>
        <w:tc>
          <w:tcPr>
            <w:tcW w:type="dxa" w:w="1152"/>
          </w:tcPr>
          <w:p>
            <w:pPr>
              <w:spacing w:before="30" w:after="30"/>
              <w:jc w:val="right"/>
            </w:pPr>
            <w:r>
              <w:rPr>
                <w:rFonts w:ascii="Times New Roman" w:hAnsi="Times New Roman"/>
                <w:sz w:val="19"/>
              </w:rPr>
              <w:t>44</w:t>
            </w:r>
          </w:p>
        </w:tc>
      </w:tr>
      <w:tr>
        <w:tc>
          <w:tcPr>
            <w:tcW w:type="dxa" w:w="1872"/>
          </w:tcPr>
          <w:p>
            <w:pPr>
              <w:spacing w:before="30" w:after="30"/>
            </w:pPr>
            <w:r>
              <w:rPr>
                <w:rFonts w:ascii="Times New Roman" w:hAnsi="Times New Roman"/>
                <w:sz w:val="19"/>
              </w:rPr>
              <w:t>Table 7.3</w:t>
            </w:r>
          </w:p>
        </w:tc>
        <w:tc>
          <w:tcPr>
            <w:tcW w:type="dxa" w:w="6192"/>
          </w:tcPr>
          <w:p>
            <w:pPr>
              <w:spacing w:before="30" w:after="30"/>
            </w:pPr>
            <w:r>
              <w:rPr>
                <w:rFonts w:ascii="Times New Roman" w:hAnsi="Times New Roman"/>
                <w:sz w:val="19"/>
              </w:rPr>
              <w:t>Sub-5 Millisecond Pre-Authorization Latency Breakdown</w:t>
            </w:r>
          </w:p>
        </w:tc>
        <w:tc>
          <w:tcPr>
            <w:tcW w:type="dxa" w:w="1152"/>
          </w:tcPr>
          <w:p>
            <w:pPr>
              <w:spacing w:before="30" w:after="30"/>
              <w:jc w:val="right"/>
            </w:pPr>
            <w:r>
              <w:rPr>
                <w:rFonts w:ascii="Times New Roman" w:hAnsi="Times New Roman"/>
                <w:sz w:val="19"/>
              </w:rPr>
              <w:t>45</w:t>
            </w:r>
          </w:p>
        </w:tc>
      </w:tr>
      <w:tr>
        <w:tc>
          <w:tcPr>
            <w:tcW w:type="dxa" w:w="1872"/>
          </w:tcPr>
          <w:p>
            <w:pPr>
              <w:spacing w:before="30" w:after="30"/>
            </w:pPr>
            <w:r>
              <w:rPr>
                <w:rFonts w:ascii="Times New Roman" w:hAnsi="Times New Roman"/>
                <w:sz w:val="19"/>
              </w:rPr>
              <w:t>Table 8.1</w:t>
            </w:r>
          </w:p>
        </w:tc>
        <w:tc>
          <w:tcPr>
            <w:tcW w:type="dxa" w:w="6192"/>
          </w:tcPr>
          <w:p>
            <w:pPr>
              <w:spacing w:before="30" w:after="30"/>
            </w:pPr>
            <w:r>
              <w:rPr>
                <w:rFonts w:ascii="Times New Roman" w:hAnsi="Times New Roman"/>
                <w:sz w:val="19"/>
              </w:rPr>
              <w:t>Formal Software Verification &amp; Validation Test Report (30 Cases)</w:t>
            </w:r>
          </w:p>
        </w:tc>
        <w:tc>
          <w:tcPr>
            <w:tcW w:type="dxa" w:w="1152"/>
          </w:tcPr>
          <w:p>
            <w:pPr>
              <w:spacing w:before="30" w:after="30"/>
              <w:jc w:val="right"/>
            </w:pPr>
            <w:r>
              <w:rPr>
                <w:rFonts w:ascii="Times New Roman" w:hAnsi="Times New Roman"/>
                <w:sz w:val="19"/>
              </w:rPr>
              <w:t>50</w:t>
            </w:r>
          </w:p>
        </w:tc>
      </w:tr>
    </w:tbl>
    <w:p>
      <w:r>
        <w:br w:type="page"/>
      </w:r>
    </w:p>
    <w:p>
      <w:pPr>
        <w:spacing w:before="320" w:after="280" w:line="307" w:lineRule="auto"/>
        <w:jc w:val="center"/>
      </w:pPr>
      <w:r>
        <w:rPr>
          <w:rFonts w:ascii="Times New Roman" w:hAnsi="Times New Roman"/>
          <w:b/>
          <w:sz w:val="32"/>
        </w:rPr>
        <w:t>LIST OF FIGURES</w:t>
      </w:r>
    </w:p>
    <w:tbl>
      <w:tblPr>
        <w:tblW w:type="auto" w:w="0"/>
        <w:jc w:val="center"/>
        <w:tblLook w:firstColumn="1" w:firstRow="1" w:lastColumn="0" w:lastRow="0" w:noHBand="0" w:noVBand="1" w:val="04A0"/>
      </w:tblPr>
      <w:tblGrid>
        <w:gridCol w:w="3010"/>
        <w:gridCol w:w="3010"/>
        <w:gridCol w:w="3010"/>
      </w:tblGrid>
      <w:tr>
        <w:tc>
          <w:tcPr>
            <w:tcW w:type="dxa" w:w="1872"/>
          </w:tcPr>
          <w:p>
            <w:r>
              <w:rPr>
                <w:rFonts w:ascii="Times New Roman" w:hAnsi="Times New Roman"/>
                <w:b/>
                <w:sz w:val="21"/>
              </w:rPr>
              <w:t>FIGURE NO.</w:t>
            </w:r>
          </w:p>
        </w:tc>
        <w:tc>
          <w:tcPr>
            <w:tcW w:type="dxa" w:w="6192"/>
          </w:tcPr>
          <w:p>
            <w:r>
              <w:rPr>
                <w:rFonts w:ascii="Times New Roman" w:hAnsi="Times New Roman"/>
                <w:b/>
                <w:sz w:val="21"/>
              </w:rPr>
              <w:t>TITLE</w:t>
            </w:r>
          </w:p>
        </w:tc>
        <w:tc>
          <w:tcPr>
            <w:tcW w:type="dxa" w:w="1152"/>
          </w:tcPr>
          <w:p>
            <w:r>
              <w:rPr>
                <w:rFonts w:ascii="Times New Roman" w:hAnsi="Times New Roman"/>
                <w:b/>
                <w:sz w:val="21"/>
              </w:rPr>
              <w:t>PAGE NO</w:t>
            </w:r>
          </w:p>
        </w:tc>
      </w:tr>
      <w:tr>
        <w:tc>
          <w:tcPr>
            <w:tcW w:type="dxa" w:w="1872"/>
          </w:tcPr>
          <w:p>
            <w:pPr>
              <w:spacing w:before="30" w:after="30"/>
            </w:pPr>
            <w:r>
              <w:rPr>
                <w:rFonts w:ascii="Times New Roman" w:hAnsi="Times New Roman"/>
                <w:sz w:val="19"/>
              </w:rPr>
              <w:t>Figure 5.1</w:t>
            </w:r>
          </w:p>
        </w:tc>
        <w:tc>
          <w:tcPr>
            <w:tcW w:type="dxa" w:w="6192"/>
          </w:tcPr>
          <w:p>
            <w:pPr>
              <w:spacing w:before="30" w:after="30"/>
            </w:pPr>
            <w:r>
              <w:rPr>
                <w:rFonts w:ascii="Times New Roman" w:hAnsi="Times New Roman"/>
                <w:sz w:val="19"/>
              </w:rPr>
              <w:t>FraudLens AI Multi-Tier System Architecture</w:t>
            </w:r>
          </w:p>
        </w:tc>
        <w:tc>
          <w:tcPr>
            <w:tcW w:type="dxa" w:w="1152"/>
          </w:tcPr>
          <w:p>
            <w:pPr>
              <w:spacing w:before="30" w:after="30"/>
              <w:jc w:val="right"/>
            </w:pPr>
            <w:r>
              <w:rPr>
                <w:rFonts w:ascii="Times New Roman" w:hAnsi="Times New Roman"/>
                <w:sz w:val="19"/>
              </w:rPr>
              <w:t>18</w:t>
            </w:r>
          </w:p>
        </w:tc>
      </w:tr>
      <w:tr>
        <w:tc>
          <w:tcPr>
            <w:tcW w:type="dxa" w:w="1872"/>
          </w:tcPr>
          <w:p>
            <w:pPr>
              <w:spacing w:before="30" w:after="30"/>
            </w:pPr>
            <w:r>
              <w:rPr>
                <w:rFonts w:ascii="Times New Roman" w:hAnsi="Times New Roman"/>
                <w:sz w:val="19"/>
              </w:rPr>
              <w:t>Figure 5.2</w:t>
            </w:r>
          </w:p>
        </w:tc>
        <w:tc>
          <w:tcPr>
            <w:tcW w:type="dxa" w:w="6192"/>
          </w:tcPr>
          <w:p>
            <w:pPr>
              <w:spacing w:before="30" w:after="30"/>
            </w:pPr>
            <w:r>
              <w:rPr>
                <w:rFonts w:ascii="Times New Roman" w:hAnsi="Times New Roman"/>
                <w:sz w:val="19"/>
              </w:rPr>
              <w:t>Core Domain UML Class Diagram</w:t>
            </w:r>
          </w:p>
        </w:tc>
        <w:tc>
          <w:tcPr>
            <w:tcW w:type="dxa" w:w="1152"/>
          </w:tcPr>
          <w:p>
            <w:pPr>
              <w:spacing w:before="30" w:after="30"/>
              <w:jc w:val="right"/>
            </w:pPr>
            <w:r>
              <w:rPr>
                <w:rFonts w:ascii="Times New Roman" w:hAnsi="Times New Roman"/>
                <w:sz w:val="19"/>
              </w:rPr>
              <w:t>19</w:t>
            </w:r>
          </w:p>
        </w:tc>
      </w:tr>
      <w:tr>
        <w:tc>
          <w:tcPr>
            <w:tcW w:type="dxa" w:w="1872"/>
          </w:tcPr>
          <w:p>
            <w:pPr>
              <w:spacing w:before="30" w:after="30"/>
            </w:pPr>
            <w:r>
              <w:rPr>
                <w:rFonts w:ascii="Times New Roman" w:hAnsi="Times New Roman"/>
                <w:sz w:val="19"/>
              </w:rPr>
              <w:t>Figure 5.3</w:t>
            </w:r>
          </w:p>
        </w:tc>
        <w:tc>
          <w:tcPr>
            <w:tcW w:type="dxa" w:w="6192"/>
          </w:tcPr>
          <w:p>
            <w:pPr>
              <w:spacing w:before="30" w:after="30"/>
            </w:pPr>
            <w:r>
              <w:rPr>
                <w:rFonts w:ascii="Times New Roman" w:hAnsi="Times New Roman"/>
                <w:sz w:val="19"/>
              </w:rPr>
              <w:t>UML Use Case Diagram for User Roles</w:t>
            </w:r>
          </w:p>
        </w:tc>
        <w:tc>
          <w:tcPr>
            <w:tcW w:type="dxa" w:w="1152"/>
          </w:tcPr>
          <w:p>
            <w:pPr>
              <w:spacing w:before="30" w:after="30"/>
              <w:jc w:val="right"/>
            </w:pPr>
            <w:r>
              <w:rPr>
                <w:rFonts w:ascii="Times New Roman" w:hAnsi="Times New Roman"/>
                <w:sz w:val="19"/>
              </w:rPr>
              <w:t>20</w:t>
            </w:r>
          </w:p>
        </w:tc>
      </w:tr>
      <w:tr>
        <w:tc>
          <w:tcPr>
            <w:tcW w:type="dxa" w:w="1872"/>
          </w:tcPr>
          <w:p>
            <w:pPr>
              <w:spacing w:before="30" w:after="30"/>
            </w:pPr>
            <w:r>
              <w:rPr>
                <w:rFonts w:ascii="Times New Roman" w:hAnsi="Times New Roman"/>
                <w:sz w:val="19"/>
              </w:rPr>
              <w:t>Figure 5.4</w:t>
            </w:r>
          </w:p>
        </w:tc>
        <w:tc>
          <w:tcPr>
            <w:tcW w:type="dxa" w:w="6192"/>
          </w:tcPr>
          <w:p>
            <w:pPr>
              <w:spacing w:before="30" w:after="30"/>
            </w:pPr>
            <w:r>
              <w:rPr>
                <w:rFonts w:ascii="Times New Roman" w:hAnsi="Times New Roman"/>
                <w:sz w:val="19"/>
              </w:rPr>
              <w:t>Pre-Authorization &amp; Autonomous Decision System Flow</w:t>
            </w:r>
          </w:p>
        </w:tc>
        <w:tc>
          <w:tcPr>
            <w:tcW w:type="dxa" w:w="1152"/>
          </w:tcPr>
          <w:p>
            <w:pPr>
              <w:spacing w:before="30" w:after="30"/>
              <w:jc w:val="right"/>
            </w:pPr>
            <w:r>
              <w:rPr>
                <w:rFonts w:ascii="Times New Roman" w:hAnsi="Times New Roman"/>
                <w:sz w:val="19"/>
              </w:rPr>
              <w:t>21</w:t>
            </w:r>
          </w:p>
        </w:tc>
      </w:tr>
      <w:tr>
        <w:tc>
          <w:tcPr>
            <w:tcW w:type="dxa" w:w="1872"/>
          </w:tcPr>
          <w:p>
            <w:pPr>
              <w:spacing w:before="30" w:after="30"/>
            </w:pPr>
            <w:r>
              <w:rPr>
                <w:rFonts w:ascii="Times New Roman" w:hAnsi="Times New Roman"/>
                <w:sz w:val="19"/>
              </w:rPr>
              <w:t>Figure 5.5</w:t>
            </w:r>
          </w:p>
        </w:tc>
        <w:tc>
          <w:tcPr>
            <w:tcW w:type="dxa" w:w="6192"/>
          </w:tcPr>
          <w:p>
            <w:pPr>
              <w:spacing w:before="30" w:after="30"/>
            </w:pPr>
            <w:r>
              <w:rPr>
                <w:rFonts w:ascii="Times New Roman" w:hAnsi="Times New Roman"/>
                <w:sz w:val="19"/>
              </w:rPr>
              <w:t>Pre-Authorization Step-Up Verification Sequence Diagram</w:t>
            </w:r>
          </w:p>
        </w:tc>
        <w:tc>
          <w:tcPr>
            <w:tcW w:type="dxa" w:w="1152"/>
          </w:tcPr>
          <w:p>
            <w:pPr>
              <w:spacing w:before="30" w:after="30"/>
              <w:jc w:val="right"/>
            </w:pPr>
            <w:r>
              <w:rPr>
                <w:rFonts w:ascii="Times New Roman" w:hAnsi="Times New Roman"/>
                <w:sz w:val="19"/>
              </w:rPr>
              <w:t>22</w:t>
            </w:r>
          </w:p>
        </w:tc>
      </w:tr>
      <w:tr>
        <w:tc>
          <w:tcPr>
            <w:tcW w:type="dxa" w:w="1872"/>
          </w:tcPr>
          <w:p>
            <w:pPr>
              <w:spacing w:before="30" w:after="30"/>
            </w:pPr>
            <w:r>
              <w:rPr>
                <w:rFonts w:ascii="Times New Roman" w:hAnsi="Times New Roman"/>
                <w:sz w:val="19"/>
              </w:rPr>
              <w:t>Figure 5.6</w:t>
            </w:r>
          </w:p>
        </w:tc>
        <w:tc>
          <w:tcPr>
            <w:tcW w:type="dxa" w:w="6192"/>
          </w:tcPr>
          <w:p>
            <w:pPr>
              <w:spacing w:before="30" w:after="30"/>
            </w:pPr>
            <w:r>
              <w:rPr>
                <w:rFonts w:ascii="Times New Roman" w:hAnsi="Times New Roman"/>
                <w:sz w:val="19"/>
              </w:rPr>
              <w:t>FraudLens AI Relational Entity-Relationship (ER) Diagram</w:t>
            </w:r>
          </w:p>
        </w:tc>
        <w:tc>
          <w:tcPr>
            <w:tcW w:type="dxa" w:w="1152"/>
          </w:tcPr>
          <w:p>
            <w:pPr>
              <w:spacing w:before="30" w:after="30"/>
              <w:jc w:val="right"/>
            </w:pPr>
            <w:r>
              <w:rPr>
                <w:rFonts w:ascii="Times New Roman" w:hAnsi="Times New Roman"/>
                <w:sz w:val="19"/>
              </w:rPr>
              <w:t>22</w:t>
            </w:r>
          </w:p>
        </w:tc>
      </w:tr>
      <w:tr>
        <w:tc>
          <w:tcPr>
            <w:tcW w:type="dxa" w:w="1872"/>
          </w:tcPr>
          <w:p>
            <w:pPr>
              <w:spacing w:before="30" w:after="30"/>
            </w:pPr>
            <w:r>
              <w:rPr>
                <w:rFonts w:ascii="Times New Roman" w:hAnsi="Times New Roman"/>
                <w:sz w:val="19"/>
              </w:rPr>
              <w:t>Figure 5.7</w:t>
            </w:r>
          </w:p>
        </w:tc>
        <w:tc>
          <w:tcPr>
            <w:tcW w:type="dxa" w:w="6192"/>
          </w:tcPr>
          <w:p>
            <w:pPr>
              <w:spacing w:before="30" w:after="30"/>
            </w:pPr>
            <w:r>
              <w:rPr>
                <w:rFonts w:ascii="Times New Roman" w:hAnsi="Times New Roman"/>
                <w:sz w:val="19"/>
              </w:rPr>
              <w:t>Data Flow Diagram (DFD) Level 0 — Context Diagram</w:t>
            </w:r>
          </w:p>
        </w:tc>
        <w:tc>
          <w:tcPr>
            <w:tcW w:type="dxa" w:w="1152"/>
          </w:tcPr>
          <w:p>
            <w:pPr>
              <w:spacing w:before="30" w:after="30"/>
              <w:jc w:val="right"/>
            </w:pPr>
            <w:r>
              <w:rPr>
                <w:rFonts w:ascii="Times New Roman" w:hAnsi="Times New Roman"/>
                <w:sz w:val="19"/>
              </w:rPr>
              <w:t>23</w:t>
            </w:r>
          </w:p>
        </w:tc>
      </w:tr>
      <w:tr>
        <w:tc>
          <w:tcPr>
            <w:tcW w:type="dxa" w:w="1872"/>
          </w:tcPr>
          <w:p>
            <w:pPr>
              <w:spacing w:before="30" w:after="30"/>
            </w:pPr>
            <w:r>
              <w:rPr>
                <w:rFonts w:ascii="Times New Roman" w:hAnsi="Times New Roman"/>
                <w:sz w:val="19"/>
              </w:rPr>
              <w:t>Figure 5.8</w:t>
            </w:r>
          </w:p>
        </w:tc>
        <w:tc>
          <w:tcPr>
            <w:tcW w:type="dxa" w:w="6192"/>
          </w:tcPr>
          <w:p>
            <w:pPr>
              <w:spacing w:before="30" w:after="30"/>
            </w:pPr>
            <w:r>
              <w:rPr>
                <w:rFonts w:ascii="Times New Roman" w:hAnsi="Times New Roman"/>
                <w:sz w:val="19"/>
              </w:rPr>
              <w:t>Data Flow Diagram (DFD) Level 1 — Process Decomposition</w:t>
            </w:r>
          </w:p>
        </w:tc>
        <w:tc>
          <w:tcPr>
            <w:tcW w:type="dxa" w:w="1152"/>
          </w:tcPr>
          <w:p>
            <w:pPr>
              <w:spacing w:before="30" w:after="30"/>
              <w:jc w:val="right"/>
            </w:pPr>
            <w:r>
              <w:rPr>
                <w:rFonts w:ascii="Times New Roman" w:hAnsi="Times New Roman"/>
                <w:sz w:val="19"/>
              </w:rPr>
              <w:t>23</w:t>
            </w:r>
          </w:p>
        </w:tc>
      </w:tr>
      <w:tr>
        <w:tc>
          <w:tcPr>
            <w:tcW w:type="dxa" w:w="1872"/>
          </w:tcPr>
          <w:p>
            <w:pPr>
              <w:spacing w:before="30" w:after="30"/>
            </w:pPr>
            <w:r>
              <w:rPr>
                <w:rFonts w:ascii="Times New Roman" w:hAnsi="Times New Roman"/>
                <w:sz w:val="19"/>
              </w:rPr>
              <w:t>Figure 6.1</w:t>
            </w:r>
          </w:p>
        </w:tc>
        <w:tc>
          <w:tcPr>
            <w:tcW w:type="dxa" w:w="6192"/>
          </w:tcPr>
          <w:p>
            <w:pPr>
              <w:spacing w:before="30" w:after="30"/>
            </w:pPr>
            <w:r>
              <w:rPr>
                <w:rFonts w:ascii="Times New Roman" w:hAnsi="Times New Roman"/>
                <w:sz w:val="19"/>
              </w:rPr>
              <w:t>End-to-End Machine Learning &amp; Feature Pipeline Workflow</w:t>
            </w:r>
          </w:p>
        </w:tc>
        <w:tc>
          <w:tcPr>
            <w:tcW w:type="dxa" w:w="1152"/>
          </w:tcPr>
          <w:p>
            <w:pPr>
              <w:spacing w:before="30" w:after="30"/>
              <w:jc w:val="right"/>
            </w:pPr>
            <w:r>
              <w:rPr>
                <w:rFonts w:ascii="Times New Roman" w:hAnsi="Times New Roman"/>
                <w:sz w:val="19"/>
              </w:rPr>
              <w:t>32</w:t>
            </w:r>
          </w:p>
        </w:tc>
      </w:tr>
      <w:tr>
        <w:tc>
          <w:tcPr>
            <w:tcW w:type="dxa" w:w="1872"/>
          </w:tcPr>
          <w:p>
            <w:pPr>
              <w:spacing w:before="30" w:after="30"/>
            </w:pPr>
            <w:r>
              <w:rPr>
                <w:rFonts w:ascii="Times New Roman" w:hAnsi="Times New Roman"/>
                <w:sz w:val="19"/>
              </w:rPr>
              <w:t>Figure 6.2</w:t>
            </w:r>
          </w:p>
        </w:tc>
        <w:tc>
          <w:tcPr>
            <w:tcW w:type="dxa" w:w="6192"/>
          </w:tcPr>
          <w:p>
            <w:pPr>
              <w:spacing w:before="30" w:after="30"/>
            </w:pPr>
            <w:r>
              <w:rPr>
                <w:rFonts w:ascii="Times New Roman" w:hAnsi="Times New Roman"/>
                <w:sz w:val="19"/>
              </w:rPr>
              <w:t>Multi-Factor Additive Risk Scoring Architecture &amp; Tiers</w:t>
            </w:r>
          </w:p>
        </w:tc>
        <w:tc>
          <w:tcPr>
            <w:tcW w:type="dxa" w:w="1152"/>
          </w:tcPr>
          <w:p>
            <w:pPr>
              <w:spacing w:before="30" w:after="30"/>
              <w:jc w:val="right"/>
            </w:pPr>
            <w:r>
              <w:rPr>
                <w:rFonts w:ascii="Times New Roman" w:hAnsi="Times New Roman"/>
                <w:sz w:val="19"/>
              </w:rPr>
              <w:t>33</w:t>
            </w:r>
          </w:p>
        </w:tc>
      </w:tr>
      <w:tr>
        <w:tc>
          <w:tcPr>
            <w:tcW w:type="dxa" w:w="1872"/>
          </w:tcPr>
          <w:p>
            <w:pPr>
              <w:spacing w:before="30" w:after="30"/>
            </w:pPr>
            <w:r>
              <w:rPr>
                <w:rFonts w:ascii="Times New Roman" w:hAnsi="Times New Roman"/>
                <w:sz w:val="19"/>
              </w:rPr>
              <w:t>Figure 6.3</w:t>
            </w:r>
          </w:p>
        </w:tc>
        <w:tc>
          <w:tcPr>
            <w:tcW w:type="dxa" w:w="6192"/>
          </w:tcPr>
          <w:p>
            <w:pPr>
              <w:spacing w:before="30" w:after="30"/>
            </w:pPr>
            <w:r>
              <w:rPr>
                <w:rFonts w:ascii="Times New Roman" w:hAnsi="Times New Roman"/>
                <w:sz w:val="19"/>
              </w:rPr>
              <w:t>Local TreeSHAP Feature Attribution Waterfall for Flagged Transaction</w:t>
            </w:r>
          </w:p>
        </w:tc>
        <w:tc>
          <w:tcPr>
            <w:tcW w:type="dxa" w:w="1152"/>
          </w:tcPr>
          <w:p>
            <w:pPr>
              <w:spacing w:before="30" w:after="30"/>
              <w:jc w:val="right"/>
            </w:pPr>
            <w:r>
              <w:rPr>
                <w:rFonts w:ascii="Times New Roman" w:hAnsi="Times New Roman"/>
                <w:sz w:val="19"/>
              </w:rPr>
              <w:t>34</w:t>
            </w:r>
          </w:p>
        </w:tc>
      </w:tr>
      <w:tr>
        <w:tc>
          <w:tcPr>
            <w:tcW w:type="dxa" w:w="1872"/>
          </w:tcPr>
          <w:p>
            <w:pPr>
              <w:spacing w:before="30" w:after="30"/>
            </w:pPr>
            <w:r>
              <w:rPr>
                <w:rFonts w:ascii="Times New Roman" w:hAnsi="Times New Roman"/>
                <w:sz w:val="19"/>
              </w:rPr>
              <w:t>Figure 6.4</w:t>
            </w:r>
          </w:p>
        </w:tc>
        <w:tc>
          <w:tcPr>
            <w:tcW w:type="dxa" w:w="6192"/>
          </w:tcPr>
          <w:p>
            <w:pPr>
              <w:spacing w:before="30" w:after="30"/>
            </w:pPr>
            <w:r>
              <w:rPr>
                <w:rFonts w:ascii="Times New Roman" w:hAnsi="Times New Roman"/>
                <w:sz w:val="19"/>
              </w:rPr>
              <w:t>Pre-Authorization Mobile SMS OTP Verification Lifecycle</w:t>
            </w:r>
          </w:p>
        </w:tc>
        <w:tc>
          <w:tcPr>
            <w:tcW w:type="dxa" w:w="1152"/>
          </w:tcPr>
          <w:p>
            <w:pPr>
              <w:spacing w:before="30" w:after="30"/>
              <w:jc w:val="right"/>
            </w:pPr>
            <w:r>
              <w:rPr>
                <w:rFonts w:ascii="Times New Roman" w:hAnsi="Times New Roman"/>
                <w:sz w:val="19"/>
              </w:rPr>
              <w:t>42</w:t>
            </w:r>
          </w:p>
        </w:tc>
      </w:tr>
      <w:tr>
        <w:tc>
          <w:tcPr>
            <w:tcW w:type="dxa" w:w="1872"/>
          </w:tcPr>
          <w:p>
            <w:pPr>
              <w:spacing w:before="30" w:after="30"/>
            </w:pPr>
            <w:r>
              <w:rPr>
                <w:rFonts w:ascii="Times New Roman" w:hAnsi="Times New Roman"/>
                <w:sz w:val="19"/>
              </w:rPr>
              <w:t>Figure 7.1</w:t>
            </w:r>
          </w:p>
        </w:tc>
        <w:tc>
          <w:tcPr>
            <w:tcW w:type="dxa" w:w="6192"/>
          </w:tcPr>
          <w:p>
            <w:pPr>
              <w:spacing w:before="30" w:after="30"/>
            </w:pPr>
            <w:r>
              <w:rPr>
                <w:rFonts w:ascii="Times New Roman" w:hAnsi="Times New Roman"/>
                <w:sz w:val="19"/>
              </w:rPr>
              <w:t>ROC and Precision-Recall Curves on Test Split</w:t>
            </w:r>
          </w:p>
        </w:tc>
        <w:tc>
          <w:tcPr>
            <w:tcW w:type="dxa" w:w="1152"/>
          </w:tcPr>
          <w:p>
            <w:pPr>
              <w:spacing w:before="30" w:after="30"/>
              <w:jc w:val="right"/>
            </w:pPr>
            <w:r>
              <w:rPr>
                <w:rFonts w:ascii="Times New Roman" w:hAnsi="Times New Roman"/>
                <w:sz w:val="19"/>
              </w:rPr>
              <w:t>43</w:t>
            </w:r>
          </w:p>
        </w:tc>
      </w:tr>
      <w:tr>
        <w:tc>
          <w:tcPr>
            <w:tcW w:type="dxa" w:w="1872"/>
          </w:tcPr>
          <w:p>
            <w:pPr>
              <w:spacing w:before="30" w:after="30"/>
            </w:pPr>
            <w:r>
              <w:rPr>
                <w:rFonts w:ascii="Times New Roman" w:hAnsi="Times New Roman"/>
                <w:sz w:val="19"/>
              </w:rPr>
              <w:t>Figure 7.2</w:t>
            </w:r>
          </w:p>
        </w:tc>
        <w:tc>
          <w:tcPr>
            <w:tcW w:type="dxa" w:w="6192"/>
          </w:tcPr>
          <w:p>
            <w:pPr>
              <w:spacing w:before="30" w:after="30"/>
            </w:pPr>
            <w:r>
              <w:rPr>
                <w:rFonts w:ascii="Times New Roman" w:hAnsi="Times New Roman"/>
                <w:sz w:val="19"/>
              </w:rPr>
              <w:t>Confusion Matrix Heatmaps across Test &amp; Active Validation Splits</w:t>
            </w:r>
          </w:p>
        </w:tc>
        <w:tc>
          <w:tcPr>
            <w:tcW w:type="dxa" w:w="1152"/>
          </w:tcPr>
          <w:p>
            <w:pPr>
              <w:spacing w:before="30" w:after="30"/>
              <w:jc w:val="right"/>
            </w:pPr>
            <w:r>
              <w:rPr>
                <w:rFonts w:ascii="Times New Roman" w:hAnsi="Times New Roman"/>
                <w:sz w:val="19"/>
              </w:rPr>
              <w:t>44</w:t>
            </w:r>
          </w:p>
        </w:tc>
      </w:tr>
      <w:tr>
        <w:tc>
          <w:tcPr>
            <w:tcW w:type="dxa" w:w="1872"/>
          </w:tcPr>
          <w:p>
            <w:pPr>
              <w:spacing w:before="30" w:after="30"/>
            </w:pPr>
            <w:r>
              <w:rPr>
                <w:rFonts w:ascii="Times New Roman" w:hAnsi="Times New Roman"/>
                <w:sz w:val="19"/>
              </w:rPr>
              <w:t>Figure 7.3</w:t>
            </w:r>
          </w:p>
        </w:tc>
        <w:tc>
          <w:tcPr>
            <w:tcW w:type="dxa" w:w="6192"/>
          </w:tcPr>
          <w:p>
            <w:pPr>
              <w:spacing w:before="30" w:after="30"/>
            </w:pPr>
            <w:r>
              <w:rPr>
                <w:rFonts w:ascii="Times New Roman" w:hAnsi="Times New Roman"/>
                <w:sz w:val="19"/>
              </w:rPr>
              <w:t>Global Top-15 Feature Importance Ranking via TreeSHAP</w:t>
            </w:r>
          </w:p>
        </w:tc>
        <w:tc>
          <w:tcPr>
            <w:tcW w:type="dxa" w:w="1152"/>
          </w:tcPr>
          <w:p>
            <w:pPr>
              <w:spacing w:before="30" w:after="30"/>
              <w:jc w:val="right"/>
            </w:pPr>
            <w:r>
              <w:rPr>
                <w:rFonts w:ascii="Times New Roman" w:hAnsi="Times New Roman"/>
                <w:sz w:val="19"/>
              </w:rPr>
              <w:t>44</w:t>
            </w:r>
          </w:p>
        </w:tc>
      </w:tr>
      <w:tr>
        <w:tc>
          <w:tcPr>
            <w:tcW w:type="dxa" w:w="1872"/>
          </w:tcPr>
          <w:p>
            <w:pPr>
              <w:spacing w:before="30" w:after="30"/>
            </w:pPr>
            <w:r>
              <w:rPr>
                <w:rFonts w:ascii="Times New Roman" w:hAnsi="Times New Roman"/>
                <w:sz w:val="19"/>
              </w:rPr>
              <w:t>Figure 7.4</w:t>
            </w:r>
          </w:p>
        </w:tc>
        <w:tc>
          <w:tcPr>
            <w:tcW w:type="dxa" w:w="6192"/>
          </w:tcPr>
          <w:p>
            <w:pPr>
              <w:spacing w:before="30" w:after="30"/>
            </w:pPr>
            <w:r>
              <w:rPr>
                <w:rFonts w:ascii="Times New Roman" w:hAnsi="Times New Roman"/>
                <w:sz w:val="19"/>
              </w:rPr>
              <w:t>Sub-5 Millisecond Pre-Authorization Latency Breakdown Profile</w:t>
            </w:r>
          </w:p>
        </w:tc>
        <w:tc>
          <w:tcPr>
            <w:tcW w:type="dxa" w:w="1152"/>
          </w:tcPr>
          <w:p>
            <w:pPr>
              <w:spacing w:before="30" w:after="30"/>
              <w:jc w:val="right"/>
            </w:pPr>
            <w:r>
              <w:rPr>
                <w:rFonts w:ascii="Times New Roman" w:hAnsi="Times New Roman"/>
                <w:sz w:val="19"/>
              </w:rPr>
              <w:t>45</w:t>
            </w:r>
          </w:p>
        </w:tc>
      </w:tr>
      <w:tr>
        <w:tc>
          <w:tcPr>
            <w:tcW w:type="dxa" w:w="1872"/>
          </w:tcPr>
          <w:p>
            <w:pPr>
              <w:spacing w:before="30" w:after="30"/>
            </w:pPr>
            <w:r>
              <w:rPr>
                <w:rFonts w:ascii="Times New Roman" w:hAnsi="Times New Roman"/>
                <w:sz w:val="19"/>
              </w:rPr>
              <w:t>Figure A.1</w:t>
            </w:r>
          </w:p>
        </w:tc>
        <w:tc>
          <w:tcPr>
            <w:tcW w:type="dxa" w:w="6192"/>
          </w:tcPr>
          <w:p>
            <w:pPr>
              <w:spacing w:before="30" w:after="30"/>
            </w:pPr>
            <w:r>
              <w:rPr>
                <w:rFonts w:ascii="Times New Roman" w:hAnsi="Times New Roman"/>
                <w:sz w:val="19"/>
              </w:rPr>
              <w:t>FraudLens AI Application Interface Ecosystem (4 Panels)</w:t>
            </w:r>
          </w:p>
        </w:tc>
        <w:tc>
          <w:tcPr>
            <w:tcW w:type="dxa" w:w="1152"/>
          </w:tcPr>
          <w:p>
            <w:pPr>
              <w:spacing w:before="30" w:after="30"/>
              <w:jc w:val="right"/>
            </w:pPr>
            <w:r>
              <w:rPr>
                <w:rFonts w:ascii="Times New Roman" w:hAnsi="Times New Roman"/>
                <w:sz w:val="19"/>
              </w:rPr>
              <w:t>57</w:t>
            </w:r>
          </w:p>
        </w:tc>
      </w:tr>
    </w:tbl>
    <w:p>
      <w:pPr>
        <w:sectPr>
          <w:footerReference w:type="default" r:id="rId9"/>
          <w:pgSz w:w="11909" w:h="16834"/>
          <w:pgMar w:top="1440" w:right="1440" w:bottom="1440" w:left="1440" w:header="720" w:footer="720" w:gutter="0"/>
          <w:cols w:space="720"/>
          <w:docGrid w:linePitch="360"/>
          <w:pgNumType w:fmt="lowerRoman" w:start="1"/>
        </w:sectPr>
      </w:pPr>
    </w:p>
    <w:p>
      <w:pPr>
        <w:keepNext/>
        <w:spacing w:before="400" w:after="280" w:line="307" w:lineRule="auto"/>
        <w:jc w:val="center"/>
      </w:pPr>
      <w:r>
        <w:rPr>
          <w:rFonts w:ascii="Times New Roman" w:hAnsi="Times New Roman"/>
          <w:b/>
          <w:sz w:val="32"/>
        </w:rPr>
        <w:t>CHAPTER 1</w:t>
        <w:br/>
        <w:t>INTRODUCTION</w:t>
      </w:r>
    </w:p>
    <w:p>
      <w:pPr>
        <w:keepNext/>
        <w:spacing w:before="280" w:after="100" w:line="307" w:lineRule="auto"/>
        <w:jc w:val="left"/>
      </w:pPr>
      <w:r>
        <w:rPr>
          <w:rFonts w:ascii="Times New Roman" w:hAnsi="Times New Roman"/>
          <w:b/>
          <w:sz w:val="27"/>
        </w:rPr>
        <w:t>1.1 OVERVIEW OF THE PROJECT</w:t>
      </w:r>
    </w:p>
    <w:p>
      <w:pPr>
        <w:spacing w:before="0" w:after="50" w:line="307" w:lineRule="auto"/>
        <w:jc w:val="both"/>
      </w:pPr>
      <w:r>
        <w:rPr>
          <w:rFonts w:ascii="Times New Roman" w:hAnsi="Times New Roman"/>
          <w:sz w:val="24"/>
        </w:rPr>
        <w:t>The contemporary financial architecture has experienced an unprecedented paradigm shift, propelled by the ubiquity of high-speed telecommunications, pervasive mobile computing, and the national deployment of immediate clearing settlement payment networks. Systems such as the Unified Payments Interface (UPI) in India, Immediate Payment Service (IMPS), real-time automated clearinghouses (ACH), and digital multi-currency card networks have permanently condensed transaction clearance latencies from multi-day batch settlement cycles to sub-second cryptographic handshakes. While this hyper-connected velocity has fundamentally democratized financial access, catalyzed micro-commerce, and drastically elevated consumer liquidity, it has concurrently expanded the digital threat landscape to an extraordinary degree.</w:t>
      </w:r>
    </w:p>
    <w:p>
      <w:pPr>
        <w:spacing w:before="0" w:after="50" w:line="307" w:lineRule="auto"/>
        <w:jc w:val="both"/>
      </w:pPr>
      <w:r>
        <w:rPr>
          <w:rFonts w:ascii="Times New Roman" w:hAnsi="Times New Roman"/>
          <w:sz w:val="24"/>
        </w:rPr>
        <w:t>Financial fraud syndicates have evolved far beyond opportunistic, isolated debit card theft into industrialized, highly coordinated cybercriminal syndicates. Modern payment fraud leverages distributed account takeover (ATO) botnets, automated credential stuffing attacks, SIM-swapping operations, social engineering reverse-vishing exploits, and automated velocity burst manipulation. Fraudsters exploit the structural blind spots of legacy banking infrastructure: specifically, the narrow 50-millisecond authorization window within which an issuing bank must evaluate transaction legitimacy before committing funds to an acquiring merchant terminal.</w:t>
      </w:r>
    </w:p>
    <w:p>
      <w:pPr>
        <w:spacing w:before="0" w:after="50" w:line="307" w:lineRule="auto"/>
        <w:jc w:val="both"/>
      </w:pPr>
      <w:r>
        <w:rPr>
          <w:rFonts w:ascii="Times New Roman" w:hAnsi="Times New Roman"/>
          <w:sz w:val="24"/>
        </w:rPr>
        <w:t>Historically, financial institutions defended these digital perimeters using static, deterministic rule-based expert engines. These legacy systems operate on heuristic Boolean threshold filters—such as flagging any transaction exceeding a fixed monetary threshold (e.g., amount &gt; ₹50,000) or rejecting transactions originating outside a cardholder's resident nation. However, deterministic rule engines exhibit severe structural failure modes in high-volume environments:</w:t>
        <w:br/>
        <w:t>1. Acute Rule Rigidity and Latency: Static rules cannot adapt dynamically to evolving fraudulent tactics. Fraud syndicates routinely conduct reconnaissance to probe authorization thresholds and systematically route micro-transactions just beneath established rule triggers.</w:t>
        <w:br/>
        <w:t>2. Catastrophic False-Positive Rates: Rule-based systems lack individualized behavioral context. Legitimate cardholder behaviors—such as emergency medical expenses, holiday travel, or irregular late-night commerce—trigger erroneous transaction declines. Studies indicate that up to 80% of transactions flagged by legacy rule engines represent legitimate consumer spending, precipitating severe customer attrition, brand damage, and lost merchant revenue.</w:t>
        <w:br/>
        <w:t>3. Exponential Rule Accumulation: As new fraud typologies emerge, financial institutions continually append heuristic rules, resulting in unwieldy policy rulebooks containing thousands of overlapping, conflicting rules that degrade gateway latency without improving fraud detection precision.</w:t>
      </w:r>
    </w:p>
    <w:p>
      <w:pPr>
        <w:spacing w:before="0" w:after="50" w:line="307" w:lineRule="auto"/>
        <w:jc w:val="both"/>
      </w:pPr>
      <w:r>
        <w:rPr>
          <w:rFonts w:ascii="Times New Roman" w:hAnsi="Times New Roman"/>
          <w:sz w:val="24"/>
        </w:rPr>
        <w:t>To overcome the fragility of heuristic rules, the financial technology sector turned toward supervised and unsupervised machine learning (ML) models, including gradient-boosted decision trees, random forests, and deep neural networks. While these statistical models achieve superior discriminative performance on high-dimensional tabular data, their widespread adoption in commercial banking has introduced a profound regulatory and operational impasse: the "black-box" dilemma. Highly complex non-linear ensemble models output a singular continuous probability metric (e.g., fraud_probability = 0.942) without articulating the underlying feature interactions or causal attributions that drove the prediction.</w:t>
      </w:r>
    </w:p>
    <w:p>
      <w:pPr>
        <w:spacing w:before="0" w:after="50" w:line="307" w:lineRule="auto"/>
        <w:jc w:val="both"/>
      </w:pPr>
      <w:r>
        <w:rPr>
          <w:rFonts w:ascii="Times New Roman" w:hAnsi="Times New Roman"/>
          <w:sz w:val="24"/>
        </w:rPr>
        <w:t>This lack of transparency produces severe operational and legal ramifications:</w:t>
        <w:br/>
        <w:t>• Regulatory Non-Compliance: Global legal frameworks, including the European Union General Data Protection Regulation (GDPR Article 22 Right to Explanation) and the Reserve Bank of India (RBI) Cyber Security Framework for Digital Payment Transactions, legally mandate that automated financial decisions affecting consumer rights, credit limits, or fund freezes must be interpretable and auditable.</w:t>
        <w:br/>
        <w:t>• Investigator Burnout and Triage Delays: In enterprise Security Operations Centers (SOC) and Fraud Investigation Units (FIU), human forensic analysts are tasked with reviewing hundreds of flagged transactions daily. Confronted with an opaque probability score devoid of context, analysts are forced into manual, laborious cross-referencing across disparate ledger systems, taking 30 to 45 minutes to adjudicate a single case.</w:t>
        <w:br/>
        <w:t>• Conflation of Risk and Probability: Conventional fraud architectures routinely make the flawed assumption that statistical fraud probability is identical to operational transactional risk. In reality, a micro-transaction of ₹150 attempted from an unrecognized device may carry high statistical anomaly probability due to novelty, yet represents negligible balance exposure; conversely, a ₹2,00,000 transaction from an established device carries catastrophic financial loss exposure despite displaying a moderate statistical probability.</w:t>
      </w:r>
    </w:p>
    <w:p>
      <w:pPr>
        <w:spacing w:before="0" w:after="50" w:line="307" w:lineRule="auto"/>
        <w:jc w:val="both"/>
      </w:pPr>
      <w:r>
        <w:rPr>
          <w:rFonts w:ascii="Times New Roman" w:hAnsi="Times New Roman"/>
          <w:sz w:val="24"/>
        </w:rPr>
        <w:t>To resolve these fundamental industry dilemmas, this project develops FraudLens AI, an enterprise-grade, explainable artificial intelligence (XAI) financial fraud and risk detection system. FraudLens AI bridges the gap between state-of-the-art predictive performance, deterministic multi-factor risk assessment, mathematical explainability, and autonomous operational investigation. Architected upon an end-to-end modern software stack, FraudLens AI unifies extreme gradient boosting (XGBoost) and soft-voting ensemble learning with TreeSHAP (SHapley Additive exPlanations) game theory, sub-5ms pre-authorization gatekeeping, smartphone SMS OTP step-up verification, and an autonomous GenAI forensic investigation copilot powered by Google Gemini 1.5 Pro and xAI Grok-2.</w:t>
      </w:r>
    </w:p>
    <w:p>
      <w:pPr>
        <w:keepNext/>
        <w:spacing w:before="280" w:after="100" w:line="307" w:lineRule="auto"/>
        <w:jc w:val="left"/>
      </w:pPr>
      <w:r>
        <w:rPr>
          <w:rFonts w:ascii="Times New Roman" w:hAnsi="Times New Roman"/>
          <w:b/>
          <w:sz w:val="27"/>
        </w:rPr>
        <w:t>1.2 OBJECTIVE OF THE PROJECT</w:t>
      </w:r>
    </w:p>
    <w:p>
      <w:pPr>
        <w:spacing w:before="0" w:after="50" w:line="307" w:lineRule="auto"/>
        <w:jc w:val="both"/>
      </w:pPr>
      <w:r>
        <w:rPr>
          <w:rFonts w:ascii="Times New Roman" w:hAnsi="Times New Roman"/>
          <w:sz w:val="24"/>
        </w:rPr>
        <w:t>The primary objective of FraudLens AI is to design, develop, rigorously validate, and deploy an explainable, real-time, multi-factor financial fraud detection, risk intelligence, and autonomous case investigation platform. The system is engineered to provide actionable transparency, zero-data-leakage multi-tenant privacy, and sub-second operational decisioning for digital payment networks.</w:t>
      </w:r>
    </w:p>
    <w:p>
      <w:pPr>
        <w:spacing w:before="0" w:after="50" w:line="307" w:lineRule="auto"/>
        <w:jc w:val="both"/>
      </w:pPr>
      <w:r>
        <w:rPr>
          <w:rFonts w:ascii="Times New Roman" w:hAnsi="Times New Roman"/>
          <w:sz w:val="24"/>
        </w:rPr>
        <w:t>The specific, measurable academic and technical objectives of this project are formulated as follows:</w:t>
      </w:r>
    </w:p>
    <w:p>
      <w:pPr>
        <w:spacing w:before="0" w:after="50" w:line="307" w:lineRule="auto"/>
        <w:jc w:val="both"/>
      </w:pPr>
      <w:r>
        <w:rPr>
          <w:rFonts w:ascii="Times New Roman" w:hAnsi="Times New Roman"/>
          <w:sz w:val="24"/>
        </w:rPr>
        <w:t>1. High-Performance Tabular Machine Learning Pipeline:</w:t>
        <w:br/>
        <w:t xml:space="preserve">   To formulate, train, tune, and evaluate high-performance supervised classification models—specifically regularized Logistic Regression with inverse class weighting, a tuned Random Forest ensemble, and an Extreme Gradient Boosted decision tree (XGBoost) model—on a multi-merchant dataset of 20,000 synthetic transaction records spanning 57 behavioral, temporal, and spatial attributes across 30 commercial merchants, achieving a test Recall of 100.0% and a ROC-AUC exceeding 0.990 on imbalanced fraud distributions.</w:t>
      </w:r>
    </w:p>
    <w:p>
      <w:pPr>
        <w:spacing w:before="0" w:after="50" w:line="307" w:lineRule="auto"/>
        <w:jc w:val="both"/>
      </w:pPr>
      <w:r>
        <w:rPr>
          <w:rFonts w:ascii="Times New Roman" w:hAnsi="Times New Roman"/>
          <w:sz w:val="24"/>
        </w:rPr>
        <w:t>2. Strict Architectural Decoupling of Fraud Probability and Risk Score:</w:t>
        <w:br/>
        <w:t xml:space="preserve">   To engineer a transparent, deterministic Multi-Factor Risk Scoring Engine that strictly separates model-derived Fraud Probability (a continuous metric between 0.0 and 1.0) from an independent operational Risk Score (an integer metric scaled between 0 and 100). The scoring engine must incorporate five orthogonal dimensions: continuous ML probability curves, spending deviation ratios against 30-day customer historical baselines, transaction velocity bursts across 1-hour and 24-hour windows, beneficiary integrity profiles, and hardware/environmental novelty signals.</w:t>
      </w:r>
    </w:p>
    <w:p>
      <w:pPr>
        <w:spacing w:before="0" w:after="50" w:line="307" w:lineRule="auto"/>
        <w:jc w:val="both"/>
      </w:pPr>
      <w:r>
        <w:rPr>
          <w:rFonts w:ascii="Times New Roman" w:hAnsi="Times New Roman"/>
          <w:sz w:val="24"/>
        </w:rPr>
        <w:t>3. Game-Theoretic Explainable AI (XAI) via TreeSHAP:</w:t>
        <w:br/>
        <w:t xml:space="preserve">   To embed exact, mathematically consistent feature attribution into the pre-authorization pipeline using TreeSHAP and LinearSHAP. The system must compute exact Shapley values for all transformed input features in real time, decomposing every prediction into local risk-increasing and risk-decreasing factors visualized through interactive waterfall plots, and generating evidence-grounded natural language forensic explanations for investigators.</w:t>
      </w:r>
    </w:p>
    <w:p>
      <w:pPr>
        <w:spacing w:before="0" w:after="50" w:line="307" w:lineRule="auto"/>
        <w:jc w:val="both"/>
      </w:pPr>
      <w:r>
        <w:rPr>
          <w:rFonts w:ascii="Times New Roman" w:hAnsi="Times New Roman"/>
          <w:sz w:val="24"/>
        </w:rPr>
        <w:t>4. Autonomous Pre-Authorization Gatekeeper &amp; Decisioning:</w:t>
        <w:br/>
        <w:t xml:space="preserve">   To establish a sub-5ms pre-authorization gatekeeper that executes deterministic decisioning across three discrete operational tiers:</w:t>
        <w:br/>
        <w:t xml:space="preserve">   • ALLOW (Score 0–30): Frictionless, zero-latency transaction pass-through and simulated wallet balance deduction.</w:t>
        <w:br/>
        <w:t xml:space="preserve">   • REVIEW (Score 31–70 or rapid velocity trigger): Automated transaction holding, simulated balance freezing, and initiation of a cryptographic step-up verification challenge.</w:t>
        <w:br/>
        <w:t xml:space="preserve">   • BLOCK (Score 71–100 or hard security violations): Immediate transaction termination, balance preservation, and automatic escalation to the forensic investigation queue.</w:t>
      </w:r>
    </w:p>
    <w:p>
      <w:pPr>
        <w:spacing w:before="0" w:after="50" w:line="307" w:lineRule="auto"/>
        <w:jc w:val="both"/>
      </w:pPr>
      <w:r>
        <w:rPr>
          <w:rFonts w:ascii="Times New Roman" w:hAnsi="Times New Roman"/>
          <w:sz w:val="24"/>
        </w:rPr>
        <w:t>5. Realistic Smartphone SMS OTP Security Verification:</w:t>
        <w:br/>
        <w:t xml:space="preserve">   To implement an interactive, simulated smartphone push-notification and SMS One-Time Password (OTP) verification modal for review-tier transactions. The verification subsystem must enforce cryptographic token hashing, a 15-minute time-to-live (TTL) countdown, and strict multi-attempt rate limiting, ensuring that zero funds are exfiltrated from the cardholder wallet until explicit verification is achieved.</w:t>
      </w:r>
    </w:p>
    <w:p>
      <w:pPr>
        <w:spacing w:before="0" w:after="50" w:line="307" w:lineRule="auto"/>
        <w:jc w:val="both"/>
      </w:pPr>
      <w:r>
        <w:rPr>
          <w:rFonts w:ascii="Times New Roman" w:hAnsi="Times New Roman"/>
          <w:sz w:val="24"/>
        </w:rPr>
        <w:t>6. Autonomous GenAI Forensic Copilot &amp; Investigation Dossier Synthesis:</w:t>
        <w:br/>
        <w:t xml:space="preserve">   To develop a specialized Generative AI Forensic Copilot supporting multi-model reasoning through Google Gemini 1.5 Pro, xAI Grok-2, and Anthropic Claude 3.5 Sonnet. The copilot must autonomously synthesize comprehensive case investigation dossiers, delineate 4-stage kill-chain attack topologies, generate copyable Mermaid architectural graphs, draft regulatory Suspicious Activity Reports (SAR) compliant with financial intelligence standards, and provide spoken natural voice briefings via browser speech synthesis.</w:t>
      </w:r>
    </w:p>
    <w:p>
      <w:pPr>
        <w:spacing w:before="0" w:after="50" w:line="307" w:lineRule="auto"/>
        <w:jc w:val="both"/>
      </w:pPr>
      <w:r>
        <w:rPr>
          <w:rFonts w:ascii="Times New Roman" w:hAnsi="Times New Roman"/>
          <w:sz w:val="24"/>
        </w:rPr>
        <w:t>7. Multi-Tenant Role-Based Access Control (RBAC) &amp; Immutable Audit Logging:</w:t>
        <w:br/>
        <w:t xml:space="preserve">   To enforce zero-data-leakage data contracts across customer, investigator, and administrator personas using FastAPI OAuth2 Password Bearer authentication, JWT token signing, and granular permission scopes. To record every administrative, authentication, and scoring event in an immutable cryptographic audit ledger, guaranteeing comprehensive forensic traceability.</w:t>
      </w:r>
    </w:p>
    <w:p>
      <w:pPr>
        <w:keepNext/>
        <w:spacing w:before="280" w:after="100" w:line="307" w:lineRule="auto"/>
        <w:jc w:val="left"/>
      </w:pPr>
      <w:r>
        <w:rPr>
          <w:rFonts w:ascii="Times New Roman" w:hAnsi="Times New Roman"/>
          <w:b/>
          <w:sz w:val="27"/>
        </w:rPr>
        <w:t>1.3 LITERATURE REVIEW</w:t>
      </w:r>
    </w:p>
    <w:p>
      <w:pPr>
        <w:spacing w:before="0" w:after="50" w:line="307" w:lineRule="auto"/>
        <w:jc w:val="both"/>
      </w:pPr>
      <w:r>
        <w:rPr>
          <w:rFonts w:ascii="Times New Roman" w:hAnsi="Times New Roman"/>
          <w:sz w:val="24"/>
        </w:rPr>
        <w:t>Financial fraud detection has historically served as a critical benchmark domain for computational statistics, pattern recognition, and machine learning. Over the past three decades, research has transitioned from rudimentary statistical outlier detection to complex deep neural networks and, most recently, to explainable artificial intelligence (XAI). This section critically reviews the seminal paradigms in payment fraud analytics, identifies key methodological advancements, and delineates the specific research gaps that FraudLens AI addresses.</w:t>
      </w:r>
    </w:p>
    <w:p>
      <w:pPr>
        <w:keepNext/>
        <w:spacing w:before="200" w:after="60" w:line="307" w:lineRule="auto"/>
        <w:jc w:val="left"/>
      </w:pPr>
      <w:r>
        <w:rPr>
          <w:rFonts w:ascii="Times New Roman" w:hAnsi="Times New Roman"/>
          <w:b/>
          <w:sz w:val="24"/>
        </w:rPr>
        <w:t>1.3.1 Statistical Profiling and Unsupervised Anomaly Detection</w:t>
      </w:r>
    </w:p>
    <w:p>
      <w:pPr>
        <w:spacing w:before="0" w:after="50" w:line="307" w:lineRule="auto"/>
        <w:jc w:val="both"/>
      </w:pPr>
      <w:r>
        <w:rPr>
          <w:rFonts w:ascii="Times New Roman" w:hAnsi="Times New Roman"/>
          <w:sz w:val="24"/>
        </w:rPr>
        <w:t>Early foundational research by Bolton and Hand (2002) established the utility of statistical profiling and unsupervised anomaly detection in credit card transaction monitoring. Their methodology, termed Breakpoint Analysis and Peer Group Analysis, focused on detecting structural shifts in a consumer's spending trajectory over time and identifying abnormal divergence from cohort clusters. While unsupervised statistical techniques eliminate the requirement for labeled fraud training data, they exhibit severe vulnerabilities in modern real-time environments: they generate extraordinarily high false-alarm rates because normal human consumer behavior is inherently non-stationary, featuring spontaneous expenditure spikes during festive seasons or life events that statistical distance metrics erroneously categorize as malicious.</w:t>
      </w:r>
    </w:p>
    <w:p>
      <w:pPr>
        <w:keepNext/>
        <w:spacing w:before="200" w:after="60" w:line="307" w:lineRule="auto"/>
        <w:jc w:val="left"/>
      </w:pPr>
      <w:r>
        <w:rPr>
          <w:rFonts w:ascii="Times New Roman" w:hAnsi="Times New Roman"/>
          <w:b/>
          <w:sz w:val="24"/>
        </w:rPr>
        <w:t>1.3.2 Supervised Learning and Class Imbalance Mitigation</w:t>
      </w:r>
    </w:p>
    <w:p>
      <w:pPr>
        <w:spacing w:before="0" w:after="50" w:line="307" w:lineRule="auto"/>
        <w:jc w:val="both"/>
      </w:pPr>
      <w:r>
        <w:rPr>
          <w:rFonts w:ascii="Times New Roman" w:hAnsi="Times New Roman"/>
          <w:sz w:val="24"/>
        </w:rPr>
        <w:t>The advent of digital payment clearing houses shifted research toward supervised machine learning. Phua et al. (2010) presented an extensive survey of data mining techniques in financial fraud detection, benchmarking decision trees, naive Bayes, and backpropagation neural networks. Their findings underscored that class imbalance—where fraudulent transactions constitute less than 1% of total transaction volume—serves as the single greatest impediment to classifier convergence. Conventional empirical loss functions naturally gravitate toward the majority class, producing high nominal accuracy (e.g., 99%) while failing to detect genuine fraud incidents.</w:t>
      </w:r>
    </w:p>
    <w:p>
      <w:pPr>
        <w:spacing w:before="0" w:after="50" w:line="307" w:lineRule="auto"/>
        <w:jc w:val="both"/>
      </w:pPr>
      <w:r>
        <w:rPr>
          <w:rFonts w:ascii="Times New Roman" w:hAnsi="Times New Roman"/>
          <w:sz w:val="24"/>
        </w:rPr>
        <w:t>Dal Pozzolo et al. (2014, 2015) conducted extensive empirical investigations into real-world credit card data streams, formalizing the concept of verification latency and non-stationary concept drift. Verification latency refers to the reality that true fraud labels are not immediately available; chargebacks and customer fraud dispute reports require days or weeks to propagate back into the training corpus. Their work demonstrated that ensemble architectures combining bagging and adaptive boosting outperform individual classifiers by stabilizing decision boundaries against concept drift.</w:t>
      </w:r>
    </w:p>
    <w:p>
      <w:pPr>
        <w:keepNext/>
        <w:spacing w:before="200" w:after="60" w:line="307" w:lineRule="auto"/>
        <w:jc w:val="left"/>
      </w:pPr>
      <w:r>
        <w:rPr>
          <w:rFonts w:ascii="Times New Roman" w:hAnsi="Times New Roman"/>
          <w:b/>
          <w:sz w:val="24"/>
        </w:rPr>
        <w:t>1.3.3 Ensemble Methods and Gradient Tree Boosting</w:t>
      </w:r>
    </w:p>
    <w:p>
      <w:pPr>
        <w:spacing w:before="0" w:after="50" w:line="307" w:lineRule="auto"/>
        <w:jc w:val="both"/>
      </w:pPr>
      <w:r>
        <w:rPr>
          <w:rFonts w:ascii="Times New Roman" w:hAnsi="Times New Roman"/>
          <w:sz w:val="24"/>
        </w:rPr>
        <w:t>In tabular financial data domains, tree-based ensemble methods consistently outperform unconstrained deep neural networks. Chen and Guestrin (2016) introduced XGBoost, an optimized distributed gradient boosting framework utilizing second-order Taylor approximations of the objective function, shrinkage, and column subsampling. XGBoost has achieved widespread prominence in financial risk modeling due to its handling of sparse categorical data, non-linear interaction modeling, and embedded support for class imbalance calibration via the scale_pos_weight parameter. Concurrently, Breiman's Random Forest (2001) remains a cornerstone benchmark, leveraging bootstrap aggregation (bagging) and random feature subspace selection to minimize variance without escalating model bias.</w:t>
      </w:r>
    </w:p>
    <w:p>
      <w:pPr>
        <w:keepNext/>
        <w:spacing w:before="200" w:after="60" w:line="307" w:lineRule="auto"/>
        <w:jc w:val="left"/>
      </w:pPr>
      <w:r>
        <w:rPr>
          <w:rFonts w:ascii="Times New Roman" w:hAnsi="Times New Roman"/>
          <w:b/>
          <w:sz w:val="24"/>
        </w:rPr>
        <w:t>1.3.4 The Explainability Imperative and Game-Theoretic SHAP</w:t>
      </w:r>
    </w:p>
    <w:p>
      <w:pPr>
        <w:spacing w:before="0" w:after="50" w:line="307" w:lineRule="auto"/>
        <w:jc w:val="both"/>
      </w:pPr>
      <w:r>
        <w:rPr>
          <w:rFonts w:ascii="Times New Roman" w:hAnsi="Times New Roman"/>
          <w:sz w:val="24"/>
        </w:rPr>
        <w:t>Despite the predictive prowess of ensemble gradient boosting, their multi-layered branching structures render them opaque black boxes. In financial systems, black-box predictions produce acute operational liabilities. Caruana et al. (2015) demonstrated that high-performing machine learning models trained on complex tabular datasets frequently learn spurious correlations and toxic dataset artifacts that lead to disastrous real-world failures when deployed without interpretability safeguards.</w:t>
      </w:r>
    </w:p>
    <w:p>
      <w:pPr>
        <w:spacing w:before="0" w:after="50" w:line="307" w:lineRule="auto"/>
        <w:jc w:val="both"/>
      </w:pPr>
      <w:r>
        <w:rPr>
          <w:rFonts w:ascii="Times New Roman" w:hAnsi="Times New Roman"/>
          <w:sz w:val="24"/>
        </w:rPr>
        <w:t>To resolve the interpretability challenge, Lundberg and Lee (2017) formulated SHAP (SHapley Additive exPlanations), a unified game-theoretic framework for interpreting model predictions based on cooperative game theory originally formulated by Lloyd Shapley (1953). SHAP defines the explanation of an individual prediction as the unique additive feature attribution method satisfying three fundamental mathematical axioms: Local Accuracy (efficiency), Missingness, and Consistency. Lundberg et al. (2020) subsequently introduced TreeSHAP, an algorithm optimizing exact Shapley value computation for tree ensembles by traversing tree structures in low-order polynomial time $O(TLD^2)$ rather than exponential feature subsets $O(TL2^M)$, where $T$ is the number of trees, $L$ is the number of leaves, and $D$ is the maximum tree depth. This algorithmic breakthrough rendered real-time local attribution computationally feasible for high-throughput payment gateways.</w:t>
      </w:r>
    </w:p>
    <w:p>
      <w:pPr>
        <w:keepNext/>
        <w:spacing w:before="200" w:after="60" w:line="307" w:lineRule="auto"/>
        <w:jc w:val="left"/>
      </w:pPr>
      <w:r>
        <w:rPr>
          <w:rFonts w:ascii="Times New Roman" w:hAnsi="Times New Roman"/>
          <w:b/>
          <w:sz w:val="24"/>
        </w:rPr>
        <w:t>1.3.5 Literature Comparison and Research Gap Analysis</w:t>
      </w:r>
    </w:p>
    <w:p>
      <w:pPr>
        <w:spacing w:before="0" w:after="50" w:line="307" w:lineRule="auto"/>
        <w:jc w:val="both"/>
      </w:pPr>
      <w:r>
        <w:rPr>
          <w:rFonts w:ascii="Times New Roman" w:hAnsi="Times New Roman"/>
          <w:sz w:val="24"/>
        </w:rPr>
        <w:t>Table 1.1 provides a structured comparative synthesis of prominent research contributions in financial fraud detection, delineating their primary methodologies, application contexts, key findings, intrinsic limitations, and direct relevance to FraudLens AI.</w:t>
      </w:r>
    </w:p>
    <w:p>
      <w:pPr>
        <w:keepNext/>
        <w:spacing w:before="200" w:after="60"/>
        <w:jc w:val="left"/>
      </w:pPr>
      <w:r>
        <w:rPr>
          <w:rFonts w:ascii="Times New Roman" w:hAnsi="Times New Roman"/>
          <w:b/>
          <w:sz w:val="21"/>
        </w:rPr>
        <w:t>Table 1.1: Comparative Literature Survey of Prominent Financial Fraud Detection Methodologies</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1505"/>
        <w:gridCol w:w="1505"/>
        <w:gridCol w:w="1505"/>
        <w:gridCol w:w="1505"/>
        <w:gridCol w:w="1505"/>
        <w:gridCol w:w="1505"/>
      </w:tblGrid>
      <w:tr>
        <w:trPr>
          <w:tblHeader/>
        </w:trPr>
        <w:tc>
          <w:tcPr>
            <w:tcW w:type="dxa" w:w="1440"/>
            <w:shd w:fill="F1F5F9"/>
            <w:tcMar>
              <w:top w:w="70" w:type="dxa"/>
              <w:bottom w:w="70" w:type="dxa"/>
              <w:left w:w="90" w:type="dxa"/>
              <w:right w:w="90" w:type="dxa"/>
            </w:tcMar>
          </w:tcPr>
          <w:p>
            <w:pPr>
              <w:spacing w:before="20" w:after="20"/>
              <w:jc w:val="center"/>
            </w:pPr>
            <w:r>
              <w:rPr>
                <w:rFonts w:ascii="Times New Roman" w:hAnsi="Times New Roman"/>
                <w:b/>
                <w:color w:val="0F172A"/>
                <w:sz w:val="19"/>
              </w:rPr>
              <w:t>Author / Year</w:t>
            </w:r>
          </w:p>
        </w:tc>
        <w:tc>
          <w:tcPr>
            <w:tcW w:type="dxa" w:w="1584"/>
            <w:shd w:fill="F1F5F9"/>
            <w:tcMar>
              <w:top w:w="70" w:type="dxa"/>
              <w:bottom w:w="70" w:type="dxa"/>
              <w:left w:w="90" w:type="dxa"/>
              <w:right w:w="90" w:type="dxa"/>
            </w:tcMar>
          </w:tcPr>
          <w:p>
            <w:pPr>
              <w:spacing w:before="20" w:after="20"/>
              <w:jc w:val="center"/>
            </w:pPr>
            <w:r>
              <w:rPr>
                <w:rFonts w:ascii="Times New Roman" w:hAnsi="Times New Roman"/>
                <w:b/>
                <w:color w:val="0F172A"/>
                <w:sz w:val="19"/>
              </w:rPr>
              <w:t>Methodology</w:t>
            </w:r>
          </w:p>
        </w:tc>
        <w:tc>
          <w:tcPr>
            <w:tcW w:type="dxa" w:w="1440"/>
            <w:shd w:fill="F1F5F9"/>
            <w:tcMar>
              <w:top w:w="70" w:type="dxa"/>
              <w:bottom w:w="70" w:type="dxa"/>
              <w:left w:w="90" w:type="dxa"/>
              <w:right w:w="90" w:type="dxa"/>
            </w:tcMar>
          </w:tcPr>
          <w:p>
            <w:pPr>
              <w:spacing w:before="20" w:after="20"/>
              <w:jc w:val="center"/>
            </w:pPr>
            <w:r>
              <w:rPr>
                <w:rFonts w:ascii="Times New Roman" w:hAnsi="Times New Roman"/>
                <w:b/>
                <w:color w:val="0F172A"/>
                <w:sz w:val="19"/>
              </w:rPr>
              <w:t>Context / Domain</w:t>
            </w:r>
          </w:p>
        </w:tc>
        <w:tc>
          <w:tcPr>
            <w:tcW w:type="dxa" w:w="1872"/>
            <w:shd w:fill="F1F5F9"/>
            <w:tcMar>
              <w:top w:w="70" w:type="dxa"/>
              <w:bottom w:w="70" w:type="dxa"/>
              <w:left w:w="90" w:type="dxa"/>
              <w:right w:w="90" w:type="dxa"/>
            </w:tcMar>
          </w:tcPr>
          <w:p>
            <w:pPr>
              <w:spacing w:before="20" w:after="20"/>
              <w:jc w:val="center"/>
            </w:pPr>
            <w:r>
              <w:rPr>
                <w:rFonts w:ascii="Times New Roman" w:hAnsi="Times New Roman"/>
                <w:b/>
                <w:color w:val="0F172A"/>
                <w:sz w:val="19"/>
              </w:rPr>
              <w:t>Key Finding</w:t>
            </w:r>
          </w:p>
        </w:tc>
        <w:tc>
          <w:tcPr>
            <w:tcW w:type="dxa" w:w="1584"/>
            <w:shd w:fill="F1F5F9"/>
            <w:tcMar>
              <w:top w:w="70" w:type="dxa"/>
              <w:bottom w:w="70" w:type="dxa"/>
              <w:left w:w="90" w:type="dxa"/>
              <w:right w:w="90" w:type="dxa"/>
            </w:tcMar>
          </w:tcPr>
          <w:p>
            <w:pPr>
              <w:spacing w:before="20" w:after="20"/>
              <w:jc w:val="center"/>
            </w:pPr>
            <w:r>
              <w:rPr>
                <w:rFonts w:ascii="Times New Roman" w:hAnsi="Times New Roman"/>
                <w:b/>
                <w:color w:val="0F172A"/>
                <w:sz w:val="19"/>
              </w:rPr>
              <w:t>Major Limitation</w:t>
            </w:r>
          </w:p>
        </w:tc>
        <w:tc>
          <w:tcPr>
            <w:tcW w:type="dxa" w:w="1440"/>
            <w:shd w:fill="F1F5F9"/>
            <w:tcMar>
              <w:top w:w="70" w:type="dxa"/>
              <w:bottom w:w="70" w:type="dxa"/>
              <w:left w:w="90" w:type="dxa"/>
              <w:right w:w="90" w:type="dxa"/>
            </w:tcMar>
          </w:tcPr>
          <w:p>
            <w:pPr>
              <w:spacing w:before="20" w:after="20"/>
              <w:jc w:val="center"/>
            </w:pPr>
            <w:r>
              <w:rPr>
                <w:rFonts w:ascii="Times New Roman" w:hAnsi="Times New Roman"/>
                <w:b/>
                <w:color w:val="0F172A"/>
                <w:sz w:val="19"/>
              </w:rPr>
              <w:t>Relevance to FraudLens AI</w:t>
            </w:r>
          </w:p>
        </w:tc>
      </w:tr>
      <w:tr>
        <w:trPr>
          <w:cantSplit/>
        </w:trPr>
        <w:tc>
          <w:tcPr>
            <w:tcW w:type="dxa" w:w="1440"/>
            <w:tcMar>
              <w:top w:w="35" w:type="dxa"/>
              <w:bottom w:w="35" w:type="dxa"/>
              <w:left w:w="65" w:type="dxa"/>
              <w:right w:w="65" w:type="dxa"/>
            </w:tcMar>
          </w:tcPr>
          <w:p>
            <w:pPr>
              <w:spacing w:before="10" w:after="10" w:line="240" w:lineRule="auto"/>
            </w:pPr>
            <w:r>
              <w:rPr>
                <w:rFonts w:ascii="Times New Roman" w:hAnsi="Times New Roman"/>
                <w:b/>
                <w:sz w:val="18"/>
              </w:rPr>
              <w:t>Bolton &amp; Hand (2002)</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Unsupervised Breakpoint &amp; Peer Group Analysis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Credit card transaction monitoring</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Identified behavioral shifts without labeled fraud instances; highlighted non-stationary customer baselines.</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Extremely high false positive rate; incapable of distinguishing legitimate lifestyle shifts from fraud.</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Underpins FraudLens AI behavioral profiling and deviation-from-baseline scoring modules.</w:t>
            </w:r>
          </w:p>
        </w:tc>
      </w:tr>
      <w:tr>
        <w:trPr>
          <w:cantSplit/>
        </w:trPr>
        <w:tc>
          <w:tcPr>
            <w:tcW w:type="dxa" w:w="1440"/>
            <w:tcMar>
              <w:top w:w="35" w:type="dxa"/>
              <w:bottom w:w="35" w:type="dxa"/>
              <w:left w:w="65" w:type="dxa"/>
              <w:right w:w="65" w:type="dxa"/>
            </w:tcMar>
          </w:tcPr>
          <w:p>
            <w:pPr>
              <w:spacing w:before="10" w:after="10" w:line="240" w:lineRule="auto"/>
            </w:pPr>
            <w:r>
              <w:rPr>
                <w:rFonts w:ascii="Times New Roman" w:hAnsi="Times New Roman"/>
                <w:b/>
                <w:sz w:val="18"/>
              </w:rPr>
              <w:t>Phua et al. (2010)</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Supervised Decision Trees &amp; Backpropagation ANN</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Retail financial fraud classification</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Comprehensive survey proving class imbalance is the single greatest impediment to classifier convergence.</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Static evaluation; lack of real-time pre-authorization integration; black-box neural networks.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Informs the imbalanced weighting strategy and tree-based classification tournament.</w:t>
            </w:r>
          </w:p>
        </w:tc>
      </w:tr>
      <w:tr>
        <w:trPr>
          <w:cantSplit/>
        </w:trPr>
        <w:tc>
          <w:tcPr>
            <w:tcW w:type="dxa" w:w="1440"/>
            <w:tcMar>
              <w:top w:w="35" w:type="dxa"/>
              <w:bottom w:w="35" w:type="dxa"/>
              <w:left w:w="65" w:type="dxa"/>
              <w:right w:w="65" w:type="dxa"/>
            </w:tcMar>
          </w:tcPr>
          <w:p>
            <w:pPr>
              <w:spacing w:before="10" w:after="10" w:line="240" w:lineRule="auto"/>
            </w:pPr>
            <w:r>
              <w:rPr>
                <w:rFonts w:ascii="Times New Roman" w:hAnsi="Times New Roman"/>
                <w:b/>
                <w:sz w:val="18"/>
              </w:rPr>
              <w:t>Dal Pozzolo et al. (2014)</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Adaptive Ensemble Learning &amp; Concept Drift Adapters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Streaming credit card transactions</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Formalized verification latency and non-stationary distribution shifts in streaming payments.</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Heavy computational overhead; no explainability mechanism for forensic human audit.</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Directly guides the offline retraining and drift monitoring service architecture.</w:t>
            </w:r>
          </w:p>
        </w:tc>
      </w:tr>
      <w:tr>
        <w:trPr>
          <w:cantSplit/>
        </w:trPr>
        <w:tc>
          <w:tcPr>
            <w:tcW w:type="dxa" w:w="1440"/>
            <w:tcMar>
              <w:top w:w="35" w:type="dxa"/>
              <w:bottom w:w="35" w:type="dxa"/>
              <w:left w:w="65" w:type="dxa"/>
              <w:right w:w="65" w:type="dxa"/>
            </w:tcMar>
          </w:tcPr>
          <w:p>
            <w:pPr>
              <w:spacing w:before="10" w:after="10" w:line="240" w:lineRule="auto"/>
            </w:pPr>
            <w:r>
              <w:rPr>
                <w:rFonts w:ascii="Times New Roman" w:hAnsi="Times New Roman"/>
                <w:b/>
                <w:sz w:val="18"/>
              </w:rPr>
              <w:t>Caruana et al. (2015)</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Generalized Additive Models with Interactions (GA2M)</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High-stakes risk prediction</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Demonstrated that high-accuracy black-box models routinely memorize toxic dataset artifacts.</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Limited scalability to high-dimensional multi-merchant tabular categorical spaces.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Motivates the mandatory incorporation of XAI safeguards prior to production deployment.</w:t>
            </w:r>
          </w:p>
        </w:tc>
      </w:tr>
      <w:tr>
        <w:trPr>
          <w:cantSplit/>
        </w:trPr>
        <w:tc>
          <w:tcPr>
            <w:tcW w:type="dxa" w:w="1440"/>
            <w:tcMar>
              <w:top w:w="35" w:type="dxa"/>
              <w:bottom w:w="35" w:type="dxa"/>
              <w:left w:w="65" w:type="dxa"/>
              <w:right w:w="65" w:type="dxa"/>
            </w:tcMar>
          </w:tcPr>
          <w:p>
            <w:pPr>
              <w:spacing w:before="10" w:after="10" w:line="240" w:lineRule="auto"/>
            </w:pPr>
            <w:r>
              <w:rPr>
                <w:rFonts w:ascii="Times New Roman" w:hAnsi="Times New Roman"/>
                <w:b/>
                <w:sz w:val="18"/>
              </w:rPr>
              <w:t>Chen &amp; Guestrin (2016)</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Extreme Gradient Tree Boosting (XGBoost)</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Large-scale tabular classification</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Optimized split-finding, regularized loss, and scale_pos_weight parameter achieve state-of-the-art tabular accuracy.</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Model internals remain opaque branching ensembles without supplementary attribution algorithms.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Serves as the primary champion classification engine within the FraudLens AI ML core.</w:t>
            </w:r>
          </w:p>
        </w:tc>
      </w:tr>
      <w:tr>
        <w:trPr>
          <w:cantSplit/>
        </w:trPr>
        <w:tc>
          <w:tcPr>
            <w:tcW w:type="dxa" w:w="1440"/>
            <w:tcMar>
              <w:top w:w="35" w:type="dxa"/>
              <w:bottom w:w="35" w:type="dxa"/>
              <w:left w:w="65" w:type="dxa"/>
              <w:right w:w="65" w:type="dxa"/>
            </w:tcMar>
          </w:tcPr>
          <w:p>
            <w:pPr>
              <w:spacing w:before="10" w:after="10" w:line="240" w:lineRule="auto"/>
            </w:pPr>
            <w:r>
              <w:rPr>
                <w:rFonts w:ascii="Times New Roman" w:hAnsi="Times New Roman"/>
                <w:b/>
                <w:sz w:val="18"/>
              </w:rPr>
              <w:t>Lundberg &amp; Lee (2017)</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Unified SHAP (SHapley Additive exPlanations)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Model-agnostic and local interpretability</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Proved that Shapley values provide the unique additive feature attribution satisfying local accuracy and consistency.</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KernelSHAP exponential sampling latency renders real-time gateway attribution impractical.</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Establishes the mathematical foundation for local and global feature attribution.</w:t>
            </w:r>
          </w:p>
        </w:tc>
      </w:tr>
      <w:tr>
        <w:trPr>
          <w:cantSplit/>
        </w:trPr>
        <w:tc>
          <w:tcPr>
            <w:tcW w:type="dxa" w:w="1440"/>
            <w:tcMar>
              <w:top w:w="35" w:type="dxa"/>
              <w:bottom w:w="35" w:type="dxa"/>
              <w:left w:w="65" w:type="dxa"/>
              <w:right w:w="65" w:type="dxa"/>
            </w:tcMar>
          </w:tcPr>
          <w:p>
            <w:pPr>
              <w:spacing w:before="10" w:after="10" w:line="240" w:lineRule="auto"/>
            </w:pPr>
            <w:r>
              <w:rPr>
                <w:rFonts w:ascii="Times New Roman" w:hAnsi="Times New Roman"/>
                <w:b/>
                <w:sz w:val="18"/>
              </w:rPr>
              <w:t>Lundberg et al. (2020)</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TreeSHAP Polynomial Ensemble Traversal</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Tree-based machine learning interpretability</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Reduced exact Shapley computation complexity to low-order polynomial time O(TLD^2).</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Purely descriptive attribution; lacks autonomous decisioning, OTP verification, or investigation workflow.</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Directly integrated into FraudLens AI for sub-4ms local waterfall attribution.</w:t>
            </w:r>
          </w:p>
        </w:tc>
      </w:tr>
      <w:tr>
        <w:trPr>
          <w:cantSplit/>
        </w:trPr>
        <w:tc>
          <w:tcPr>
            <w:tcW w:type="dxa" w:w="1440"/>
            <w:tcMar>
              <w:top w:w="35" w:type="dxa"/>
              <w:bottom w:w="35" w:type="dxa"/>
              <w:left w:w="65" w:type="dxa"/>
              <w:right w:w="65" w:type="dxa"/>
            </w:tcMar>
          </w:tcPr>
          <w:p>
            <w:pPr>
              <w:spacing w:before="10" w:after="10" w:line="240" w:lineRule="auto"/>
            </w:pPr>
            <w:r>
              <w:rPr>
                <w:rFonts w:ascii="Times New Roman" w:hAnsi="Times New Roman"/>
                <w:b/>
                <w:sz w:val="18"/>
              </w:rPr>
              <w:t>Van Vlasselaer et al. (2017)</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APATE: Network-Based Fraud Graph Analytics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Credit card fraud relationship mining</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Propagating risk influence across customer-merchant bipartite graphs detects organized crime rings.</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High graph traversal latency unsuitable for pre-authorization synchronous blocking windows.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Guides the asynchronous Fraud Network Intelligence Service within FraudLens AI.</w:t>
            </w:r>
          </w:p>
        </w:tc>
      </w:tr>
    </w:tbl>
    <w:p>
      <w:pPr>
        <w:keepNext/>
        <w:spacing w:before="200" w:after="60" w:line="307" w:lineRule="auto"/>
        <w:jc w:val="left"/>
      </w:pPr>
      <w:r>
        <w:rPr>
          <w:rFonts w:ascii="Times New Roman" w:hAnsi="Times New Roman"/>
          <w:b/>
          <w:sz w:val="24"/>
        </w:rPr>
        <w:t>1.3.6 IDENTIFIED RESEARCH GAPS AND FRAUDLENS AI CONTRIBUTIONS</w:t>
      </w:r>
    </w:p>
    <w:p>
      <w:pPr>
        <w:spacing w:before="0" w:after="50" w:line="307" w:lineRule="auto"/>
        <w:jc w:val="both"/>
      </w:pPr>
      <w:r>
        <w:rPr>
          <w:rFonts w:ascii="Times New Roman" w:hAnsi="Times New Roman"/>
          <w:sz w:val="24"/>
        </w:rPr>
        <w:t>A critical synthesis of the extant literature exposes four fundamental research and engineering gaps that persist in contemporary fraud detection systems:</w:t>
      </w:r>
    </w:p>
    <w:p>
      <w:pPr>
        <w:spacing w:before="0" w:after="50" w:line="307" w:lineRule="auto"/>
        <w:jc w:val="both"/>
      </w:pPr>
      <w:r>
        <w:rPr>
          <w:rFonts w:ascii="Times New Roman" w:hAnsi="Times New Roman"/>
          <w:sz w:val="24"/>
        </w:rPr>
        <w:t>1. Gap 1: Disconnect Between Statistical Probability and Operational Risk</w:t>
        <w:br/>
        <w:t xml:space="preserve">   Extant literature frequently treats fraud probability (the statistical likelihood output by a binary classifier) as synonymous with transactional risk. This conflation creates catastrophic operational vulnerabilities. A high-probability micro-payment ($p = 0.85$, amount = ₹50) attempted from an unrecognised browser carries minimal balance risk, whereas a moderate-probability high-ticket transfer ($p = 0.45$, amount = ₹2,50,000) represents devastating capital loss. </w:t>
        <w:br/>
        <w:t xml:space="preserve">   FraudLens AI Contribution: Establishes a strict mathematical decoupling between model-derived Fraud Probability (0.0 to 1.0) and an independent Deterministic Multi-Factor Risk Score (0 to 100), incorporating spending spikes, velocity bursts, and novelty signals alongside ML probability.</w:t>
      </w:r>
    </w:p>
    <w:p>
      <w:pPr>
        <w:spacing w:before="0" w:after="50" w:line="307" w:lineRule="auto"/>
        <w:jc w:val="both"/>
      </w:pPr>
      <w:r>
        <w:rPr>
          <w:rFonts w:ascii="Times New Roman" w:hAnsi="Times New Roman"/>
          <w:sz w:val="24"/>
        </w:rPr>
        <w:t>2. Gap 2: The Computational Latency of Game-Theoretic Explainability</w:t>
        <w:br/>
        <w:t xml:space="preserve">   While the theoretical superiority of Shapley values for model interpretability is universally acknowledged, existing implementations treat SHAP as an offline, post-mortem diagnostic tool due to perceived computational overhead. In live financial environments, investigators require instantaneous explanations during pre-authorization or real-time review.</w:t>
        <w:br/>
        <w:t xml:space="preserve">   FraudLens AI Contribution: Implements an optimized TreeSHAP pipeline that operates directly on transformed feature matrices, computing exact local feature attributions within 1.1 milliseconds, thereby enabling synchronous pre-authorization explainability.</w:t>
      </w:r>
    </w:p>
    <w:p>
      <w:pPr>
        <w:spacing w:before="0" w:after="50" w:line="307" w:lineRule="auto"/>
        <w:jc w:val="both"/>
      </w:pPr>
      <w:r>
        <w:rPr>
          <w:rFonts w:ascii="Times New Roman" w:hAnsi="Times New Roman"/>
          <w:sz w:val="24"/>
        </w:rPr>
        <w:t>3. Gap 3: Binary Decisioning Without Adaptive Step-Up Challenges</w:t>
        <w:br/>
        <w:t xml:space="preserve">   Traditional literature formulates fraud detection as a hard binary classification problem (predicting 0 for legitimate, 1 for fraud). In real-world banking, binary hard blocking of borderline transactions causes immense customer friction and churn.</w:t>
        <w:br/>
        <w:t xml:space="preserve">   FraudLens AI Contribution: Introduces a three-tier autonomous gatekeeper (ALLOW, REVIEW, BLOCK) coupled with an interactive smartphone SMS OTP step-up verification workflow. Questionable transactions are frozen in a simulated holding state, allowing genuine cardholders to self-authorize via a secure 6-digit cryptographic challenge while completely blocking unauthenticated adversaries.</w:t>
      </w:r>
    </w:p>
    <w:p>
      <w:pPr>
        <w:spacing w:before="0" w:after="50" w:line="307" w:lineRule="auto"/>
        <w:jc w:val="both"/>
      </w:pPr>
      <w:r>
        <w:rPr>
          <w:rFonts w:ascii="Times New Roman" w:hAnsi="Times New Roman"/>
          <w:sz w:val="24"/>
        </w:rPr>
        <w:t>4. Gap 4: Absence of Automated Forensic Investigation Synthesis</w:t>
        <w:br/>
        <w:t xml:space="preserve">   In existing security architectures, once an alert is escalated to human investigators, the forensic analyst must manually extract logs, reconstruct timeline events, and write regulatory compliance filings from scratch.</w:t>
        <w:br/>
        <w:t xml:space="preserve">   FraudLens AI Contribution: Integrates an autonomous GenAI Forensic Copilot powered by Google Gemini 1.5 Pro and xAI Grok-2. The copilot autonomously analyzes the case evidence, generates an executive summary, maps out a visual 4-stage kill-chain attack topology, produces copyable Mermaid architecture graphs, drafts regulatory Suspicious Activity Reports (SAR), and provides spoken natural audio briefings.</w:t>
      </w:r>
    </w:p>
    <w:p>
      <w:r>
        <w:br w:type="page"/>
      </w:r>
    </w:p>
    <w:p>
      <w:pPr>
        <w:keepNext/>
        <w:spacing w:before="400" w:after="280" w:line="307" w:lineRule="auto"/>
        <w:jc w:val="center"/>
      </w:pPr>
      <w:r>
        <w:rPr>
          <w:rFonts w:ascii="Times New Roman" w:hAnsi="Times New Roman"/>
          <w:b/>
          <w:sz w:val="32"/>
        </w:rPr>
        <w:t>CHAPTER 2</w:t>
        <w:br/>
        <w:t>SYSTEM ANALYSIS</w:t>
      </w:r>
    </w:p>
    <w:p>
      <w:pPr>
        <w:keepNext/>
        <w:spacing w:before="280" w:after="100" w:line="307" w:lineRule="auto"/>
        <w:jc w:val="left"/>
      </w:pPr>
      <w:r>
        <w:rPr>
          <w:rFonts w:ascii="Times New Roman" w:hAnsi="Times New Roman"/>
          <w:b/>
          <w:sz w:val="27"/>
        </w:rPr>
        <w:t>2.1 PROBLEM DEFINITION</w:t>
      </w:r>
    </w:p>
    <w:p>
      <w:pPr>
        <w:spacing w:before="0" w:after="50" w:line="307" w:lineRule="auto"/>
        <w:jc w:val="both"/>
      </w:pPr>
      <w:r>
        <w:rPr>
          <w:rFonts w:ascii="Times New Roman" w:hAnsi="Times New Roman"/>
          <w:sz w:val="24"/>
        </w:rPr>
        <w:t>The exponential acceleration of real-time digital payment processing across heterogeneous payment modalities (UPI, IMPS, Cards, Net Banking) has fundamentally compromised the defensive integrity of traditional financial fraud prevention systems. Contemporary digital banking operates within a razor-thin pre-authorization window (typically under 50 milliseconds), during which the issuing institution must authenticate the identity of the cardholder, verify account liquidity, assess transaction anomalies, and issue an irrevocable authorization code. Within this high-velocity environment, modern financial institutions face four compounding crises:</w:t>
      </w:r>
    </w:p>
    <w:p>
      <w:pPr>
        <w:spacing w:before="0" w:after="50" w:line="307" w:lineRule="auto"/>
        <w:jc w:val="both"/>
      </w:pPr>
      <w:r>
        <w:rPr>
          <w:rFonts w:ascii="Times New Roman" w:hAnsi="Times New Roman"/>
          <w:sz w:val="24"/>
        </w:rPr>
        <w:t>1. Sophistication of Distributed Attack Vectors: Organized cybercrime syndicates have industrialized fraud execution. Rather than relying on simple stolen physical card data, modern adversaries execute distributed credential stuffing, automated account takeovers (ATO) via proxy botnets, SIM-swap interceptions, and automated velocity bursts across fragmented merchants.</w:t>
        <w:br/>
        <w:t>2. The False-Positive Crisis and Consumer Friction: Legacy rule-based filtering mechanisms generate intolerable false-alarm rates. Heuristic triggers—such as rejecting any transaction originating in a non-primary city or exceeding a flat expenditure limit—fail to account for legitimate dynamic consumer behaviors. The resulting false declines precipitate severe card abandonment, merchant dispute costs, and brand defection.</w:t>
        <w:br/>
        <w:t>3. The Opaque "Black-Box" Impasse: Modern supervised machine learning ensembles (e.g., gradient boosted trees and deep networks) deliver high statistical discriminative power but fail to articulate causal reasoning. Regulatory mandates (such as GDPR Article 22 Right to Explanation and RBI digital security guidelines) legally prohibit uninterpretable automated adverse decisions. Furthermore, forensic investigators cannot effectively adjudicate cases without granular, feature-level attribution.</w:t>
        <w:br/>
        <w:t>4. Investigation Bottlenecks in Enterprise SOCs: Fraud investigation units are overwhelmed by high alert volumes. Analysts must manually aggregate ledger records, verify hardware fingerprints, evaluate velocity histories, and draft formal regulatory filings, resulting in average case resolution times exceeding 30 minutes and massive investigative backlogs.</w:t>
      </w:r>
    </w:p>
    <w:p>
      <w:pPr>
        <w:spacing w:before="0" w:after="50" w:line="307" w:lineRule="auto"/>
        <w:jc w:val="both"/>
      </w:pPr>
      <w:r>
        <w:rPr>
          <w:rFonts w:ascii="Times New Roman" w:hAnsi="Times New Roman"/>
          <w:sz w:val="24"/>
        </w:rPr>
        <w:t>Therefore, the primary engineering problem addressed by FraudLens AI is the formulation and implementation of a unified, explainable, real-time pre-authorization fraud detection and risk scoring platform that achieves near-zero false negatives, provides sub-4ms game-theoretic feature attribution, supports adaptive smartphone step-up verification, and automates forensic case dossier generation.</w:t>
      </w:r>
    </w:p>
    <w:p>
      <w:pPr>
        <w:keepNext/>
        <w:spacing w:before="280" w:after="100" w:line="307" w:lineRule="auto"/>
        <w:jc w:val="left"/>
      </w:pPr>
      <w:r>
        <w:rPr>
          <w:rFonts w:ascii="Times New Roman" w:hAnsi="Times New Roman"/>
          <w:b/>
          <w:sz w:val="27"/>
        </w:rPr>
        <w:t>2.2 EXISTING SYSTEM</w:t>
      </w:r>
    </w:p>
    <w:p>
      <w:pPr>
        <w:spacing w:before="0" w:after="50" w:line="307" w:lineRule="auto"/>
        <w:jc w:val="both"/>
      </w:pPr>
      <w:r>
        <w:rPr>
          <w:rFonts w:ascii="Times New Roman" w:hAnsi="Times New Roman"/>
          <w:sz w:val="24"/>
        </w:rPr>
        <w:t>The fraud prevention architectures currently deployed across the majority of commercial banking and payment gateway infrastructures are fundamentally bifurcated into two disparate paradigms:</w:t>
      </w:r>
    </w:p>
    <w:p>
      <w:pPr>
        <w:spacing w:before="0" w:after="50" w:line="307" w:lineRule="auto"/>
        <w:jc w:val="both"/>
      </w:pPr>
      <w:r>
        <w:rPr>
          <w:rFonts w:ascii="Times New Roman" w:hAnsi="Times New Roman"/>
          <w:sz w:val="24"/>
        </w:rPr>
        <w:t>1. Static Heuristic Rule-Based Engines:</w:t>
        <w:br/>
        <w:t xml:space="preserve">   These legacy systems rely on extensive repositories of Boolean deterministic rules configured by risk analysts. Typical examples include:</w:t>
        <w:br/>
        <w:t xml:space="preserve">   • Rule 101: IF Amount &gt; ₹50,000 AND Country != Customer_Home_Country THEN DECLINE.</w:t>
        <w:br/>
        <w:t xml:space="preserve">   • Rule 102: IF Transactions_Last_1H &gt; 3 THEN FLAG_SUSPICIOUS.</w:t>
        <w:br/>
        <w:t xml:space="preserve">   • Rule 103: IF Merchant_Category == "Jewellery" AND Hour IN [00, 05] THEN DECLINE.</w:t>
      </w:r>
    </w:p>
    <w:p>
      <w:pPr>
        <w:spacing w:before="0" w:after="50" w:line="307" w:lineRule="auto"/>
        <w:jc w:val="both"/>
      </w:pPr>
      <w:r>
        <w:rPr>
          <w:rFonts w:ascii="Times New Roman" w:hAnsi="Times New Roman"/>
          <w:sz w:val="24"/>
        </w:rPr>
        <w:t>Structural Limitations of the Existing Rule-Based System:</w:t>
        <w:br/>
        <w:t xml:space="preserve">   • Complete Inelasticity: Heuristic rules cannot capture non-linear, multi-variate feature correlations. Fraudsters easily circumvent rules by executing multi-hop micro-transactions of ₹49,999.</w:t>
        <w:br/>
        <w:t xml:space="preserve">   • Combinatorial Rule Bloat: Financial institutions accumulate thousands of legacy rules over decades. Conflicts between overlapping rules degrade transaction processing latency and create unpredictable authorization anomalies.</w:t>
        <w:br/>
        <w:t xml:space="preserve">   • Absence of Personalization: Rules are applied globally across entire merchant cohorts, ignoring individual customer spending baselines and historical tenure.</w:t>
      </w:r>
    </w:p>
    <w:p>
      <w:pPr>
        <w:spacing w:before="0" w:after="50" w:line="307" w:lineRule="auto"/>
        <w:jc w:val="both"/>
      </w:pPr>
      <w:r>
        <w:rPr>
          <w:rFonts w:ascii="Times New Roman" w:hAnsi="Times New Roman"/>
          <w:sz w:val="24"/>
        </w:rPr>
        <w:t>2. Monolithic Opaque Machine Learning Architectures:</w:t>
        <w:br/>
        <w:t xml:space="preserve">   More recently, enterprise banks have deployed centralized batch machine learning models or proprietary scoring APIs. These systems process transactions and return a solitary continuous probability value.</w:t>
      </w:r>
    </w:p>
    <w:p>
      <w:pPr>
        <w:spacing w:before="0" w:after="50" w:line="307" w:lineRule="auto"/>
        <w:jc w:val="both"/>
      </w:pPr>
      <w:r>
        <w:rPr>
          <w:rFonts w:ascii="Times New Roman" w:hAnsi="Times New Roman"/>
          <w:sz w:val="24"/>
        </w:rPr>
        <w:t>Structural Limitations of Existing ML Systems:</w:t>
        <w:br/>
        <w:t xml:space="preserve">   • Total Lack of Causal Interpretability: The models output a score (e.g., 0.887) without indicating which features drove the score higher or lower, creating severe regulatory non-compliance.</w:t>
        <w:br/>
        <w:t xml:space="preserve">   • Vulnerability to Target and Identifier Leakage: Existing models frequently incorporate post-transaction indicators (such as chargeback dispute flags or downstream settlement IDs) into training corpora, resulting in catastrophic model collapse when deployed on real-time pre-authorization streams.</w:t>
        <w:br/>
        <w:t xml:space="preserve">   • Rigid Binary Authorization: Transactions are either blindly allowed or hard-blocked. There is no intermediate adaptive verification mechanism to allow legitimate cardholders to prove identity during anomalous events.</w:t>
        <w:br/>
        <w:t xml:space="preserve">   • Complete Disconnect from Post-Authorization Investigation: Existing prediction engines are entirely isolated from the investigation and regulatory reporting software used by fraud analysts.</w:t>
      </w:r>
    </w:p>
    <w:p>
      <w:pPr>
        <w:keepNext/>
        <w:spacing w:before="280" w:after="100" w:line="307" w:lineRule="auto"/>
        <w:jc w:val="left"/>
      </w:pPr>
      <w:r>
        <w:rPr>
          <w:rFonts w:ascii="Times New Roman" w:hAnsi="Times New Roman"/>
          <w:b/>
          <w:sz w:val="27"/>
        </w:rPr>
        <w:t>2.3 PROPOSED SYSTEM</w:t>
      </w:r>
    </w:p>
    <w:p>
      <w:pPr>
        <w:spacing w:before="0" w:after="50" w:line="307" w:lineRule="auto"/>
        <w:jc w:val="both"/>
      </w:pPr>
      <w:r>
        <w:rPr>
          <w:rFonts w:ascii="Times New Roman" w:hAnsi="Times New Roman"/>
          <w:sz w:val="24"/>
        </w:rPr>
        <w:t>FraudLens AI proposes an integrated, modular, multi-tier software architecture that harmonizes high-performance machine learning, deterministic multi-factor risk assessment, game-theoretic explainability, autonomous gatekeeper decisioning, and Generative AI forensic intelligence into a cohesive platform.</w:t>
      </w:r>
    </w:p>
    <w:p>
      <w:pPr>
        <w:spacing w:before="0" w:after="50" w:line="307" w:lineRule="auto"/>
        <w:jc w:val="both"/>
      </w:pPr>
      <w:r>
        <w:rPr>
          <w:rFonts w:ascii="Times New Roman" w:hAnsi="Times New Roman"/>
          <w:sz w:val="24"/>
        </w:rPr>
        <w:t>Core Architectural Innovations of FraudLens AI:</w:t>
        <w:br/>
        <w:t>1. Leakage-Free Pre-Authorization Feature Pipeline:</w:t>
        <w:br/>
        <w:t xml:space="preserve">   The system implements an automated 11-step validation and feature engineering pipeline that transforms raw transaction parameters into 63 model-ready numerical and categorical signals. The pipeline derives behavioral spending ratios, deviation z-scores, velocity surge interactions, and cyclical trigonometric temporal projections while systematically purging identifier columns and post-transaction proxies.</w:t>
        <w:br/>
        <w:t>2. Competitive Machine Learning Tournament &amp; Stacking Ensemble:</w:t>
        <w:br/>
        <w:t xml:space="preserve">   FraudLens AI benchmarks regularized Logistic Regression, a 300-tree tuned Random Forest, and an Extreme Gradient Boosted decision tree (XGBoost) model calibrated with positive-class imbalance weighting (scale_pos_weight). A soft-voting stacking ensemble synthesizes probabilistic predictions across models, achieving 100.0% recall on fraud detection.</w:t>
        <w:br/>
        <w:t>3. Decoupled Multi-Factor Risk Scoring Engine (0–100):</w:t>
        <w:br/>
        <w:t xml:space="preserve">   The platform enforces a strict separation between ML Fraud Probability and an independent Deterministic Risk Score. The scoring engine evaluates five distinct dimensions: ML probability baseline (up to 60 pts), customer spending deviation vs 30-day baseline (up to 25 pts), 1-hour and 24-hour velocity bursts (up to 20 pts), beneficiary historical integrity (up to 15 pts), and environmental hardware/location novelty (up to 25 pts), clamped strictly to [0, 100].</w:t>
        <w:br/>
        <w:t>4. Sub-4ms Pre-Authorization Decision Gatekeeper:</w:t>
        <w:br/>
        <w:t xml:space="preserve">   Transactions are dynamically categorized into three actionable tiers:</w:t>
        <w:br/>
        <w:t xml:space="preserve">   • ALLOW (0–30): Frictionless authorization and wallet balance settlement.</w:t>
        <w:br/>
        <w:t xml:space="preserve">   • REVIEW (31–70 or rapid transaction activity): Transaction holding, balance preservation, and automatic trigger of smartphone SMS OTP verification.</w:t>
        <w:br/>
        <w:t xml:space="preserve">   • BLOCK (71–100 or hard security violations): Immediate transaction freezing, zero funds deducted, and autonomous forensic case creation.</w:t>
        <w:br/>
        <w:t>5. Interactive Smartphone SMS OTP Verification Subsystem:</w:t>
        <w:br/>
        <w:t xml:space="preserve">   For review-tier events, a realistic smartphone push-banner modal slides down, displaying a cryptographic 6-digit OTP with a live 15-minute countdown. Correct code submission settles the transaction and logs the approval; timeout or rejection immediately locks the card and alerts investigators.</w:t>
        <w:br/>
        <w:t>6. Real-Time Game-Theoretic Explainability via TreeSHAP:</w:t>
        <w:br/>
        <w:t xml:space="preserve">   The platform computes exact Shapley values in 1.1ms, rendering interactive waterfall attribution bars and evidence-grounded natural language narratives explaining the exact top risk-increasing and risk-decreasing factors for every single payment.</w:t>
        <w:br/>
        <w:t>7. Autonomous GenAI Forensic Copilot:</w:t>
        <w:br/>
        <w:t xml:space="preserve">   Powered by Google Gemini 1.5 Pro and xAI Grok-2, the copilot synthesizes complete investigation dossiers, delineates 4-stage kill-chain threat flows, generates copyable Mermaid architecture graphs, drafts regulatory Suspicious Activity Reports (SAR), and provides spoken natural audio briefings.</w:t>
      </w:r>
    </w:p>
    <w:p>
      <w:r>
        <w:br w:type="page"/>
      </w:r>
    </w:p>
    <w:p>
      <w:pPr>
        <w:keepNext/>
        <w:spacing w:before="400" w:after="280" w:line="307" w:lineRule="auto"/>
        <w:jc w:val="center"/>
      </w:pPr>
      <w:r>
        <w:rPr>
          <w:rFonts w:ascii="Times New Roman" w:hAnsi="Times New Roman"/>
          <w:b/>
          <w:sz w:val="32"/>
        </w:rPr>
        <w:t>CHAPTER 3</w:t>
        <w:br/>
        <w:t>SYSTEM STUDY</w:t>
      </w:r>
    </w:p>
    <w:p>
      <w:pPr>
        <w:keepNext/>
        <w:spacing w:before="280" w:after="100" w:line="307" w:lineRule="auto"/>
        <w:jc w:val="left"/>
      </w:pPr>
      <w:r>
        <w:rPr>
          <w:rFonts w:ascii="Times New Roman" w:hAnsi="Times New Roman"/>
          <w:b/>
          <w:sz w:val="27"/>
        </w:rPr>
        <w:t>3.1 FEASIBILITY STUDY</w:t>
      </w:r>
    </w:p>
    <w:p>
      <w:pPr>
        <w:spacing w:before="0" w:after="50" w:line="307" w:lineRule="auto"/>
        <w:jc w:val="both"/>
      </w:pPr>
      <w:r>
        <w:rPr>
          <w:rFonts w:ascii="Times New Roman" w:hAnsi="Times New Roman"/>
          <w:sz w:val="24"/>
        </w:rPr>
        <w:t>A comprehensive feasibility analysis was conducted prior to system development to ensure that FraudLens AI represents a viable, sustainable, high-performance, and economically sound software engineering solution for digital payment networks. The evaluation was conducted across three formal dimensions: Economic Feasibility, Technical Feasibility, and Performance Feasibility.</w:t>
      </w:r>
    </w:p>
    <w:p>
      <w:pPr>
        <w:keepNext/>
        <w:spacing w:before="200" w:after="60" w:line="307" w:lineRule="auto"/>
        <w:jc w:val="left"/>
      </w:pPr>
      <w:r>
        <w:rPr>
          <w:rFonts w:ascii="Times New Roman" w:hAnsi="Times New Roman"/>
          <w:b/>
          <w:sz w:val="24"/>
        </w:rPr>
        <w:t>3.1.1 Economic Feasibility</w:t>
      </w:r>
    </w:p>
    <w:p>
      <w:pPr>
        <w:spacing w:before="0" w:after="50" w:line="307" w:lineRule="auto"/>
        <w:jc w:val="both"/>
      </w:pPr>
      <w:r>
        <w:rPr>
          <w:rFonts w:ascii="Times New Roman" w:hAnsi="Times New Roman"/>
          <w:sz w:val="24"/>
        </w:rPr>
        <w:t>Economic feasibility evaluates the development, deployment, and ongoing operational expenditures of the proposed platform against its projected financial return on investment (ROI), risk reduction, and operational cost savings.</w:t>
      </w:r>
    </w:p>
    <w:p>
      <w:pPr>
        <w:spacing w:before="0" w:after="50" w:line="307" w:lineRule="auto"/>
        <w:jc w:val="both"/>
      </w:pPr>
      <w:r>
        <w:rPr>
          <w:rFonts w:ascii="Times New Roman" w:hAnsi="Times New Roman"/>
          <w:sz w:val="24"/>
        </w:rPr>
        <w:t>Cost Drivers of Legacy Systems vs. FraudLens AI:</w:t>
        <w:br/>
        <w:t>• Commercial Fraud Software Licensing: Proprietary enterprise banking fraud detection suites routinely command annual enterprise licensing fees exceeding $250,000 to $1,000,000, supplemented by per-transaction inspection surcharges. FraudLens AI is architected upon open-source technologies (Python, FastAPI, Scikit-Learn, XGBoost, React, SQLite/PostgreSQL), completely eliminating proprietary licensing overhead.</w:t>
        <w:br/>
        <w:t>• Reduction in False-Positive Customer Churn: Studies by the Merchant Risk Council establish that false declines cost merchants more than double the amount lost to actual fraud. By replacing blunt rule thresholds with calibrated multi-factor risk scoring and step-up SMS OTP challenges, FraudLens AI reduces false declines by over 65%, preserving millions in merchant transaction turnover.</w:t>
        <w:br/>
        <w:t>• Operational Efficiency in Forensic Triage: Manual case investigation in enterprise SOCs costs an average of $25 per case in investigator labor. By automating evidence aggregation, TreeSHAP attribution, and SAR draft generation through the GenAI Copilot, FraudLens AI reduces average case adjudication time from 35 minutes to under 3 minutes, representing an order-of-magnitude reduction in operational labor expenditure.</w:t>
      </w:r>
    </w:p>
    <w:p>
      <w:pPr>
        <w:spacing w:before="0" w:after="50" w:line="307" w:lineRule="auto"/>
        <w:jc w:val="both"/>
      </w:pPr>
      <w:r>
        <w:rPr>
          <w:rFonts w:ascii="Times New Roman" w:hAnsi="Times New Roman"/>
          <w:sz w:val="24"/>
        </w:rPr>
        <w:t>Table 3.1 delineates the formal cost-benefit analysis of FraudLens AI across development and operational lifecycle horizons.</w:t>
      </w:r>
    </w:p>
    <w:p>
      <w:pPr>
        <w:keepNext/>
        <w:spacing w:before="200" w:after="60" w:line="307" w:lineRule="auto"/>
        <w:jc w:val="left"/>
      </w:pPr>
      <w:r>
        <w:rPr>
          <w:rFonts w:ascii="Times New Roman" w:hAnsi="Times New Roman"/>
          <w:b/>
          <w:sz w:val="24"/>
        </w:rPr>
        <w:t>3.1.2 Technical Feasibility</w:t>
      </w:r>
    </w:p>
    <w:p>
      <w:pPr>
        <w:spacing w:before="0" w:after="50" w:line="307" w:lineRule="auto"/>
        <w:jc w:val="both"/>
      </w:pPr>
      <w:r>
        <w:rPr>
          <w:rFonts w:ascii="Times New Roman" w:hAnsi="Times New Roman"/>
          <w:sz w:val="24"/>
        </w:rPr>
        <w:t>Technical feasibility assesses whether the system can be successfully constructed, operated, and maintained using available technologies, computational libraries, and software engineering methodologies.</w:t>
      </w:r>
    </w:p>
    <w:p>
      <w:pPr>
        <w:spacing w:before="0" w:after="50" w:line="307" w:lineRule="auto"/>
        <w:jc w:val="both"/>
      </w:pPr>
      <w:r>
        <w:rPr>
          <w:rFonts w:ascii="Times New Roman" w:hAnsi="Times New Roman"/>
          <w:sz w:val="24"/>
        </w:rPr>
        <w:t>The technical viability of FraudLens AI is established through the following architectural pillars:</w:t>
        <w:br/>
        <w:t>• Programming Language &amp; ML Ecosystem: Python was selected for backend development due to its industry-standard machine learning ecosystem (Scikit-Learn, XGBoost, SHAP, NumPy, Pandas, Joblib). Python provides optimized C/C++ underlying bindings, ensuring near-native execution performance for matrix computations.</w:t>
        <w:br/>
        <w:t>• Asynchronous High-Throughput REST Gateway: FastAPI was adopted as the core API framework. Built on Starlette and Pydantic, FastAPI leverages asynchronous coroutines (async/await) and the ASGI Uvicorn server, supporting thousands of concurrent HTTP connections with automatic OpenAPI documentation and strict data contract validation.</w:t>
        <w:br/>
        <w:t>• TreeSHAP Algorithmic Efficiency: The technical viability of real-time explainability was verified through algorithmic benchmarking. While standard KernelSHAP requires exponential sampling time, TreeSHAP executes in polynomial time O(TLD^2), completing exact feature attribution in approximately 1.1 milliseconds on standard multi-core hardware.</w:t>
        <w:br/>
        <w:t>• Modern Frontend Architecture: The user interface is developed in React 18 with Vite, Vanilla CSS, and modern UI tokens. The frontend leverages WebSocket pipelines for real-time telemetry streaming, audio Web Speech APIs for voice briefing, and component-level error boundaries, ensuring zero browser freezes.</w:t>
        <w:br/>
        <w:t>• Hardware Compatibility: The system runs seamlessly on commodity cloud virtual machines (4 vCPUs, 16 GB RAM) without requiring costly specialized GPU accelerators for real-time inference, as XGBoost tree traversal and SHAP calculations are highly optimized for multi-threaded x86/x64 CPUs.</w:t>
      </w:r>
    </w:p>
    <w:p>
      <w:pPr>
        <w:keepNext/>
        <w:spacing w:before="200" w:after="60" w:line="307" w:lineRule="auto"/>
        <w:jc w:val="left"/>
      </w:pPr>
      <w:r>
        <w:rPr>
          <w:rFonts w:ascii="Times New Roman" w:hAnsi="Times New Roman"/>
          <w:b/>
          <w:sz w:val="24"/>
        </w:rPr>
        <w:t>3.1.3 Performance Feasibility</w:t>
      </w:r>
    </w:p>
    <w:p>
      <w:pPr>
        <w:spacing w:before="0" w:after="50" w:line="307" w:lineRule="auto"/>
        <w:jc w:val="both"/>
      </w:pPr>
      <w:r>
        <w:rPr>
          <w:rFonts w:ascii="Times New Roman" w:hAnsi="Times New Roman"/>
          <w:sz w:val="24"/>
        </w:rPr>
        <w:t>Performance feasibility evaluates whether the system satisfies stringent real-world transaction clearance SLAs (Service Level Agreements), throughput benchmarks, and concurrent user loads.</w:t>
      </w:r>
    </w:p>
    <w:p>
      <w:pPr>
        <w:spacing w:before="0" w:after="50" w:line="307" w:lineRule="auto"/>
        <w:jc w:val="both"/>
      </w:pPr>
      <w:r>
        <w:rPr>
          <w:rFonts w:ascii="Times New Roman" w:hAnsi="Times New Roman"/>
          <w:sz w:val="24"/>
        </w:rPr>
        <w:t>The operational benchmarks achieved by FraudLens AI demonstrate robust performance feasibility:</w:t>
        <w:br/>
        <w:t>1. End-to-End Pre-Authorization Latency: Total pre-authorization gatekeeper execution—encompassing idempotency verification, customer balance verification, feature engineering, XGBoost ML scoring, TreeSHAP local attribution, deterministic risk scoring, database persistence, and WebSocket broadcasting—executes in an average of 4.80 milliseconds, well within the 50-millisecond global banking SLA.</w:t>
        <w:br/>
        <w:t>2. Concurrent Throughput Capacity: Under synthetic load testing using Locust and Pytest benchmarks, the FastAPI gateway successfully processes over 1,250 transaction evaluations per second on a single 8-core instance with zero connection timeouts or memory leaks.</w:t>
        <w:br/>
        <w:t>3. Database Query Performance: Relational database queries in SQLite (with WAL mode enabled) and PostgreSQL utilize optimized indexes on customer_id, transaction_id, and created_at timestamps. Historical customer velocity queries across 1-hour and 24-hour windows execute in sub-millisecond time (&lt; 0.8ms).</w:t>
        <w:br/>
        <w:t>4. Memory Footprint Stability: The memory footprint of the active prediction service (preprocessor, XGBoost champion model, and TreeSHAP background explainer) remains strictly bounded at ~185 MB of RAM, eliminating memory ballooning risks in containerized Docker/Kubernetes deployments.</w:t>
      </w:r>
    </w:p>
    <w:p>
      <w:pPr>
        <w:keepNext/>
        <w:spacing w:before="200" w:after="60"/>
        <w:jc w:val="left"/>
      </w:pPr>
      <w:r>
        <w:rPr>
          <w:rFonts w:ascii="Times New Roman" w:hAnsi="Times New Roman"/>
          <w:b/>
          <w:sz w:val="21"/>
        </w:rPr>
        <w:t>Table 3.1: Economic Feasibility Cost-Benefit and ROI Analysis</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2257"/>
        <w:gridCol w:w="2257"/>
        <w:gridCol w:w="2257"/>
        <w:gridCol w:w="2257"/>
      </w:tblGrid>
      <w:tr>
        <w:trPr>
          <w:tblHeader/>
        </w:trPr>
        <w:tc>
          <w:tcPr>
            <w:tcW w:type="dxa" w:w="2880"/>
            <w:shd w:fill="F1F5F9"/>
            <w:tcMar>
              <w:top w:w="70" w:type="dxa"/>
              <w:bottom w:w="70" w:type="dxa"/>
              <w:left w:w="90" w:type="dxa"/>
              <w:right w:w="90" w:type="dxa"/>
            </w:tcMar>
          </w:tcPr>
          <w:p>
            <w:pPr>
              <w:spacing w:before="20" w:after="20"/>
              <w:jc w:val="center"/>
            </w:pPr>
            <w:r>
              <w:rPr>
                <w:rFonts w:ascii="Times New Roman" w:hAnsi="Times New Roman"/>
                <w:b/>
                <w:color w:val="0F172A"/>
                <w:sz w:val="19"/>
              </w:rPr>
              <w:t>Operational Cost / Benefit Dimension</w:t>
            </w:r>
          </w:p>
        </w:tc>
        <w:tc>
          <w:tcPr>
            <w:tcW w:type="dxa" w:w="3744"/>
            <w:shd w:fill="F1F5F9"/>
            <w:tcMar>
              <w:top w:w="70" w:type="dxa"/>
              <w:bottom w:w="70" w:type="dxa"/>
              <w:left w:w="90" w:type="dxa"/>
              <w:right w:w="90" w:type="dxa"/>
            </w:tcMar>
          </w:tcPr>
          <w:p>
            <w:pPr>
              <w:spacing w:before="20" w:after="20"/>
              <w:jc w:val="center"/>
            </w:pPr>
            <w:r>
              <w:rPr>
                <w:rFonts w:ascii="Times New Roman" w:hAnsi="Times New Roman"/>
                <w:b/>
                <w:color w:val="0F172A"/>
                <w:sz w:val="19"/>
              </w:rPr>
              <w:t>Description &amp; Implementation Baseline</w:t>
            </w:r>
          </w:p>
        </w:tc>
        <w:tc>
          <w:tcPr>
            <w:tcW w:type="dxa" w:w="1440"/>
            <w:shd w:fill="F1F5F9"/>
            <w:tcMar>
              <w:top w:w="70" w:type="dxa"/>
              <w:bottom w:w="70" w:type="dxa"/>
              <w:left w:w="90" w:type="dxa"/>
              <w:right w:w="90" w:type="dxa"/>
            </w:tcMar>
          </w:tcPr>
          <w:p>
            <w:pPr>
              <w:spacing w:before="20" w:after="20"/>
              <w:jc w:val="center"/>
            </w:pPr>
            <w:r>
              <w:rPr>
                <w:rFonts w:ascii="Times New Roman" w:hAnsi="Times New Roman"/>
                <w:b/>
                <w:color w:val="0F172A"/>
                <w:sz w:val="19"/>
              </w:rPr>
              <w:t>Estimated Value</w:t>
            </w:r>
          </w:p>
        </w:tc>
        <w:tc>
          <w:tcPr>
            <w:tcW w:type="dxa" w:w="1296"/>
            <w:shd w:fill="F1F5F9"/>
            <w:tcMar>
              <w:top w:w="70" w:type="dxa"/>
              <w:bottom w:w="70" w:type="dxa"/>
              <w:left w:w="90" w:type="dxa"/>
              <w:right w:w="90" w:type="dxa"/>
            </w:tcMar>
          </w:tcPr>
          <w:p>
            <w:pPr>
              <w:spacing w:before="20" w:after="20"/>
              <w:jc w:val="center"/>
            </w:pPr>
            <w:r>
              <w:rPr>
                <w:rFonts w:ascii="Times New Roman" w:hAnsi="Times New Roman"/>
                <w:b/>
                <w:color w:val="0F172A"/>
                <w:sz w:val="19"/>
              </w:rPr>
              <w:t>Horizon</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Development Labor &amp; Engineering</w:t>
            </w:r>
          </w:p>
        </w:tc>
        <w:tc>
          <w:tcPr>
            <w:tcW w:type="dxa" w:w="3744"/>
            <w:tcMar>
              <w:top w:w="35" w:type="dxa"/>
              <w:bottom w:w="35" w:type="dxa"/>
              <w:left w:w="65" w:type="dxa"/>
              <w:right w:w="65" w:type="dxa"/>
            </w:tcMar>
          </w:tcPr>
          <w:p>
            <w:pPr>
              <w:spacing w:before="10" w:after="10" w:line="240" w:lineRule="auto"/>
            </w:pPr>
            <w:r>
              <w:rPr>
                <w:rFonts w:ascii="Times New Roman" w:hAnsi="Times New Roman"/>
                <w:sz w:val="18"/>
              </w:rPr>
              <w:t>Open-source internal engineering stack</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$12,000</w:t>
            </w:r>
          </w:p>
        </w:tc>
        <w:tc>
          <w:tcPr>
            <w:tcW w:type="dxa" w:w="1296"/>
            <w:tcMar>
              <w:top w:w="35" w:type="dxa"/>
              <w:bottom w:w="35" w:type="dxa"/>
              <w:left w:w="65" w:type="dxa"/>
              <w:right w:w="65" w:type="dxa"/>
            </w:tcMar>
          </w:tcPr>
          <w:p>
            <w:pPr>
              <w:spacing w:before="10" w:after="10" w:line="240" w:lineRule="auto"/>
            </w:pPr>
            <w:r>
              <w:rPr>
                <w:rFonts w:ascii="Times New Roman" w:hAnsi="Times New Roman"/>
                <w:sz w:val="18"/>
              </w:rPr>
              <w:t>One-Time</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Commercial Licensing Fees</w:t>
            </w:r>
          </w:p>
        </w:tc>
        <w:tc>
          <w:tcPr>
            <w:tcW w:type="dxa" w:w="3744"/>
            <w:tcMar>
              <w:top w:w="35" w:type="dxa"/>
              <w:bottom w:w="35" w:type="dxa"/>
              <w:left w:w="65" w:type="dxa"/>
              <w:right w:w="65" w:type="dxa"/>
            </w:tcMar>
          </w:tcPr>
          <w:p>
            <w:pPr>
              <w:spacing w:before="10" w:after="10" w:line="240" w:lineRule="auto"/>
            </w:pPr>
            <w:r>
              <w:rPr>
                <w:rFonts w:ascii="Times New Roman" w:hAnsi="Times New Roman"/>
                <w:sz w:val="18"/>
              </w:rPr>
              <w:t>FastAPI, Scikit-Learn, React, SQLite (Zero License)</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w:t>
            </w:r>
          </w:p>
        </w:tc>
        <w:tc>
          <w:tcPr>
            <w:tcW w:type="dxa" w:w="1296"/>
            <w:tcMar>
              <w:top w:w="35" w:type="dxa"/>
              <w:bottom w:w="35" w:type="dxa"/>
              <w:left w:w="65" w:type="dxa"/>
              <w:right w:w="65" w:type="dxa"/>
            </w:tcMar>
          </w:tcPr>
          <w:p>
            <w:pPr>
              <w:spacing w:before="10" w:after="10" w:line="240" w:lineRule="auto"/>
            </w:pPr>
            <w:r>
              <w:rPr>
                <w:rFonts w:ascii="Times New Roman" w:hAnsi="Times New Roman"/>
                <w:sz w:val="18"/>
              </w:rPr>
              <w:t>Recurring Annual</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Cloud Infrastructure (AWS / GCP)</w:t>
            </w:r>
          </w:p>
        </w:tc>
        <w:tc>
          <w:tcPr>
            <w:tcW w:type="dxa" w:w="3744"/>
            <w:tcMar>
              <w:top w:w="35" w:type="dxa"/>
              <w:bottom w:w="35" w:type="dxa"/>
              <w:left w:w="65" w:type="dxa"/>
              <w:right w:w="65" w:type="dxa"/>
            </w:tcMar>
          </w:tcPr>
          <w:p>
            <w:pPr>
              <w:spacing w:before="10" w:after="10" w:line="240" w:lineRule="auto"/>
            </w:pPr>
            <w:r>
              <w:rPr>
                <w:rFonts w:ascii="Times New Roman" w:hAnsi="Times New Roman"/>
                <w:sz w:val="18"/>
              </w:rPr>
              <w:t>4 vCPU, 16GB RAM commodity VM instances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$1,440</w:t>
            </w:r>
          </w:p>
        </w:tc>
        <w:tc>
          <w:tcPr>
            <w:tcW w:type="dxa" w:w="1296"/>
            <w:tcMar>
              <w:top w:w="35" w:type="dxa"/>
              <w:bottom w:w="35" w:type="dxa"/>
              <w:left w:w="65" w:type="dxa"/>
              <w:right w:w="65" w:type="dxa"/>
            </w:tcMar>
          </w:tcPr>
          <w:p>
            <w:pPr>
              <w:spacing w:before="10" w:after="10" w:line="240" w:lineRule="auto"/>
            </w:pPr>
            <w:r>
              <w:rPr>
                <w:rFonts w:ascii="Times New Roman" w:hAnsi="Times New Roman"/>
                <w:sz w:val="18"/>
              </w:rPr>
              <w:t>Recurring Annual</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Legacy False-Positive Reduction</w:t>
            </w:r>
          </w:p>
        </w:tc>
        <w:tc>
          <w:tcPr>
            <w:tcW w:type="dxa" w:w="3744"/>
            <w:tcMar>
              <w:top w:w="35" w:type="dxa"/>
              <w:bottom w:w="35" w:type="dxa"/>
              <w:left w:w="65" w:type="dxa"/>
              <w:right w:w="65" w:type="dxa"/>
            </w:tcMar>
          </w:tcPr>
          <w:p>
            <w:pPr>
              <w:spacing w:before="10" w:after="10" w:line="240" w:lineRule="auto"/>
            </w:pPr>
            <w:r>
              <w:rPr>
                <w:rFonts w:ascii="Times New Roman" w:hAnsi="Times New Roman"/>
                <w:sz w:val="18"/>
              </w:rPr>
              <w:t>65% decline in false positive merchant drops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-$145,000</w:t>
            </w:r>
          </w:p>
        </w:tc>
        <w:tc>
          <w:tcPr>
            <w:tcW w:type="dxa" w:w="1296"/>
            <w:tcMar>
              <w:top w:w="35" w:type="dxa"/>
              <w:bottom w:w="35" w:type="dxa"/>
              <w:left w:w="65" w:type="dxa"/>
              <w:right w:w="65" w:type="dxa"/>
            </w:tcMar>
          </w:tcPr>
          <w:p>
            <w:pPr>
              <w:spacing w:before="10" w:after="10" w:line="240" w:lineRule="auto"/>
            </w:pPr>
            <w:r>
              <w:rPr>
                <w:rFonts w:ascii="Times New Roman" w:hAnsi="Times New Roman"/>
                <w:sz w:val="18"/>
              </w:rPr>
              <w:t>Annual Savings</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SOC Forensic Investigation Labor</w:t>
            </w:r>
          </w:p>
        </w:tc>
        <w:tc>
          <w:tcPr>
            <w:tcW w:type="dxa" w:w="3744"/>
            <w:tcMar>
              <w:top w:w="35" w:type="dxa"/>
              <w:bottom w:w="35" w:type="dxa"/>
              <w:left w:w="65" w:type="dxa"/>
              <w:right w:w="65" w:type="dxa"/>
            </w:tcMar>
          </w:tcPr>
          <w:p>
            <w:pPr>
              <w:spacing w:before="10" w:after="10" w:line="240" w:lineRule="auto"/>
            </w:pPr>
            <w:r>
              <w:rPr>
                <w:rFonts w:ascii="Times New Roman" w:hAnsi="Times New Roman"/>
                <w:sz w:val="18"/>
              </w:rPr>
              <w:t>Triage reduced from 35 mins to under 3 mins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-$82,000</w:t>
            </w:r>
          </w:p>
        </w:tc>
        <w:tc>
          <w:tcPr>
            <w:tcW w:type="dxa" w:w="1296"/>
            <w:tcMar>
              <w:top w:w="35" w:type="dxa"/>
              <w:bottom w:w="35" w:type="dxa"/>
              <w:left w:w="65" w:type="dxa"/>
              <w:right w:w="65" w:type="dxa"/>
            </w:tcMar>
          </w:tcPr>
          <w:p>
            <w:pPr>
              <w:spacing w:before="10" w:after="10" w:line="240" w:lineRule="auto"/>
            </w:pPr>
            <w:r>
              <w:rPr>
                <w:rFonts w:ascii="Times New Roman" w:hAnsi="Times New Roman"/>
                <w:sz w:val="18"/>
              </w:rPr>
              <w:t>Annual Savings</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Direct Fraud Capital Preservation</w:t>
            </w:r>
          </w:p>
        </w:tc>
        <w:tc>
          <w:tcPr>
            <w:tcW w:type="dxa" w:w="3744"/>
            <w:tcMar>
              <w:top w:w="35" w:type="dxa"/>
              <w:bottom w:w="35" w:type="dxa"/>
              <w:left w:w="65" w:type="dxa"/>
              <w:right w:w="65" w:type="dxa"/>
            </w:tcMar>
          </w:tcPr>
          <w:p>
            <w:pPr>
              <w:spacing w:before="10" w:after="10" w:line="240" w:lineRule="auto"/>
            </w:pPr>
            <w:r>
              <w:rPr>
                <w:rFonts w:ascii="Times New Roman" w:hAnsi="Times New Roman"/>
                <w:sz w:val="18"/>
              </w:rPr>
              <w:t>100% fraud capture with zero false negatives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-$310,000</w:t>
            </w:r>
          </w:p>
        </w:tc>
        <w:tc>
          <w:tcPr>
            <w:tcW w:type="dxa" w:w="1296"/>
            <w:tcMar>
              <w:top w:w="35" w:type="dxa"/>
              <w:bottom w:w="35" w:type="dxa"/>
              <w:left w:w="65" w:type="dxa"/>
              <w:right w:w="65" w:type="dxa"/>
            </w:tcMar>
          </w:tcPr>
          <w:p>
            <w:pPr>
              <w:spacing w:before="10" w:after="10" w:line="240" w:lineRule="auto"/>
            </w:pPr>
            <w:r>
              <w:rPr>
                <w:rFonts w:ascii="Times New Roman" w:hAnsi="Times New Roman"/>
                <w:sz w:val="18"/>
              </w:rPr>
              <w:t>Annual Savings</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Net Projected Financial Impact</w:t>
            </w:r>
          </w:p>
        </w:tc>
        <w:tc>
          <w:tcPr>
            <w:tcW w:type="dxa" w:w="3744"/>
            <w:tcMar>
              <w:top w:w="35" w:type="dxa"/>
              <w:bottom w:w="35" w:type="dxa"/>
              <w:left w:w="65" w:type="dxa"/>
              <w:right w:w="65" w:type="dxa"/>
            </w:tcMar>
          </w:tcPr>
          <w:p>
            <w:pPr>
              <w:spacing w:before="10" w:after="10" w:line="240" w:lineRule="auto"/>
            </w:pPr>
            <w:r>
              <w:rPr>
                <w:rFonts w:ascii="Times New Roman" w:hAnsi="Times New Roman"/>
                <w:sz w:val="18"/>
              </w:rPr>
              <w:t>Positive Net Financial Benefit to Institution</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+$523,560</w:t>
            </w:r>
          </w:p>
        </w:tc>
        <w:tc>
          <w:tcPr>
            <w:tcW w:type="dxa" w:w="1296"/>
            <w:tcMar>
              <w:top w:w="35" w:type="dxa"/>
              <w:bottom w:w="35" w:type="dxa"/>
              <w:left w:w="65" w:type="dxa"/>
              <w:right w:w="65" w:type="dxa"/>
            </w:tcMar>
          </w:tcPr>
          <w:p>
            <w:pPr>
              <w:spacing w:before="10" w:after="10" w:line="240" w:lineRule="auto"/>
            </w:pPr>
            <w:r>
              <w:rPr>
                <w:rFonts w:ascii="Times New Roman" w:hAnsi="Times New Roman"/>
                <w:sz w:val="18"/>
              </w:rPr>
              <w:t>Net Annual ROI</w:t>
            </w:r>
          </w:p>
        </w:tc>
      </w:tr>
    </w:tbl>
    <w:p>
      <w:r>
        <w:br w:type="page"/>
      </w:r>
    </w:p>
    <w:p>
      <w:pPr>
        <w:keepNext/>
        <w:spacing w:before="400" w:after="280" w:line="307" w:lineRule="auto"/>
        <w:jc w:val="center"/>
      </w:pPr>
      <w:r>
        <w:rPr>
          <w:rFonts w:ascii="Times New Roman" w:hAnsi="Times New Roman"/>
          <w:b/>
          <w:sz w:val="32"/>
        </w:rPr>
        <w:t>CHAPTER 4</w:t>
        <w:br/>
        <w:t>SYSTEM REQUIREMENTS</w:t>
      </w:r>
    </w:p>
    <w:p>
      <w:pPr>
        <w:keepNext/>
        <w:spacing w:before="280" w:after="100" w:line="307" w:lineRule="auto"/>
        <w:jc w:val="left"/>
      </w:pPr>
      <w:r>
        <w:rPr>
          <w:rFonts w:ascii="Times New Roman" w:hAnsi="Times New Roman"/>
          <w:b/>
          <w:sz w:val="27"/>
        </w:rPr>
        <w:t>4.1 HARDWARE REQUIREMENTS</w:t>
      </w:r>
    </w:p>
    <w:p>
      <w:pPr>
        <w:spacing w:before="0" w:after="50" w:line="307" w:lineRule="auto"/>
        <w:jc w:val="both"/>
      </w:pPr>
      <w:r>
        <w:rPr>
          <w:rFonts w:ascii="Times New Roman" w:hAnsi="Times New Roman"/>
          <w:sz w:val="24"/>
        </w:rPr>
        <w:t>The hardware infrastructure supporting FraudLens AI is designed to support both local development/evaluation and high-throughput production deployment. Table 4.1 specifies the minimum, recommended development, and production server hardware configurations.</w:t>
      </w:r>
    </w:p>
    <w:p>
      <w:pPr>
        <w:keepNext/>
        <w:spacing w:before="280" w:after="100" w:line="307" w:lineRule="auto"/>
        <w:jc w:val="left"/>
      </w:pPr>
      <w:r>
        <w:rPr>
          <w:rFonts w:ascii="Times New Roman" w:hAnsi="Times New Roman"/>
          <w:b/>
          <w:sz w:val="27"/>
        </w:rPr>
        <w:t>4.2 SOFTWARE REQUIREMENTS</w:t>
      </w:r>
    </w:p>
    <w:p>
      <w:pPr>
        <w:spacing w:before="0" w:after="50" w:line="307" w:lineRule="auto"/>
        <w:jc w:val="both"/>
      </w:pPr>
      <w:r>
        <w:rPr>
          <w:rFonts w:ascii="Times New Roman" w:hAnsi="Times New Roman"/>
          <w:sz w:val="24"/>
        </w:rPr>
        <w:t>FraudLens AI utilizes a robust, modern software stack spanning Python backend services, machine learning compilation toolchains, relational databases, and a modern single-page frontend. Table 4.2 details the complete software environment and library dependencies.</w:t>
      </w:r>
    </w:p>
    <w:p>
      <w:pPr>
        <w:keepNext/>
        <w:spacing w:before="200" w:after="60"/>
        <w:jc w:val="left"/>
      </w:pPr>
      <w:r>
        <w:rPr>
          <w:rFonts w:ascii="Times New Roman" w:hAnsi="Times New Roman"/>
          <w:b/>
          <w:sz w:val="21"/>
        </w:rPr>
        <w:t>Table 4.1: Minimum &amp; Recommended Hardware Infrastructure Specifications</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2257"/>
        <w:gridCol w:w="2257"/>
        <w:gridCol w:w="2257"/>
        <w:gridCol w:w="2257"/>
      </w:tblGrid>
      <w:tr>
        <w:trPr>
          <w:tblHeader/>
        </w:trPr>
        <w:tc>
          <w:tcPr>
            <w:tcW w:type="dxa" w:w="2160"/>
            <w:shd w:fill="F1F5F9"/>
            <w:tcMar>
              <w:top w:w="70" w:type="dxa"/>
              <w:bottom w:w="70" w:type="dxa"/>
              <w:left w:w="90" w:type="dxa"/>
              <w:right w:w="90" w:type="dxa"/>
            </w:tcMar>
          </w:tcPr>
          <w:p>
            <w:pPr>
              <w:spacing w:before="20" w:after="20"/>
              <w:jc w:val="center"/>
            </w:pPr>
            <w:r>
              <w:rPr>
                <w:rFonts w:ascii="Times New Roman" w:hAnsi="Times New Roman"/>
                <w:b/>
                <w:color w:val="0F172A"/>
                <w:sz w:val="19"/>
              </w:rPr>
              <w:t>Hardware Component</w:t>
            </w:r>
          </w:p>
        </w:tc>
        <w:tc>
          <w:tcPr>
            <w:tcW w:type="dxa" w:w="2304"/>
            <w:shd w:fill="F1F5F9"/>
            <w:tcMar>
              <w:top w:w="70" w:type="dxa"/>
              <w:bottom w:w="70" w:type="dxa"/>
              <w:left w:w="90" w:type="dxa"/>
              <w:right w:w="90" w:type="dxa"/>
            </w:tcMar>
          </w:tcPr>
          <w:p>
            <w:pPr>
              <w:spacing w:before="20" w:after="20"/>
              <w:jc w:val="center"/>
            </w:pPr>
            <w:r>
              <w:rPr>
                <w:rFonts w:ascii="Times New Roman" w:hAnsi="Times New Roman"/>
                <w:b/>
                <w:color w:val="0F172A"/>
                <w:sz w:val="19"/>
              </w:rPr>
              <w:t>Minimum Specification</w:t>
            </w:r>
          </w:p>
        </w:tc>
        <w:tc>
          <w:tcPr>
            <w:tcW w:type="dxa" w:w="2304"/>
            <w:shd w:fill="F1F5F9"/>
            <w:tcMar>
              <w:top w:w="70" w:type="dxa"/>
              <w:bottom w:w="70" w:type="dxa"/>
              <w:left w:w="90" w:type="dxa"/>
              <w:right w:w="90" w:type="dxa"/>
            </w:tcMar>
          </w:tcPr>
          <w:p>
            <w:pPr>
              <w:spacing w:before="20" w:after="20"/>
              <w:jc w:val="center"/>
            </w:pPr>
            <w:r>
              <w:rPr>
                <w:rFonts w:ascii="Times New Roman" w:hAnsi="Times New Roman"/>
                <w:b/>
                <w:color w:val="0F172A"/>
                <w:sz w:val="19"/>
              </w:rPr>
              <w:t>Recommended Development</w:t>
            </w:r>
          </w:p>
        </w:tc>
        <w:tc>
          <w:tcPr>
            <w:tcW w:type="dxa" w:w="2592"/>
            <w:shd w:fill="F1F5F9"/>
            <w:tcMar>
              <w:top w:w="70" w:type="dxa"/>
              <w:bottom w:w="70" w:type="dxa"/>
              <w:left w:w="90" w:type="dxa"/>
              <w:right w:w="90" w:type="dxa"/>
            </w:tcMar>
          </w:tcPr>
          <w:p>
            <w:pPr>
              <w:spacing w:before="20" w:after="20"/>
              <w:jc w:val="center"/>
            </w:pPr>
            <w:r>
              <w:rPr>
                <w:rFonts w:ascii="Times New Roman" w:hAnsi="Times New Roman"/>
                <w:b/>
                <w:color w:val="0F172A"/>
                <w:sz w:val="19"/>
              </w:rPr>
              <w:t>Production Deployment</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Processor (CPU)</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Quad-Core Intel i5 / AMD Ryzen 5 (2.5 GHz)</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8-Core Intel i7 / Xeon (3.6 GHz)</w:t>
            </w:r>
          </w:p>
        </w:tc>
        <w:tc>
          <w:tcPr>
            <w:tcW w:type="dxa" w:w="2592"/>
            <w:tcMar>
              <w:top w:w="35" w:type="dxa"/>
              <w:bottom w:w="35" w:type="dxa"/>
              <w:left w:w="65" w:type="dxa"/>
              <w:right w:w="65" w:type="dxa"/>
            </w:tcMar>
          </w:tcPr>
          <w:p>
            <w:pPr>
              <w:spacing w:before="10" w:after="10" w:line="240" w:lineRule="auto"/>
            </w:pPr>
            <w:r>
              <w:rPr>
                <w:rFonts w:ascii="Times New Roman" w:hAnsi="Times New Roman"/>
                <w:sz w:val="18"/>
              </w:rPr>
              <w:t>16-Core AMD EPYC / Intel Xeon Cloud Instance</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System Memory (RAM)</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8 GB DDR4</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16 GB DDR4 / DDR5</w:t>
            </w:r>
          </w:p>
        </w:tc>
        <w:tc>
          <w:tcPr>
            <w:tcW w:type="dxa" w:w="2592"/>
            <w:tcMar>
              <w:top w:w="35" w:type="dxa"/>
              <w:bottom w:w="35" w:type="dxa"/>
              <w:left w:w="65" w:type="dxa"/>
              <w:right w:w="65" w:type="dxa"/>
            </w:tcMar>
          </w:tcPr>
          <w:p>
            <w:pPr>
              <w:spacing w:before="10" w:after="10" w:line="240" w:lineRule="auto"/>
            </w:pPr>
            <w:r>
              <w:rPr>
                <w:rFonts w:ascii="Times New Roman" w:hAnsi="Times New Roman"/>
                <w:sz w:val="18"/>
              </w:rPr>
              <w:t>32 GB ECC DDR5</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Storage Drive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256 GB SATA SSD</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512 GB NVMe M.2 SSD</w:t>
            </w:r>
          </w:p>
        </w:tc>
        <w:tc>
          <w:tcPr>
            <w:tcW w:type="dxa" w:w="2592"/>
            <w:tcMar>
              <w:top w:w="35" w:type="dxa"/>
              <w:bottom w:w="35" w:type="dxa"/>
              <w:left w:w="65" w:type="dxa"/>
              <w:right w:w="65" w:type="dxa"/>
            </w:tcMar>
          </w:tcPr>
          <w:p>
            <w:pPr>
              <w:spacing w:before="10" w:after="10" w:line="240" w:lineRule="auto"/>
            </w:pPr>
            <w:r>
              <w:rPr>
                <w:rFonts w:ascii="Times New Roman" w:hAnsi="Times New Roman"/>
                <w:sz w:val="18"/>
              </w:rPr>
              <w:t>1 TB Enterprise NVMe (RAID 10)</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Network Interface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100 Mbps Ethernet / Wi-Fi</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1 Gbps Gigabit Ethernet</w:t>
            </w:r>
          </w:p>
        </w:tc>
        <w:tc>
          <w:tcPr>
            <w:tcW w:type="dxa" w:w="2592"/>
            <w:tcMar>
              <w:top w:w="35" w:type="dxa"/>
              <w:bottom w:w="35" w:type="dxa"/>
              <w:left w:w="65" w:type="dxa"/>
              <w:right w:w="65" w:type="dxa"/>
            </w:tcMar>
          </w:tcPr>
          <w:p>
            <w:pPr>
              <w:spacing w:before="10" w:after="10" w:line="240" w:lineRule="auto"/>
            </w:pPr>
            <w:r>
              <w:rPr>
                <w:rFonts w:ascii="Times New Roman" w:hAnsi="Times New Roman"/>
                <w:sz w:val="18"/>
              </w:rPr>
              <w:t>10 Gbps Redundant Cloud NIC</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Display Resolution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1366 x 768 Standard</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1920 x 1080 Full HD</w:t>
            </w:r>
          </w:p>
        </w:tc>
        <w:tc>
          <w:tcPr>
            <w:tcW w:type="dxa" w:w="2592"/>
            <w:tcMar>
              <w:top w:w="35" w:type="dxa"/>
              <w:bottom w:w="35" w:type="dxa"/>
              <w:left w:w="65" w:type="dxa"/>
              <w:right w:w="65" w:type="dxa"/>
            </w:tcMar>
          </w:tcPr>
          <w:p>
            <w:pPr>
              <w:spacing w:before="10" w:after="10" w:line="240" w:lineRule="auto"/>
            </w:pPr>
            <w:r>
              <w:rPr>
                <w:rFonts w:ascii="Times New Roman" w:hAnsi="Times New Roman"/>
                <w:sz w:val="18"/>
              </w:rPr>
              <w:t>Headless Server / 4K SOC Monitor</w:t>
            </w:r>
          </w:p>
        </w:tc>
      </w:tr>
    </w:tbl>
    <w:p>
      <w:pPr>
        <w:keepNext/>
        <w:spacing w:before="200" w:after="60"/>
        <w:jc w:val="left"/>
      </w:pPr>
      <w:r>
        <w:rPr>
          <w:rFonts w:ascii="Times New Roman" w:hAnsi="Times New Roman"/>
          <w:b/>
          <w:sz w:val="21"/>
        </w:rPr>
        <w:t>Table 4.2: Production Software Environment &amp; Library Dependencies</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3010"/>
        <w:gridCol w:w="3010"/>
        <w:gridCol w:w="3010"/>
      </w:tblGrid>
      <w:tr>
        <w:trPr>
          <w:tblHeader/>
        </w:trPr>
        <w:tc>
          <w:tcPr>
            <w:tcW w:type="dxa" w:w="2592"/>
            <w:shd w:fill="F1F5F9"/>
            <w:tcMar>
              <w:top w:w="70" w:type="dxa"/>
              <w:bottom w:w="70" w:type="dxa"/>
              <w:left w:w="90" w:type="dxa"/>
              <w:right w:w="90" w:type="dxa"/>
            </w:tcMar>
          </w:tcPr>
          <w:p>
            <w:pPr>
              <w:spacing w:before="20" w:after="20"/>
              <w:jc w:val="center"/>
            </w:pPr>
            <w:r>
              <w:rPr>
                <w:rFonts w:ascii="Times New Roman" w:hAnsi="Times New Roman"/>
                <w:b/>
                <w:color w:val="0F172A"/>
                <w:sz w:val="19"/>
              </w:rPr>
              <w:t>Software Component</w:t>
            </w:r>
          </w:p>
        </w:tc>
        <w:tc>
          <w:tcPr>
            <w:tcW w:type="dxa" w:w="3888"/>
            <w:shd w:fill="F1F5F9"/>
            <w:tcMar>
              <w:top w:w="70" w:type="dxa"/>
              <w:bottom w:w="70" w:type="dxa"/>
              <w:left w:w="90" w:type="dxa"/>
              <w:right w:w="90" w:type="dxa"/>
            </w:tcMar>
          </w:tcPr>
          <w:p>
            <w:pPr>
              <w:spacing w:before="20" w:after="20"/>
              <w:jc w:val="center"/>
            </w:pPr>
            <w:r>
              <w:rPr>
                <w:rFonts w:ascii="Times New Roman" w:hAnsi="Times New Roman"/>
                <w:b/>
                <w:color w:val="0F172A"/>
                <w:sz w:val="19"/>
              </w:rPr>
              <w:t>Version / Specification</w:t>
            </w:r>
          </w:p>
        </w:tc>
        <w:tc>
          <w:tcPr>
            <w:tcW w:type="dxa" w:w="2880"/>
            <w:shd w:fill="F1F5F9"/>
            <w:tcMar>
              <w:top w:w="70" w:type="dxa"/>
              <w:bottom w:w="70" w:type="dxa"/>
              <w:left w:w="90" w:type="dxa"/>
              <w:right w:w="90" w:type="dxa"/>
            </w:tcMar>
          </w:tcPr>
          <w:p>
            <w:pPr>
              <w:spacing w:before="20" w:after="20"/>
              <w:jc w:val="center"/>
            </w:pPr>
            <w:r>
              <w:rPr>
                <w:rFonts w:ascii="Times New Roman" w:hAnsi="Times New Roman"/>
                <w:b/>
                <w:color w:val="0F172A"/>
                <w:sz w:val="19"/>
              </w:rPr>
              <w:t>Operational Role</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Operating System</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Microsoft Windows 11 (x64) / Ubuntu 22.04 LTS Linux</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Core execution environment</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Backend Runtime</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Python 3.11 / Python 3.14 (CPython)</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High-performance language runtime</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Web REST Framework</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FastAPI v0.115+ (Starlette + Pydantic v2)</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Asynchronous microservices API framework</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ASGI Application Server</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Uvicorn v0.30+ with uvloop</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Ultra-fast asynchronous server gateway</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Machine Learning Core</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Scikit-Learn v1.5+, XGBoost v2.1+, Joblib v1.4+</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Model training, calibration, serialization</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Explainable AI (XAI)</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SHAP v0.46+ (TreeSHAP &amp; LinearSHAP)</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Game-theoretic local &amp; global feature attribution</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Relational Database</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SQLite 3 (WAL Mode) / PostgreSQL 15+</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ACID transactional relational persistence</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Object Relational Mapper</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SQLAlchemy v2.0+</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Type-safe database abstraction layer</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Authentication / Security</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OAuth2 Password Bearer, PyJWT, Passlib (Bcrypt)</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Cryptographic token signing and password hashing</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Frontend Single Page App</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React 18, Vite, Vanilla CSS, Lucide Icons</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Reactive dark fintech cyber-surveillance UI</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Testing &amp; Benchmarking</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Pytest v8.3+, HTTPX, AnyIO, Locust</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Unit, integration, and load testing suite</w:t>
            </w:r>
          </w:p>
        </w:tc>
      </w:tr>
    </w:tbl>
    <w:p>
      <w:r>
        <w:br w:type="page"/>
      </w:r>
    </w:p>
    <w:p>
      <w:pPr>
        <w:keepNext/>
        <w:spacing w:before="400" w:after="280" w:line="307" w:lineRule="auto"/>
        <w:jc w:val="center"/>
      </w:pPr>
      <w:r>
        <w:rPr>
          <w:rFonts w:ascii="Times New Roman" w:hAnsi="Times New Roman"/>
          <w:b/>
          <w:sz w:val="32"/>
        </w:rPr>
        <w:t>CHAPTER 5</w:t>
        <w:br/>
        <w:t>SYSTEM DESIGN</w:t>
      </w:r>
    </w:p>
    <w:p>
      <w:pPr>
        <w:keepNext/>
        <w:spacing w:before="280" w:after="100" w:line="307" w:lineRule="auto"/>
        <w:jc w:val="left"/>
      </w:pPr>
      <w:r>
        <w:rPr>
          <w:rFonts w:ascii="Times New Roman" w:hAnsi="Times New Roman"/>
          <w:b/>
          <w:sz w:val="27"/>
        </w:rPr>
        <w:t>5.1 SYSTEM ARCHITECTURE</w:t>
      </w:r>
    </w:p>
    <w:p>
      <w:pPr>
        <w:spacing w:before="0" w:after="50" w:line="307" w:lineRule="auto"/>
        <w:jc w:val="both"/>
      </w:pPr>
      <w:r>
        <w:rPr>
          <w:rFonts w:ascii="Times New Roman" w:hAnsi="Times New Roman"/>
          <w:sz w:val="24"/>
        </w:rPr>
        <w:t>The architectural topology of FraudLens AI is organized as an enterprise-grade, multi-tier decoupled system engineered for ultra-low latency pre-authorization decisioning, mathematical explainability, robust multi-tenant data isolation, and comprehensive forensic intelligence. As illustrated in Figure 5.1, the system is structured into five distinct, cooperating tiers:</w:t>
      </w:r>
    </w:p>
    <w:p>
      <w:pPr>
        <w:spacing w:before="0" w:after="50" w:line="307" w:lineRule="auto"/>
        <w:jc w:val="both"/>
      </w:pPr>
      <w:r>
        <w:rPr>
          <w:rFonts w:ascii="Times New Roman" w:hAnsi="Times New Roman"/>
          <w:sz w:val="24"/>
        </w:rPr>
        <w:t>1. Client Presentation Tier:</w:t>
        <w:br/>
        <w:t xml:space="preserve">   The client layer is implemented as an interactive, highly responsive Single Page Application (SPA) built on React 18, Vite, and modern styling tokens. It serves three distinct operational personas:</w:t>
        <w:br/>
        <w:t xml:space="preserve">   • Cardholder &amp; Customer Space: Provides instant pre-authorization payment simulation, personal wallet balance tracking, self-ledger inspection, and the realistic smartphone SMS OTP verification modal.</w:t>
        <w:br/>
        <w:t xml:space="preserve">   • Fraud Investigator Command Center: Features real-time streaming transaction radars, live risk telemetry, multi-merchant risk surveillance grids, horizontal TreeSHAP waterfall attribution visualizers, and the AI Forensic Copilot interface.</w:t>
        <w:br/>
        <w:t xml:space="preserve">   • Security Administrator Console: Enables machine learning model registry management, candidate model tournament benchmarking, dataset schema health auditing, and immutable audit log inspection.</w:t>
        <w:br/>
        <w:t xml:space="preserve">   The presentation tier communicates with the backend via secure HTTPS REST APIs for transactional operations and persistent full-duplex WebSocket connections for sub-second telemetry broadcasting.</w:t>
      </w:r>
    </w:p>
    <w:p>
      <w:pPr>
        <w:spacing w:before="0" w:after="50" w:line="307" w:lineRule="auto"/>
        <w:jc w:val="both"/>
      </w:pPr>
      <w:r>
        <w:rPr>
          <w:rFonts w:ascii="Times New Roman" w:hAnsi="Times New Roman"/>
          <w:sz w:val="24"/>
        </w:rPr>
        <w:t>2. API Gateway &amp; Security Tier:</w:t>
        <w:br/>
        <w:t xml:space="preserve">   The entry portal is governed by a high-performance FastAPI asynchronous gateway powered by Uvicorn ASGI workers. Key components include:</w:t>
        <w:br/>
        <w:t xml:space="preserve">   • Authentication &amp; RBAC Engine: Implements OAuth2 Password Bearer authentication with cryptographically signed JSON Web Tokens (JWT). The system strictly enforces role-based access control (CUSTOMER, FRAUD_INVESTIGATOR, ADMIN), guaranteeing that customers can never access merchant fleet intelligence or cross-customer records.</w:t>
        <w:br/>
        <w:t xml:space="preserve">   • Idempotency &amp; Replay Protection: Employs SHA-256 request payload fingerprinting and unique idempotency keys to intercept duplicate network transmissions, preventing double-debiting during mobile network retry spikes.</w:t>
        <w:br/>
        <w:t xml:space="preserve">   • Compression &amp; Rate Limiting: GZip middleware compresses responses exceeding 1KB, optimizing bandwidth across mobile connections.</w:t>
      </w:r>
    </w:p>
    <w:p>
      <w:pPr>
        <w:spacing w:before="0" w:after="50" w:line="307" w:lineRule="auto"/>
        <w:jc w:val="both"/>
      </w:pPr>
      <w:r>
        <w:rPr>
          <w:rFonts w:ascii="Times New Roman" w:hAnsi="Times New Roman"/>
          <w:sz w:val="24"/>
        </w:rPr>
        <w:t>3. Pre-Authorization &amp; Risk Orchestration Tier:</w:t>
        <w:br/>
        <w:t xml:space="preserve">   Serving as the authoritative gatekeeper, the RiskDecisionOrchestrator coordinates end-to-end payment processing:</w:t>
        <w:br/>
        <w:t xml:space="preserve">   • Customer Balance Verification: Validates simulated account balances prior to authorization, halting requests with insufficient funds.</w:t>
        <w:br/>
        <w:t xml:space="preserve">   • Behavioral Profiling Service: Reconstructs 30-day customer expenditure averages, immediate prior transaction amounts, 1-hour and 24-hour transaction velocities, and novel hardware/beneficiary signatures.</w:t>
        <w:br/>
        <w:t xml:space="preserve">   • Centralized Rule Engine: Evaluates deterministic boundary heuristics (such as hard velocity blocks and known fraud ring links).</w:t>
        <w:br/>
        <w:t xml:space="preserve">   • Deterministic Multi-Factor Risk Scorer: Combines model probability and behavioral signals into an integer score [0, 100].</w:t>
        <w:br/>
        <w:t xml:space="preserve">   • Decision Gatekeeper: Dispatches transactions to ALLOW (0–30), REVIEW (31–70 or rapid velocity trigger), or BLOCK (71–100).</w:t>
      </w:r>
    </w:p>
    <w:p>
      <w:pPr>
        <w:spacing w:before="0" w:after="50" w:line="307" w:lineRule="auto"/>
        <w:jc w:val="both"/>
      </w:pPr>
      <w:r>
        <w:rPr>
          <w:rFonts w:ascii="Times New Roman" w:hAnsi="Times New Roman"/>
          <w:sz w:val="24"/>
        </w:rPr>
        <w:t>4. Machine Learning &amp; Explainable AI (XAI) Subsystem:</w:t>
        <w:br/>
        <w:t xml:space="preserve">   • Preprocessing &amp; Feature Registry: The FullFraudPreprocessor applies median imputation, StandardScaler normalization, and OneHotEncoder transformations across 63 derived features, with strict target leakage prevention.</w:t>
        <w:br/>
        <w:t xml:space="preserve">   • Candidate Model Registry: Caches serialized model artifacts (.joblib) for regularized Logistic Regression, Random Forest, XGBoost, and the Soft-Voting Stacking Ensemble.</w:t>
        <w:br/>
        <w:t xml:space="preserve">   • TreeSHAP Explainer: Computes exact Shapley feature attributions within 1.1ms, identifying the top risk-increasing and risk-decreasing factors.</w:t>
        <w:br/>
        <w:t xml:space="preserve">   • Counterfactual Engine &amp; Anomaly Scorer: Provides "what-if" counterfactual perturbations and Isolation Forest unsupervised anomaly scores.</w:t>
      </w:r>
    </w:p>
    <w:p>
      <w:pPr>
        <w:spacing w:before="0" w:after="50" w:line="307" w:lineRule="auto"/>
        <w:jc w:val="both"/>
      </w:pPr>
      <w:r>
        <w:rPr>
          <w:rFonts w:ascii="Times New Roman" w:hAnsi="Times New Roman"/>
          <w:sz w:val="24"/>
        </w:rPr>
        <w:t>5. Data Persistence &amp; GenAI Service Fabric:</w:t>
        <w:br/>
        <w:t xml:space="preserve">   • Relational Persistence: An optimized SQLite database (with WAL mode enabled) managing 20 relational entities through SQLAlchemy ORM.</w:t>
        <w:br/>
        <w:t xml:space="preserve">   • Cryptographic Audit Ledger: Records immutable chronological entries for every authentication, scoring, and administrative action.</w:t>
        <w:br/>
        <w:t xml:space="preserve">   • GenAI Forensic Copilot: Powered by Google Gemini 1.5 Pro and xAI Grok-2, generating narrative case dossiers, visual attack flow diagrams, and regulatory SAR drafts.</w:t>
      </w:r>
    </w:p>
    <w:p>
      <w:pPr>
        <w:keepNext/>
        <w:spacing w:before="280" w:after="100" w:line="307" w:lineRule="auto"/>
        <w:jc w:val="left"/>
      </w:pPr>
      <w:r>
        <w:rPr>
          <w:rFonts w:ascii="Times New Roman" w:hAnsi="Times New Roman"/>
          <w:b/>
          <w:sz w:val="27"/>
        </w:rPr>
        <w:t>5.2 CLASS DIAGRAM</w:t>
      </w:r>
    </w:p>
    <w:p>
      <w:pPr>
        <w:spacing w:before="0" w:after="50" w:line="307" w:lineRule="auto"/>
        <w:jc w:val="both"/>
      </w:pPr>
      <w:r>
        <w:rPr>
          <w:rFonts w:ascii="Times New Roman" w:hAnsi="Times New Roman"/>
          <w:sz w:val="24"/>
        </w:rPr>
        <w:t>The static structural composition of FraudLens AI is represented in the UML Class Diagram shown in Figure 5.2. The core domain entities and their structural relationships are defined as follows:</w:t>
      </w:r>
    </w:p>
    <w:p>
      <w:pPr>
        <w:spacing w:before="0" w:after="50" w:line="307" w:lineRule="auto"/>
        <w:jc w:val="both"/>
      </w:pPr>
      <w:r>
        <w:rPr>
          <w:rFonts w:ascii="Times New Roman" w:hAnsi="Times New Roman"/>
          <w:sz w:val="24"/>
        </w:rPr>
        <w:t>• User: Encapsulates authentication credentials (password_hash), assigned security role (admin, investigator, analyst, customer), account status, and tier. Maintains a 1-to-many relationship with AuditLog and Investigation entities.</w:t>
        <w:br/>
        <w:t>• Customer: Represents individual cardholder accounts, encapsulating account_age_days, simulated_balance, currency, risk_segment, and KYC registration metadata. Maintains a 1-to-many relationship with Transaction, CustomerDevice, and Beneficiary entities.</w:t>
        <w:br/>
        <w:t>• Merchant: Stores commercial partner profiles across the 29 Master Merchants, including category, subcategory, average_ticket size, operating hours, geolocation coordinates, and historical_fraud_rate baselines.</w:t>
        <w:br/>
        <w:t>• Transaction: The central transactional entity recording transaction_id, monetary amount, currency, timestamp, device_id, geolocation region, model-derived fraud_probability, deterministic risk_score, risk_level, status, and ground-truth is_fraud labels. Maintains foreign key links to Customer and Merchant.</w:t>
        <w:br/>
        <w:t>• TransactionApproval: Manages the lifecycle of step-up verification challenges, storing payment_id, customer_id, challenge_type (SMS_OTP), verification_token (cryptographic OTP hash), risk_score, approval status (PENDING, APPROVED, REJECTED), and expiration timestamps.</w:t>
        <w:br/>
        <w:t>• Investigation: Represents forensic case dockets opened for high-risk or flagged review transactions, tracking case_id, transaction_id, assigned investigator_id, case status (open, under_review, closed), formal decision, and investigative notes.</w:t>
        <w:br/>
        <w:t>• ShapExplanation: Stores exact local feature attributions, recording transaction_id, model_version, base_value, feature_names_json, feature_values_json, and shap_values_json.</w:t>
      </w:r>
    </w:p>
    <w:p>
      <w:pPr>
        <w:keepNext/>
        <w:spacing w:before="280" w:after="100" w:line="307" w:lineRule="auto"/>
        <w:jc w:val="left"/>
      </w:pPr>
      <w:r>
        <w:rPr>
          <w:rFonts w:ascii="Times New Roman" w:hAnsi="Times New Roman"/>
          <w:b/>
          <w:sz w:val="27"/>
        </w:rPr>
        <w:t>5.3 USE CASE DIAGRAM</w:t>
      </w:r>
    </w:p>
    <w:p>
      <w:pPr>
        <w:spacing w:before="0" w:after="50" w:line="307" w:lineRule="auto"/>
        <w:jc w:val="both"/>
      </w:pPr>
      <w:r>
        <w:rPr>
          <w:rFonts w:ascii="Times New Roman" w:hAnsi="Times New Roman"/>
          <w:sz w:val="24"/>
        </w:rPr>
        <w:t>Figure 5.3 delineates the functional interactions between external human actors and the FraudLens AI system:</w:t>
      </w:r>
    </w:p>
    <w:p>
      <w:pPr>
        <w:spacing w:before="0" w:after="50" w:line="307" w:lineRule="auto"/>
        <w:jc w:val="both"/>
      </w:pPr>
      <w:r>
        <w:rPr>
          <w:rFonts w:ascii="Times New Roman" w:hAnsi="Times New Roman"/>
          <w:sz w:val="24"/>
        </w:rPr>
        <w:t>• Cardholder / Customer Actor:</w:t>
        <w:br/>
        <w:t xml:space="preserve">  - Submits pre-authorization payment intents through the interactive payment portal.</w:t>
        <w:br/>
        <w:t xml:space="preserve">  - Receives simulated mobile SMS notifications containing cryptographic 6-digit OTP codes.</w:t>
        <w:br/>
        <w:t xml:space="preserve">  - Submits OTP tokens through the step-up verification modal to authorize held transactions.</w:t>
        <w:br/>
        <w:t xml:space="preserve">  - Accesses personal account ledgers and transaction history under strict tenant isolation.</w:t>
        <w:br/>
        <w:t>• Fraud Investigator Actor:</w:t>
        <w:br/>
        <w:t xml:space="preserve">  - Monitors real-time transaction telemetry and streaming fraud radars.</w:t>
        <w:br/>
        <w:t xml:space="preserve">  - Inspects flagged transactions, reviewing local TreeSHAP waterfall charts and feature attributions.</w:t>
        <w:br/>
        <w:t xml:space="preserve">  - Interacts with the AI Forensic Copilot (Gemini / Grok) to generate case dossiers and attack kill-chains.</w:t>
        <w:br/>
        <w:t xml:space="preserve">  - Adjudicates pending investigation cases, recording formal decisions (confirm fraud, dismiss, escalate).</w:t>
        <w:br/>
        <w:t xml:space="preserve">  - Drafts and exports regulatory Suspicious Activity Reports (SAR) for compliance filing.</w:t>
        <w:br/>
        <w:t>• Security Administrator Actor:</w:t>
        <w:br/>
        <w:t xml:space="preserve">  - Manages user accounts, assigns security roles, and controls RBAC permissions.</w:t>
        <w:br/>
        <w:t xml:space="preserve">  - Audits dataset schema integrity, verifying absence of synthetic target leakage.</w:t>
        <w:br/>
        <w:t xml:space="preserve">  - Conducts Model Lab tournament evaluations, comparing model metrics and promoting champion models.</w:t>
        <w:br/>
        <w:t xml:space="preserve">  - Reviews immutable system audit logs to verify administrative and operational compliance.</w:t>
      </w:r>
    </w:p>
    <w:p>
      <w:pPr>
        <w:keepNext/>
        <w:spacing w:before="280" w:after="100" w:line="307" w:lineRule="auto"/>
        <w:jc w:val="left"/>
      </w:pPr>
      <w:r>
        <w:rPr>
          <w:rFonts w:ascii="Times New Roman" w:hAnsi="Times New Roman"/>
          <w:b/>
          <w:sz w:val="27"/>
        </w:rPr>
        <w:t>5.4 FLOW DIAGRAM</w:t>
      </w:r>
    </w:p>
    <w:p>
      <w:pPr>
        <w:spacing w:before="0" w:after="50" w:line="307" w:lineRule="auto"/>
        <w:jc w:val="both"/>
      </w:pPr>
      <w:r>
        <w:rPr>
          <w:rFonts w:ascii="Times New Roman" w:hAnsi="Times New Roman"/>
          <w:sz w:val="24"/>
        </w:rPr>
        <w:t>The sequential procedural logic executed during payment authorization is illustrated in the System Flow Diagram in Figure 5.4:</w:t>
        <w:br/>
        <w:t>1. Transaction Initiation: The client submits a payment request containing amount, merchant, device, and channel parameters.</w:t>
        <w:br/>
        <w:t>2. Idempotency &amp; Balance Verification: The system verifies request fingerprints to prevent duplicate processing and validates that available wallet balance &gt;= transaction amount.</w:t>
        <w:br/>
        <w:t>3. Feature Engineering &amp; Preprocessing: Derives spending ratios, historical deviations, velocity counters, and cyclical temporal projections, fitting the 63-feature matrix.</w:t>
        <w:br/>
        <w:t>4. Model Inference &amp; SHAP Attribution: The active XGBoost champion model computes continuous fraud probability ($p$), while TreeSHAP computes exact local attributions.</w:t>
        <w:br/>
        <w:t>5. Deterministic Risk Scoring: Evaluates the 5 additive scoring dimensions, yielding an integer score [0, 100].</w:t>
        <w:br/>
        <w:t>6. Three-Tier Gatekeeper Decision:</w:t>
        <w:br/>
        <w:t xml:space="preserve">   • IF Risk Score &gt; 70 OR Hard Block Rule Triggered: Decision = BLOCK. Balance is frozen; transaction is halted; investigation case is opened.</w:t>
        <w:br/>
        <w:t xml:space="preserve">   • ELSE IF Risk Score &gt;= 31 OR Rapid Transaction Activity Triggered: Decision = REVIEW. Transaction is held; 6-digit SMS OTP is generated; phone modal is presented.</w:t>
        <w:br/>
        <w:t xml:space="preserve">   • ELSE: Decision = ALLOW. Frictionless authorization; wallet balance is deducted; transaction is marked SUCCEEDED.</w:t>
        <w:br/>
        <w:t>7. Cardholder OTP Response (for REVIEW):</w:t>
        <w:br/>
        <w:t xml:space="preserve">   • IF Valid Token Submitted Within 15 Mins: Status updates to AUTHORIZED; balance is deducted; ledger is committed.</w:t>
        <w:br/>
        <w:t xml:space="preserve">   • ELSE (Mismatch or Rejection): Account is locked; balance is preserved; forensic case is escalated.</w:t>
      </w:r>
    </w:p>
    <w:p>
      <w:pPr>
        <w:keepNext/>
        <w:spacing w:before="280" w:after="100" w:line="307" w:lineRule="auto"/>
        <w:jc w:val="left"/>
      </w:pPr>
      <w:r>
        <w:rPr>
          <w:rFonts w:ascii="Times New Roman" w:hAnsi="Times New Roman"/>
          <w:b/>
          <w:sz w:val="27"/>
        </w:rPr>
        <w:t>5.5 SEQUENCE DIAGRAM</w:t>
      </w:r>
    </w:p>
    <w:p>
      <w:pPr>
        <w:spacing w:before="0" w:after="50" w:line="307" w:lineRule="auto"/>
        <w:jc w:val="both"/>
      </w:pPr>
      <w:r>
        <w:rPr>
          <w:rFonts w:ascii="Times New Roman" w:hAnsi="Times New Roman"/>
          <w:sz w:val="24"/>
        </w:rPr>
        <w:t>Figure 5.5 presents the UML Sequence Diagram tracing the synchronous and asynchronous messaging exchanges across system components during a pre-authorization step-up challenge:</w:t>
        <w:br/>
        <w:t>• The Cardholder client submits a payment intent to FastAPI Gateway (1).</w:t>
        <w:br/>
        <w:t>• The Gateway delegates the request to RiskDecisionOrchestrator (2).</w:t>
        <w:br/>
        <w:t>• The Orchestrator queries Database/Ledger for customer balance, KYC tenure, and recent transaction velocity (3-4).</w:t>
        <w:br/>
        <w:t>• The Orchestrator passes normalized inputs to ML &amp; SHAP Core, which returns fraud probability ($p = 0.58$) and TreeSHAP attributions within 1.1ms (5-6).</w:t>
        <w:br/>
        <w:t>• The Orchestrator evaluates deterministic rules and computes a multi-factor risk score of 58/100 (MEDIUM RISK) (7).</w:t>
        <w:br/>
        <w:t>• The Orchestrator writes a PENDING_APPROVAL record and opens an Investigation case in Database (8).</w:t>
        <w:br/>
        <w:t>• The Orchestrator returns a REVIEW decision payload to the Gateway, which returns HTTP 200 with verification_required = True (9-10).</w:t>
        <w:br/>
        <w:t>• The client displays the realistic phone modal, and the cardholder submits the 6-digit OTP (11).</w:t>
        <w:br/>
        <w:t>• The Gateway passes the token to Orchestrator, which validates the cryptographic hash, deducts the simulated wallet balance, and updates status to AUTHORIZED (12-13).</w:t>
      </w:r>
    </w:p>
    <w:p>
      <w:pPr>
        <w:keepNext/>
        <w:spacing w:before="280" w:after="100" w:line="307" w:lineRule="auto"/>
        <w:jc w:val="left"/>
      </w:pPr>
      <w:r>
        <w:rPr>
          <w:rFonts w:ascii="Times New Roman" w:hAnsi="Times New Roman"/>
          <w:b/>
          <w:sz w:val="27"/>
        </w:rPr>
        <w:t>5.6 DATABASE DESIGN</w:t>
      </w:r>
    </w:p>
    <w:p>
      <w:pPr>
        <w:spacing w:before="0" w:after="50" w:line="307" w:lineRule="auto"/>
        <w:jc w:val="both"/>
      </w:pPr>
      <w:r>
        <w:rPr>
          <w:rFonts w:ascii="Times New Roman" w:hAnsi="Times New Roman"/>
          <w:sz w:val="24"/>
        </w:rPr>
        <w:t>The relational persistence tier of FraudLens AI is implemented on an optimized relational database schema comprising 20 specialized tables designed to support high-throughput transactional logging, state transitions, explainability caching, and forensic investigation tracking.</w:t>
      </w:r>
    </w:p>
    <w:p>
      <w:pPr>
        <w:keepNext/>
        <w:spacing w:before="200" w:after="60" w:line="307" w:lineRule="auto"/>
        <w:jc w:val="left"/>
      </w:pPr>
      <w:r>
        <w:rPr>
          <w:rFonts w:ascii="Times New Roman" w:hAnsi="Times New Roman"/>
          <w:b/>
          <w:sz w:val="24"/>
        </w:rPr>
        <w:t>5.6.1 Table Design</w:t>
      </w:r>
    </w:p>
    <w:p>
      <w:pPr>
        <w:spacing w:before="0" w:after="50" w:line="307" w:lineRule="auto"/>
        <w:jc w:val="both"/>
      </w:pPr>
      <w:r>
        <w:rPr>
          <w:rFonts w:ascii="Times New Roman" w:hAnsi="Times New Roman"/>
          <w:sz w:val="24"/>
        </w:rPr>
        <w:t>Table 5.1 details the schema specifications, column definitions, data types, primary/foreign key constraints, and operational descriptions for the primary entities in FraudLens AI.</w:t>
      </w:r>
    </w:p>
    <w:p>
      <w:pPr>
        <w:keepNext/>
        <w:spacing w:before="200" w:after="60" w:line="307" w:lineRule="auto"/>
        <w:jc w:val="left"/>
      </w:pPr>
      <w:r>
        <w:rPr>
          <w:rFonts w:ascii="Times New Roman" w:hAnsi="Times New Roman"/>
          <w:b/>
          <w:sz w:val="24"/>
        </w:rPr>
        <w:t>5.6.2 Entity-Relationship (ER) Diagram</w:t>
      </w:r>
    </w:p>
    <w:p>
      <w:pPr>
        <w:spacing w:before="0" w:after="50" w:line="307" w:lineRule="auto"/>
        <w:jc w:val="both"/>
      </w:pPr>
      <w:r>
        <w:rPr>
          <w:rFonts w:ascii="Times New Roman" w:hAnsi="Times New Roman"/>
          <w:sz w:val="24"/>
        </w:rPr>
        <w:t>Figure 5.6 illustrates the comprehensive Entity-Relationship Diagram for FraudLens AI, delineating primary-to-foreign key relationships, indexing strategies, and relational cardinalities between USERS, CUSTOMERS, MERCHANTS, TRANSACTIONS, INVESTIGATIONS, TRANSACTION_APPROVALS, SHAP_EXPLANATIONS, AUDIT_LOGS, and ALERTS.</w:t>
      </w:r>
    </w:p>
    <w:p>
      <w:pPr>
        <w:keepNext/>
        <w:spacing w:before="200" w:after="60" w:line="307" w:lineRule="auto"/>
        <w:jc w:val="left"/>
      </w:pPr>
      <w:r>
        <w:rPr>
          <w:rFonts w:ascii="Times New Roman" w:hAnsi="Times New Roman"/>
          <w:b/>
          <w:sz w:val="24"/>
        </w:rPr>
        <w:t>5.6.3 Data Flow Diagrams</w:t>
      </w:r>
    </w:p>
    <w:p>
      <w:pPr>
        <w:spacing w:before="0" w:after="50" w:line="307" w:lineRule="auto"/>
        <w:jc w:val="both"/>
      </w:pPr>
      <w:r>
        <w:rPr>
          <w:rFonts w:ascii="Times New Roman" w:hAnsi="Times New Roman"/>
          <w:sz w:val="24"/>
        </w:rPr>
        <w:t>The functional data transformation pathways within FraudLens AI are represented through multi-level Data Flow Diagrams:</w:t>
        <w:br/>
        <w:t>• DFD Level 0 (Context Diagram - Figure 5.7): Depicts the high-level boundary interactions between external entities (Cardholder, Merchant Terminal, Fraud Investigator, Security Administrator, Mobile SMS Gateway) and the central 0.0 FraudLens AI System Core.</w:t>
        <w:br/>
        <w:t>• DFD Level 1 (Process Decomposition - Figure 5.8): Decomposes system operations into six constituent processes: Process 1.0 (Idempotency &amp; Balance Verification), Process 2.0 (Behavioral Profiling &amp; Feature Pipeline), Process 3.0 (ML Inference &amp; TreeSHAP Attribution), Process 4.0 (Multi-Factor Risk Assessment), Process 5.0 (Pre-Authorization Gatekeeper &amp; Approval Lifecycle), and Process 6.0 (Case Creation &amp; GenAI Forensic Copilot), detailing interactions with data stores D1 through D6.</w:t>
      </w:r>
    </w:p>
    <w:p>
      <w:pPr>
        <w:keepNext/>
        <w:spacing w:before="160" w:after="40"/>
        <w:jc w:val="center"/>
      </w:pPr>
      <w:r>
        <w:drawing>
          <wp:inline xmlns:a="http://schemas.openxmlformats.org/drawingml/2006/main" xmlns:pic="http://schemas.openxmlformats.org/drawingml/2006/picture">
            <wp:extent cx="4297680" cy="2702261"/>
            <wp:docPr id="1" name="Picture 1"/>
            <wp:cNvGraphicFramePr>
              <a:graphicFrameLocks noChangeAspect="1"/>
            </wp:cNvGraphicFramePr>
            <a:graphic>
              <a:graphicData uri="http://schemas.openxmlformats.org/drawingml/2006/picture">
                <pic:pic>
                  <pic:nvPicPr>
                    <pic:cNvPr id="0" name="fig_5_1_system_architecture.png"/>
                    <pic:cNvPicPr/>
                  </pic:nvPicPr>
                  <pic:blipFill>
                    <a:blip r:embed="rId12"/>
                    <a:stretch>
                      <a:fillRect/>
                    </a:stretch>
                  </pic:blipFill>
                  <pic:spPr>
                    <a:xfrm>
                      <a:off x="0" y="0"/>
                      <a:ext cx="4297680" cy="2702261"/>
                    </a:xfrm>
                    <a:prstGeom prst="rect"/>
                  </pic:spPr>
                </pic:pic>
              </a:graphicData>
            </a:graphic>
          </wp:inline>
        </w:drawing>
      </w:r>
    </w:p>
    <w:p>
      <w:pPr>
        <w:keepNext/>
        <w:spacing w:before="40" w:after="200"/>
        <w:jc w:val="center"/>
      </w:pPr>
      <w:r>
        <w:rPr>
          <w:rFonts w:ascii="Times New Roman" w:hAnsi="Times New Roman"/>
          <w:b/>
          <w:sz w:val="20"/>
        </w:rPr>
        <w:t>Figure 5.1: FraudLens AI Multi-Tier System Architecture</w:t>
      </w:r>
    </w:p>
    <w:p>
      <w:pPr>
        <w:keepNext/>
        <w:spacing w:before="160" w:after="40"/>
        <w:jc w:val="center"/>
      </w:pPr>
      <w:r>
        <w:drawing>
          <wp:inline xmlns:a="http://schemas.openxmlformats.org/drawingml/2006/main" xmlns:pic="http://schemas.openxmlformats.org/drawingml/2006/picture">
            <wp:extent cx="4297680" cy="2942852"/>
            <wp:docPr id="2" name="Picture 2"/>
            <wp:cNvGraphicFramePr>
              <a:graphicFrameLocks noChangeAspect="1"/>
            </wp:cNvGraphicFramePr>
            <a:graphic>
              <a:graphicData uri="http://schemas.openxmlformats.org/drawingml/2006/picture">
                <pic:pic>
                  <pic:nvPicPr>
                    <pic:cNvPr id="0" name="fig_5_2_class_diagram.png"/>
                    <pic:cNvPicPr/>
                  </pic:nvPicPr>
                  <pic:blipFill>
                    <a:blip r:embed="rId13"/>
                    <a:stretch>
                      <a:fillRect/>
                    </a:stretch>
                  </pic:blipFill>
                  <pic:spPr>
                    <a:xfrm>
                      <a:off x="0" y="0"/>
                      <a:ext cx="4297680" cy="2942852"/>
                    </a:xfrm>
                    <a:prstGeom prst="rect"/>
                  </pic:spPr>
                </pic:pic>
              </a:graphicData>
            </a:graphic>
          </wp:inline>
        </w:drawing>
      </w:r>
    </w:p>
    <w:p>
      <w:pPr>
        <w:keepNext/>
        <w:spacing w:before="40" w:after="200"/>
        <w:jc w:val="center"/>
      </w:pPr>
      <w:r>
        <w:rPr>
          <w:rFonts w:ascii="Times New Roman" w:hAnsi="Times New Roman"/>
          <w:b/>
          <w:sz w:val="20"/>
        </w:rPr>
        <w:t>Figure 5.2: Core Domain UML Class Diagram</w:t>
      </w:r>
    </w:p>
    <w:p>
      <w:pPr>
        <w:keepNext/>
        <w:spacing w:before="160" w:after="40"/>
        <w:jc w:val="center"/>
      </w:pPr>
      <w:r>
        <w:drawing>
          <wp:inline xmlns:a="http://schemas.openxmlformats.org/drawingml/2006/main" xmlns:pic="http://schemas.openxmlformats.org/drawingml/2006/picture">
            <wp:extent cx="4297680" cy="2829539"/>
            <wp:docPr id="3" name="Picture 3"/>
            <wp:cNvGraphicFramePr>
              <a:graphicFrameLocks noChangeAspect="1"/>
            </wp:cNvGraphicFramePr>
            <a:graphic>
              <a:graphicData uri="http://schemas.openxmlformats.org/drawingml/2006/picture">
                <pic:pic>
                  <pic:nvPicPr>
                    <pic:cNvPr id="0" name="fig_5_3_use_case_diagram.png"/>
                    <pic:cNvPicPr/>
                  </pic:nvPicPr>
                  <pic:blipFill>
                    <a:blip r:embed="rId14"/>
                    <a:stretch>
                      <a:fillRect/>
                    </a:stretch>
                  </pic:blipFill>
                  <pic:spPr>
                    <a:xfrm>
                      <a:off x="0" y="0"/>
                      <a:ext cx="4297680" cy="2829539"/>
                    </a:xfrm>
                    <a:prstGeom prst="rect"/>
                  </pic:spPr>
                </pic:pic>
              </a:graphicData>
            </a:graphic>
          </wp:inline>
        </w:drawing>
      </w:r>
    </w:p>
    <w:p>
      <w:pPr>
        <w:keepNext/>
        <w:spacing w:before="40" w:after="200"/>
        <w:jc w:val="center"/>
      </w:pPr>
      <w:r>
        <w:rPr>
          <w:rFonts w:ascii="Times New Roman" w:hAnsi="Times New Roman"/>
          <w:b/>
          <w:sz w:val="20"/>
        </w:rPr>
        <w:t>Figure 5.3: UML Use Case Diagram for User Roles</w:t>
      </w:r>
    </w:p>
    <w:p>
      <w:pPr>
        <w:keepNext/>
        <w:spacing w:before="160" w:after="40"/>
        <w:jc w:val="center"/>
      </w:pPr>
      <w:r>
        <w:drawing>
          <wp:inline xmlns:a="http://schemas.openxmlformats.org/drawingml/2006/main" xmlns:pic="http://schemas.openxmlformats.org/drawingml/2006/picture">
            <wp:extent cx="4297680" cy="3438144"/>
            <wp:docPr id="4" name="Picture 4"/>
            <wp:cNvGraphicFramePr>
              <a:graphicFrameLocks noChangeAspect="1"/>
            </wp:cNvGraphicFramePr>
            <a:graphic>
              <a:graphicData uri="http://schemas.openxmlformats.org/drawingml/2006/picture">
                <pic:pic>
                  <pic:nvPicPr>
                    <pic:cNvPr id="0" name="fig_5_4_flow_diagram.png"/>
                    <pic:cNvPicPr/>
                  </pic:nvPicPr>
                  <pic:blipFill>
                    <a:blip r:embed="rId15"/>
                    <a:stretch>
                      <a:fillRect/>
                    </a:stretch>
                  </pic:blipFill>
                  <pic:spPr>
                    <a:xfrm>
                      <a:off x="0" y="0"/>
                      <a:ext cx="4297680" cy="3438144"/>
                    </a:xfrm>
                    <a:prstGeom prst="rect"/>
                  </pic:spPr>
                </pic:pic>
              </a:graphicData>
            </a:graphic>
          </wp:inline>
        </w:drawing>
      </w:r>
    </w:p>
    <w:p>
      <w:pPr>
        <w:keepNext/>
        <w:spacing w:before="40" w:after="200"/>
        <w:jc w:val="center"/>
      </w:pPr>
      <w:r>
        <w:rPr>
          <w:rFonts w:ascii="Times New Roman" w:hAnsi="Times New Roman"/>
          <w:b/>
          <w:sz w:val="20"/>
        </w:rPr>
        <w:t>Figure 5.4: Pre-Authorization &amp; Autonomous Decision System Flow</w:t>
      </w:r>
    </w:p>
    <w:p>
      <w:pPr>
        <w:keepNext/>
        <w:spacing w:before="160" w:after="40"/>
        <w:jc w:val="center"/>
      </w:pPr>
      <w:r>
        <w:drawing>
          <wp:inline xmlns:a="http://schemas.openxmlformats.org/drawingml/2006/main" xmlns:pic="http://schemas.openxmlformats.org/drawingml/2006/picture">
            <wp:extent cx="4297680" cy="2942852"/>
            <wp:docPr id="5" name="Picture 5"/>
            <wp:cNvGraphicFramePr>
              <a:graphicFrameLocks noChangeAspect="1"/>
            </wp:cNvGraphicFramePr>
            <a:graphic>
              <a:graphicData uri="http://schemas.openxmlformats.org/drawingml/2006/picture">
                <pic:pic>
                  <pic:nvPicPr>
                    <pic:cNvPr id="0" name="fig_5_5_sequence_diagram.png"/>
                    <pic:cNvPicPr/>
                  </pic:nvPicPr>
                  <pic:blipFill>
                    <a:blip r:embed="rId16"/>
                    <a:stretch>
                      <a:fillRect/>
                    </a:stretch>
                  </pic:blipFill>
                  <pic:spPr>
                    <a:xfrm>
                      <a:off x="0" y="0"/>
                      <a:ext cx="4297680" cy="2942852"/>
                    </a:xfrm>
                    <a:prstGeom prst="rect"/>
                  </pic:spPr>
                </pic:pic>
              </a:graphicData>
            </a:graphic>
          </wp:inline>
        </w:drawing>
      </w:r>
    </w:p>
    <w:p>
      <w:pPr>
        <w:keepNext/>
        <w:spacing w:before="40" w:after="200"/>
        <w:jc w:val="center"/>
      </w:pPr>
      <w:r>
        <w:rPr>
          <w:rFonts w:ascii="Times New Roman" w:hAnsi="Times New Roman"/>
          <w:b/>
          <w:sz w:val="20"/>
        </w:rPr>
        <w:t>Figure 5.5: Pre-Authorization Step-Up Verification Sequence Diagram</w:t>
      </w:r>
    </w:p>
    <w:p>
      <w:pPr>
        <w:keepNext/>
        <w:spacing w:before="200" w:after="60"/>
        <w:jc w:val="left"/>
      </w:pPr>
      <w:r>
        <w:rPr>
          <w:rFonts w:ascii="Times New Roman" w:hAnsi="Times New Roman"/>
          <w:b/>
          <w:sz w:val="21"/>
        </w:rPr>
        <w:t>Table 5.1: Relational Database Schema Specifications (20 Relational Entities)</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2257"/>
        <w:gridCol w:w="2257"/>
        <w:gridCol w:w="2257"/>
        <w:gridCol w:w="2257"/>
      </w:tblGrid>
      <w:tr>
        <w:trPr>
          <w:tblHeader/>
        </w:trPr>
        <w:tc>
          <w:tcPr>
            <w:tcW w:type="dxa" w:w="1872"/>
            <w:shd w:fill="F1F5F9"/>
            <w:tcMar>
              <w:top w:w="70" w:type="dxa"/>
              <w:bottom w:w="70" w:type="dxa"/>
              <w:left w:w="90" w:type="dxa"/>
              <w:right w:w="90" w:type="dxa"/>
            </w:tcMar>
          </w:tcPr>
          <w:p>
            <w:pPr>
              <w:spacing w:before="20" w:after="20"/>
              <w:jc w:val="center"/>
            </w:pPr>
            <w:r>
              <w:rPr>
                <w:rFonts w:ascii="Times New Roman" w:hAnsi="Times New Roman"/>
                <w:b/>
                <w:color w:val="0F172A"/>
                <w:sz w:val="19"/>
              </w:rPr>
              <w:t>Table Name</w:t>
            </w:r>
          </w:p>
        </w:tc>
        <w:tc>
          <w:tcPr>
            <w:tcW w:type="dxa" w:w="4320"/>
            <w:shd w:fill="F1F5F9"/>
            <w:tcMar>
              <w:top w:w="70" w:type="dxa"/>
              <w:bottom w:w="70" w:type="dxa"/>
              <w:left w:w="90" w:type="dxa"/>
              <w:right w:w="90" w:type="dxa"/>
            </w:tcMar>
          </w:tcPr>
          <w:p>
            <w:pPr>
              <w:spacing w:before="20" w:after="20"/>
              <w:jc w:val="center"/>
            </w:pPr>
            <w:r>
              <w:rPr>
                <w:rFonts w:ascii="Times New Roman" w:hAnsi="Times New Roman"/>
                <w:b/>
                <w:color w:val="0F172A"/>
                <w:sz w:val="19"/>
              </w:rPr>
              <w:t>Columns, Keys &amp; Constraints</w:t>
            </w:r>
          </w:p>
        </w:tc>
        <w:tc>
          <w:tcPr>
            <w:tcW w:type="dxa" w:w="1008"/>
            <w:shd w:fill="F1F5F9"/>
            <w:tcMar>
              <w:top w:w="70" w:type="dxa"/>
              <w:bottom w:w="70" w:type="dxa"/>
              <w:left w:w="90" w:type="dxa"/>
              <w:right w:w="90" w:type="dxa"/>
            </w:tcMar>
          </w:tcPr>
          <w:p>
            <w:pPr>
              <w:spacing w:before="20" w:after="20"/>
              <w:jc w:val="center"/>
            </w:pPr>
            <w:r>
              <w:rPr>
                <w:rFonts w:ascii="Times New Roman" w:hAnsi="Times New Roman"/>
                <w:b/>
                <w:color w:val="0F172A"/>
                <w:sz w:val="19"/>
              </w:rPr>
              <w:t>Row Count</w:t>
            </w:r>
          </w:p>
        </w:tc>
        <w:tc>
          <w:tcPr>
            <w:tcW w:type="dxa" w:w="2160"/>
            <w:shd w:fill="F1F5F9"/>
            <w:tcMar>
              <w:top w:w="70" w:type="dxa"/>
              <w:bottom w:w="70" w:type="dxa"/>
              <w:left w:w="90" w:type="dxa"/>
              <w:right w:w="90" w:type="dxa"/>
            </w:tcMar>
          </w:tcPr>
          <w:p>
            <w:pPr>
              <w:spacing w:before="20" w:after="20"/>
              <w:jc w:val="center"/>
            </w:pPr>
            <w:r>
              <w:rPr>
                <w:rFonts w:ascii="Times New Roman" w:hAnsi="Times New Roman"/>
                <w:b/>
                <w:color w:val="0F172A"/>
                <w:sz w:val="19"/>
              </w:rPr>
              <w:t>Operational Description</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users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id [PK], name, email [UQ], password_hash, role, account_tier, is_active, created_at, updated_at</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16</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Manages credentials, RBAC scopes, and permissions for analysts and admins.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customers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customer_id [PK], name, simulated_balance, currency, account_age_days, risk_segment, created_at</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42</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Stores individual cardholder KYC profiles, wallet balances, and risk baselines.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merchants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merchant_id [PK], merchant_name, category, subcategory, average_ticket, city, fraud_rate, operating_hours</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30</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Profiles the 29 master fictional merchants with historical risk baselines.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transactions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transaction_id [PK], customer_id [FK], merchant_id [FK], amount, fraud_probability, risk_score, risk_level, status</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30,839</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Core transactional ledger recording inference scores, statuses, and metadata.</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transaction_approvals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approval_id [PK], payment_id, customer_id, risk_score, challenge_type, verification_token, status, expires_at</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115</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Coordinates the lifecycle of step-up verification challenges and SMS OTP tokens.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investigations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case_id [PK], transaction_id [FK], investigator_id [FK], status, decision, notes, created_at</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167</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Manages forensic case dockets, analyst assignments, and adjudication notes.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shap_explanations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id [PK], transaction_id [FK], feature_name, shap_value, impact, created_at</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15</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Caches local feature attributions and waterfall breakdowns.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payment_intents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payment_id [PK], customer_id, amount, lifecycle_status, fraud_decision, idempotency_key, case_id, approval_id</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314</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Tracks pre-authorization payment gateway intents and state transitions.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customer_devices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id [PK], customer_id [FK], device_identifier, device_type, is_trusted, is_compromised, trust_score</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39</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Hardware fingerprint registry evaluating device novelty and spoofing risks.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beneficiaries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id [PK], customer_id [FK], beneficiary_name, beneficiary_account, is_trusted, trust_score, total_transfers</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59</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Whitelisted and probationary recipient accounts for transfer verification.</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audit_logs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id [PK], user_id [FK], action, resource_type, resource_id, result, ip_address, created_at</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1,455</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Immutable cryptographic ledger tracking administrative and inference events.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alerts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alert_id [PK], alert_type, severity, entity_id, message, is_acknowledged, status, created_at</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176</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In-app notifications dispatched for high-risk escalations and hardware breaches.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idempotency_records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id [PK], idempotency_key [UQ], request_fingerprint, status_code, response_json, expires_at</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49</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Guarantees replay protection, preventing duplicate payment settlement.</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user_sessions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session_id [PK], user_id, customer_id, device_id, session_status, risk_score, login_time</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10</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Active concurrent authentication sessions across user portals.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risk_events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id [PK], customer_id, transaction_id, event_type, severity, score, explanation, details_json</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301</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Granular telemetry events captured during pre-authorization scoring.</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verification_events</w:t>
            </w:r>
          </w:p>
        </w:tc>
        <w:tc>
          <w:tcPr>
            <w:tcW w:type="dxa" w:w="4320"/>
            <w:tcMar>
              <w:top w:w="35" w:type="dxa"/>
              <w:bottom w:w="35" w:type="dxa"/>
              <w:left w:w="65" w:type="dxa"/>
              <w:right w:w="65" w:type="dxa"/>
            </w:tcMar>
          </w:tcPr>
          <w:p>
            <w:pPr>
              <w:spacing w:before="10" w:after="10" w:line="240" w:lineRule="auto"/>
            </w:pPr>
            <w:r>
              <w:rPr>
                <w:rFonts w:ascii="Times New Roman" w:hAnsi="Times New Roman"/>
                <w:sz w:val="18"/>
              </w:rPr>
              <w:t>id [PK], customer_id, transaction_id, verification_type, otp_code_hash, attempts_count, max_attempts</w:t>
            </w:r>
          </w:p>
        </w:tc>
        <w:tc>
          <w:tcPr>
            <w:tcW w:type="dxa" w:w="1008"/>
            <w:tcMar>
              <w:top w:w="35" w:type="dxa"/>
              <w:bottom w:w="35" w:type="dxa"/>
              <w:left w:w="65" w:type="dxa"/>
              <w:right w:w="65" w:type="dxa"/>
            </w:tcMar>
          </w:tcPr>
          <w:p>
            <w:pPr>
              <w:spacing w:before="10" w:after="10" w:line="240" w:lineRule="auto"/>
            </w:pPr>
            <w:r>
              <w:rPr>
                <w:rFonts w:ascii="Times New Roman" w:hAnsi="Times New Roman"/>
                <w:sz w:val="18"/>
              </w:rPr>
              <w:t>99</w:t>
            </w:r>
          </w:p>
        </w:tc>
        <w:tc>
          <w:tcPr>
            <w:tcW w:type="dxa" w:w="2160"/>
            <w:tcMar>
              <w:top w:w="35" w:type="dxa"/>
              <w:bottom w:w="35" w:type="dxa"/>
              <w:left w:w="65" w:type="dxa"/>
              <w:right w:w="65" w:type="dxa"/>
            </w:tcMar>
          </w:tcPr>
          <w:p>
            <w:pPr>
              <w:spacing w:before="10" w:after="10" w:line="240" w:lineRule="auto"/>
            </w:pPr>
            <w:r>
              <w:rPr>
                <w:rFonts w:ascii="Times New Roman" w:hAnsi="Times New Roman"/>
                <w:sz w:val="18"/>
              </w:rPr>
              <w:t>Audit log of all OTP generation, dispatch, and validation attempts.</w:t>
            </w:r>
          </w:p>
        </w:tc>
      </w:tr>
    </w:tbl>
    <w:p>
      <w:pPr>
        <w:keepNext/>
        <w:spacing w:before="160" w:after="40"/>
        <w:jc w:val="center"/>
      </w:pPr>
      <w:r>
        <w:drawing>
          <wp:inline xmlns:a="http://schemas.openxmlformats.org/drawingml/2006/main" xmlns:pic="http://schemas.openxmlformats.org/drawingml/2006/picture">
            <wp:extent cx="4297680" cy="2806310"/>
            <wp:docPr id="6" name="Picture 6"/>
            <wp:cNvGraphicFramePr>
              <a:graphicFrameLocks noChangeAspect="1"/>
            </wp:cNvGraphicFramePr>
            <a:graphic>
              <a:graphicData uri="http://schemas.openxmlformats.org/drawingml/2006/picture">
                <pic:pic>
                  <pic:nvPicPr>
                    <pic:cNvPr id="0" name="fig_5_6_er_diagram.png"/>
                    <pic:cNvPicPr/>
                  </pic:nvPicPr>
                  <pic:blipFill>
                    <a:blip r:embed="rId17"/>
                    <a:stretch>
                      <a:fillRect/>
                    </a:stretch>
                  </pic:blipFill>
                  <pic:spPr>
                    <a:xfrm>
                      <a:off x="0" y="0"/>
                      <a:ext cx="4297680" cy="2806310"/>
                    </a:xfrm>
                    <a:prstGeom prst="rect"/>
                  </pic:spPr>
                </pic:pic>
              </a:graphicData>
            </a:graphic>
          </wp:inline>
        </w:drawing>
      </w:r>
    </w:p>
    <w:p>
      <w:pPr>
        <w:keepNext/>
        <w:spacing w:before="40" w:after="200"/>
        <w:jc w:val="center"/>
      </w:pPr>
      <w:r>
        <w:rPr>
          <w:rFonts w:ascii="Times New Roman" w:hAnsi="Times New Roman"/>
          <w:b/>
          <w:sz w:val="20"/>
        </w:rPr>
        <w:t>Figure 5.6: FraudLens AI Relational Entity-Relationship (ER) Diagram</w:t>
      </w:r>
    </w:p>
    <w:p>
      <w:pPr>
        <w:keepNext/>
        <w:spacing w:before="160" w:after="40"/>
        <w:jc w:val="center"/>
      </w:pPr>
      <w:r>
        <w:drawing>
          <wp:inline xmlns:a="http://schemas.openxmlformats.org/drawingml/2006/main" xmlns:pic="http://schemas.openxmlformats.org/drawingml/2006/picture">
            <wp:extent cx="4297680" cy="2812863"/>
            <wp:docPr id="7" name="Picture 7"/>
            <wp:cNvGraphicFramePr>
              <a:graphicFrameLocks noChangeAspect="1"/>
            </wp:cNvGraphicFramePr>
            <a:graphic>
              <a:graphicData uri="http://schemas.openxmlformats.org/drawingml/2006/picture">
                <pic:pic>
                  <pic:nvPicPr>
                    <pic:cNvPr id="0" name="fig_5_7_dfd_level_0.png"/>
                    <pic:cNvPicPr/>
                  </pic:nvPicPr>
                  <pic:blipFill>
                    <a:blip r:embed="rId18"/>
                    <a:stretch>
                      <a:fillRect/>
                    </a:stretch>
                  </pic:blipFill>
                  <pic:spPr>
                    <a:xfrm>
                      <a:off x="0" y="0"/>
                      <a:ext cx="4297680" cy="2812863"/>
                    </a:xfrm>
                    <a:prstGeom prst="rect"/>
                  </pic:spPr>
                </pic:pic>
              </a:graphicData>
            </a:graphic>
          </wp:inline>
        </w:drawing>
      </w:r>
    </w:p>
    <w:p>
      <w:pPr>
        <w:keepNext/>
        <w:spacing w:before="40" w:after="200"/>
        <w:jc w:val="center"/>
      </w:pPr>
      <w:r>
        <w:rPr>
          <w:rFonts w:ascii="Times New Roman" w:hAnsi="Times New Roman"/>
          <w:b/>
          <w:sz w:val="20"/>
        </w:rPr>
        <w:t>Figure 5.7: Data Flow Diagram (DFD) Level 0 — Context Diagram</w:t>
      </w:r>
    </w:p>
    <w:p>
      <w:pPr>
        <w:keepNext/>
        <w:spacing w:before="160" w:after="40"/>
        <w:jc w:val="center"/>
      </w:pPr>
      <w:r>
        <w:drawing>
          <wp:inline xmlns:a="http://schemas.openxmlformats.org/drawingml/2006/main" xmlns:pic="http://schemas.openxmlformats.org/drawingml/2006/picture">
            <wp:extent cx="4297680" cy="2942852"/>
            <wp:docPr id="8" name="Picture 8"/>
            <wp:cNvGraphicFramePr>
              <a:graphicFrameLocks noChangeAspect="1"/>
            </wp:cNvGraphicFramePr>
            <a:graphic>
              <a:graphicData uri="http://schemas.openxmlformats.org/drawingml/2006/picture">
                <pic:pic>
                  <pic:nvPicPr>
                    <pic:cNvPr id="0" name="fig_5_8_dfd_level_1.png"/>
                    <pic:cNvPicPr/>
                  </pic:nvPicPr>
                  <pic:blipFill>
                    <a:blip r:embed="rId19"/>
                    <a:stretch>
                      <a:fillRect/>
                    </a:stretch>
                  </pic:blipFill>
                  <pic:spPr>
                    <a:xfrm>
                      <a:off x="0" y="0"/>
                      <a:ext cx="4297680" cy="2942852"/>
                    </a:xfrm>
                    <a:prstGeom prst="rect"/>
                  </pic:spPr>
                </pic:pic>
              </a:graphicData>
            </a:graphic>
          </wp:inline>
        </w:drawing>
      </w:r>
    </w:p>
    <w:p>
      <w:pPr>
        <w:keepNext/>
        <w:spacing w:before="40" w:after="200"/>
        <w:jc w:val="center"/>
      </w:pPr>
      <w:r>
        <w:rPr>
          <w:rFonts w:ascii="Times New Roman" w:hAnsi="Times New Roman"/>
          <w:b/>
          <w:sz w:val="20"/>
        </w:rPr>
        <w:t>Figure 5.8: Data Flow Diagram (DFD) Level 1 — Process Decomposition</w:t>
      </w:r>
    </w:p>
    <w:p>
      <w:r>
        <w:br w:type="page"/>
      </w:r>
    </w:p>
    <w:p>
      <w:pPr>
        <w:keepNext/>
        <w:spacing w:before="400" w:after="280" w:line="307" w:lineRule="auto"/>
        <w:jc w:val="center"/>
      </w:pPr>
      <w:r>
        <w:rPr>
          <w:rFonts w:ascii="Times New Roman" w:hAnsi="Times New Roman"/>
          <w:b/>
          <w:sz w:val="32"/>
        </w:rPr>
        <w:t>CHAPTER 6</w:t>
        <w:br/>
        <w:t>PROPOSED ALGORITHM IMPLEMENTATION</w:t>
      </w:r>
    </w:p>
    <w:p>
      <w:pPr>
        <w:keepNext/>
        <w:spacing w:before="280" w:after="100" w:line="307" w:lineRule="auto"/>
        <w:jc w:val="left"/>
      </w:pPr>
      <w:r>
        <w:rPr>
          <w:rFonts w:ascii="Times New Roman" w:hAnsi="Times New Roman"/>
          <w:b/>
          <w:sz w:val="27"/>
        </w:rPr>
        <w:t>6.1 PROJECT DESCRIPTION</w:t>
      </w:r>
    </w:p>
    <w:p>
      <w:pPr>
        <w:spacing w:before="0" w:after="50" w:line="307" w:lineRule="auto"/>
        <w:jc w:val="both"/>
      </w:pPr>
      <w:r>
        <w:rPr>
          <w:rFonts w:ascii="Times New Roman" w:hAnsi="Times New Roman"/>
          <w:sz w:val="24"/>
        </w:rPr>
        <w:t>FraudLens AI is an end-to-end, explainable artificial intelligence (XAI) financial fraud detection, risk intelligence, and autonomous case investigation platform engineered specifically for high-throughput digital payment networks. The system bridges the critical operational divide between high-accuracy non-linear machine learning, deterministic multi-factor risk assessment, mathematical explainability, and rapid forensic investigation triage.</w:t>
      </w:r>
    </w:p>
    <w:p>
      <w:pPr>
        <w:keepNext/>
        <w:spacing w:before="200" w:after="60" w:line="307" w:lineRule="auto"/>
        <w:jc w:val="left"/>
      </w:pPr>
      <w:r>
        <w:rPr>
          <w:rFonts w:ascii="Times New Roman" w:hAnsi="Times New Roman"/>
          <w:b/>
          <w:sz w:val="24"/>
        </w:rPr>
        <w:t>6.1.1 Dataset Specification &amp; Integrity Audit</w:t>
      </w:r>
    </w:p>
    <w:p>
      <w:pPr>
        <w:spacing w:before="0" w:after="50" w:line="307" w:lineRule="auto"/>
        <w:jc w:val="both"/>
      </w:pPr>
      <w:r>
        <w:rPr>
          <w:rFonts w:ascii="Times New Roman" w:hAnsi="Times New Roman"/>
          <w:sz w:val="24"/>
        </w:rPr>
        <w:t>The foundational empirical evaluation of FraudLens AI is conducted on the master transaction corpus: `fraudlens_master_synthetic_transactions_29_merchants.csv`. The dataset comprises exactly 20,000 transaction instances structured across 57 distinct behavioral, spatial, temporal, and merchant attributes. It models the transactional ecosystem of 30 heterogeneous commercial merchants situated across key urban centers in Tamil Nadu and Karnataka (including Chennai, Coimbatore, Madurai, Salem, and Bengaluru).</w:t>
      </w:r>
    </w:p>
    <w:p>
      <w:pPr>
        <w:spacing w:before="0" w:after="50" w:line="307" w:lineRule="auto"/>
        <w:jc w:val="both"/>
      </w:pPr>
      <w:r>
        <w:rPr>
          <w:rFonts w:ascii="Times New Roman" w:hAnsi="Times New Roman"/>
          <w:sz w:val="24"/>
        </w:rPr>
        <w:t>Key structural properties of the dataset include:</w:t>
        <w:br/>
        <w:t>• Total Transaction Records: 20,000 rows.</w:t>
        <w:br/>
        <w:t>• Ground-Truth Target Variable: `is_fraud` (binary indicator where 0 denotes legitimate commercial settlement and 1 denotes confirmed fraudulent exfiltration).</w:t>
        <w:br/>
        <w:t>• Class Imbalance Ratio: The dataset reflects an authentic real-world fraud prevalence rate of 5.46% (1,092 fraudulent instances against 18,908 legitimate transactions), representing an acute class imbalance ratio of approximately 1:17.3.</w:t>
        <w:br/>
        <w:t>• Merchant Entity Representation: 30 distinct commercial establishments spanning diverse categories: Grocery &amp; Supermarkets (e.g., NovaMart Fresh), Consumer Electronics (e.g., CircuitBay Electronics), Mobile Stores (e.g., Pulse Mobile Hub), Jewellery &amp; Bullion (e.g., Aurelia Gold House), Fashion &amp; Apparel (e.g., UrbanThread Studio), Pharmacies (e.g., MedicoCare Pharmacy), Restaurants &amp; Cafes, Fuel Stations, and Hospitality.</w:t>
        <w:br/>
        <w:t>• Fictional Fraud Typologies: Fraud scenarios represented include Account Takeover (ATO) botnet injection, Card-Not-Present (CNP) basket velocity surges, nocturnal brute-force credential stuffing, cross-border remittance anomalies, and high-ticket bullion exfiltration.</w:t>
      </w:r>
    </w:p>
    <w:p>
      <w:pPr>
        <w:spacing w:before="0" w:after="50" w:line="307" w:lineRule="auto"/>
        <w:jc w:val="both"/>
      </w:pPr>
      <w:r>
        <w:rPr>
          <w:rFonts w:ascii="Times New Roman" w:hAnsi="Times New Roman"/>
          <w:sz w:val="24"/>
        </w:rPr>
        <w:t>Table 6.1 delineates the complete attribute specification across all 57 raw and engineered dimensions.</w:t>
      </w:r>
    </w:p>
    <w:p>
      <w:pPr>
        <w:keepNext/>
        <w:spacing w:before="200" w:after="60" w:line="307" w:lineRule="auto"/>
        <w:jc w:val="left"/>
      </w:pPr>
      <w:r>
        <w:rPr>
          <w:rFonts w:ascii="Times New Roman" w:hAnsi="Times New Roman"/>
          <w:b/>
          <w:sz w:val="24"/>
        </w:rPr>
        <w:t>6.1.2 Preprocessing, Imputation &amp; Feature Scaling</w:t>
      </w:r>
    </w:p>
    <w:p>
      <w:pPr>
        <w:spacing w:before="0" w:after="50" w:line="307" w:lineRule="auto"/>
        <w:jc w:val="both"/>
      </w:pPr>
      <w:r>
        <w:rPr>
          <w:rFonts w:ascii="Times New Roman" w:hAnsi="Times New Roman"/>
          <w:sz w:val="24"/>
        </w:rPr>
        <w:t>To ensure deterministic execution and prevent data leakage, FraudLens AI encapsulates all transformation logic within a Scikit-Learn compatible `FullFraudPreprocessor` pipeline. The preprocessing methodology comprises four sequential stages (summarized in Table 6.2):</w:t>
        <w:br/>
        <w:t>1. Target Leakage &amp; Identifier Removal:</w:t>
        <w:br/>
        <w:t xml:space="preserve">   The pipeline systematically purges unique identifier keys (`transaction_id`, `customer_id`, `device_id`, `beneficiary_id`) to prevent classifier memorization. Furthermore, all downstream target proxies (such as `Fraud_Probability`, `Risk_Score`, `Risk_Level`, and `customer_risk_score`) are explicitly dropped.</w:t>
        <w:br/>
        <w:t>2. Missing-Value Imputation:</w:t>
        <w:br/>
        <w:t xml:space="preserve">   Numerical feature missingness is resolved using median imputation (`SimpleImputer(strategy="median")`), preserving robustness against extreme monetary outliers. Categorical missingness is handled using constant imputation (`SimpleImputer(strategy="constant", fill_value="unknown")`).</w:t>
        <w:br/>
        <w:t>3. Continuous Feature Scaling:</w:t>
        <w:br/>
        <w:t xml:space="preserve">   Numerical variables are standardized using `StandardScaler`, centering features to zero mean and unit variance ($z = (x - \mu) / \sigma$). This guarantees optimal convergence for gradient descent and regularized linear baselines.</w:t>
        <w:br/>
        <w:t>4. Categorical Feature Encoding:</w:t>
        <w:br/>
        <w:t xml:space="preserve">   Categorical attributes (`merchant_category`, `transaction_type`, `merchant_payment_channels`, `device_type`) are encoded via `OneHotEncoder(handle_unknown="ignore", sparse_output=False)`, expanding categorical cardinality into 37 binary orthogonal indicator columns while preventing runtime errors upon encountering novel categories.</w:t>
      </w:r>
    </w:p>
    <w:p>
      <w:pPr>
        <w:keepNext/>
        <w:spacing w:before="200" w:after="60" w:line="307" w:lineRule="auto"/>
        <w:jc w:val="left"/>
      </w:pPr>
      <w:r>
        <w:rPr>
          <w:rFonts w:ascii="Times New Roman" w:hAnsi="Times New Roman"/>
          <w:b/>
          <w:sz w:val="24"/>
        </w:rPr>
        <w:t>6.1.3 Behavioral Feature Engineering &amp; Interaction Signals</w:t>
      </w:r>
    </w:p>
    <w:p>
      <w:pPr>
        <w:spacing w:before="0" w:after="50" w:line="307" w:lineRule="auto"/>
        <w:jc w:val="both"/>
      </w:pPr>
      <w:r>
        <w:rPr>
          <w:rFonts w:ascii="Times New Roman" w:hAnsi="Times New Roman"/>
          <w:sz w:val="24"/>
        </w:rPr>
        <w:t>Raw payment parameters alone cannot expose sophisticated fraud patterns. The `FraudFeatureEngineer` derives 26 advanced behavioral and temporal features (Figure 6.1):</w:t>
        <w:br/>
        <w:t>1. Spending Baseline Deviation Ratios:</w:t>
        <w:br/>
        <w:t xml:space="preserve">   • $</w:t>
        <w:tab/>
        <w:t xml:space="preserve">ext{amount\_to\_average\_ratio} = </w:t>
        <w:tab/>
        <w:t>ext{Amount} / (</w:t>
        <w:tab/>
        <w:t>ext{Customer\_Historical\_Avg\_Amount} + \epsilon)$</w:t>
        <w:br/>
        <w:t xml:space="preserve">   • $</w:t>
        <w:tab/>
        <w:t>ext{amount\_deviation\_zscore} = (</w:t>
        <w:tab/>
        <w:t>ext{Amount} - \mu_{</w:t>
        <w:tab/>
        <w:t>ext{customer}}) / (\sigma_{</w:t>
        <w:tab/>
        <w:t>ext{customer}} + \epsilon)$</w:t>
        <w:br/>
        <w:t xml:space="preserve">   • $</w:t>
        <w:tab/>
        <w:t>ext{is\_extreme\_amount\_surge} = \mathbb{I}(</w:t>
        <w:tab/>
        <w:t>ext{amount\_to\_average\_ratio} &gt; 2.5)$</w:t>
        <w:br/>
        <w:t>2. Velocity Burst &amp; Acceleration Interactions:</w:t>
        <w:br/>
        <w:t xml:space="preserve">   • $</w:t>
        <w:tab/>
        <w:t xml:space="preserve">ext{amount\_velocity\_24h\_surge} = </w:t>
        <w:tab/>
        <w:t xml:space="preserve">ext{Amount} </w:t>
        <w:tab/>
        <w:t>imes (</w:t>
        <w:tab/>
        <w:t>ext{Transactions\_Last\_24H} + 1)$</w:t>
        <w:br/>
        <w:t xml:space="preserve">   • $</w:t>
        <w:tab/>
        <w:t xml:space="preserve">ext{failed\_attempt\_intensity} = </w:t>
        <w:tab/>
        <w:t>ext{Failed\_Attempts} / (</w:t>
        <w:tab/>
        <w:t>ext{Transactions\_Last\_24H} + 1)$</w:t>
        <w:br/>
        <w:t>3. Cyclical Trigonometric Temporal Projections:</w:t>
        <w:br/>
        <w:t xml:space="preserve">   Standard integer hour representations introduce an artificial mathematical discontinuity between 23:59 and 00:00. To preserve cyclical continuity, hours are mapped onto the unit circle:</w:t>
        <w:br/>
        <w:t xml:space="preserve">   • $\sin\_hour = \sin(2\pi </w:t>
        <w:tab/>
        <w:t xml:space="preserve">imes </w:t>
        <w:tab/>
        <w:t>ext{Hour} / 24.0)$</w:t>
        <w:br/>
        <w:t xml:space="preserve">   • $\cos\_hour = \cos(2\pi </w:t>
        <w:tab/>
        <w:t xml:space="preserve">imes </w:t>
        <w:tab/>
        <w:t>ext{Hour} / 24.0)$</w:t>
        <w:br/>
        <w:t xml:space="preserve">   • Nocturnal vulnerability indicator: $</w:t>
        <w:tab/>
        <w:t>ext{is\_night\_transaction} = \mathbb{I}(</w:t>
        <w:tab/>
        <w:t>ext{Hour} \in [0, 5])$</w:t>
        <w:br/>
        <w:t>4. High-Risk Multi-Factor Composite Signals:</w:t>
        <w:br/>
        <w:t xml:space="preserve">   • $</w:t>
        <w:tab/>
        <w:t xml:space="preserve">ext{account\_takeover\_risk} = </w:t>
        <w:tab/>
        <w:t xml:space="preserve">ext{New\_Device} </w:t>
        <w:tab/>
        <w:t xml:space="preserve">imes </w:t>
        <w:tab/>
        <w:t>ext{Unusual\_Location}$</w:t>
        <w:br/>
        <w:t xml:space="preserve">   • $</w:t>
        <w:tab/>
        <w:t xml:space="preserve">ext{international\_risk\_signal} = </w:t>
        <w:tab/>
        <w:t xml:space="preserve">ext{Is\_International} </w:t>
        <w:tab/>
        <w:t>imes (</w:t>
        <w:tab/>
        <w:t xml:space="preserve">ext{Unusual\_Location} + </w:t>
        <w:tab/>
        <w:t>ext{New\_Device} + 0.5)$</w:t>
        <w:br/>
        <w:t xml:space="preserve">   • $</w:t>
        <w:tab/>
        <w:t>ext{composite\_risk\_flag\_count} = \sum (</w:t>
        <w:tab/>
        <w:t xml:space="preserve">ext{New\_Device} + </w:t>
        <w:tab/>
        <w:t xml:space="preserve">ext{Unusual\_Location} + </w:t>
        <w:tab/>
        <w:t xml:space="preserve">ext{Is\_International} + </w:t>
        <w:tab/>
        <w:t xml:space="preserve">ext{Night} + </w:t>
        <w:tab/>
        <w:t xml:space="preserve">ext{Extreme\_Surge} + </w:t>
        <w:tab/>
        <w:t>ext{Failed\_Attempt})$</w:t>
      </w:r>
    </w:p>
    <w:p>
      <w:pPr>
        <w:keepNext/>
        <w:spacing w:before="200" w:after="60" w:line="307" w:lineRule="auto"/>
        <w:jc w:val="left"/>
      </w:pPr>
      <w:r>
        <w:rPr>
          <w:rFonts w:ascii="Times New Roman" w:hAnsi="Times New Roman"/>
          <w:b/>
          <w:sz w:val="24"/>
        </w:rPr>
        <w:t>6.1.4 Stratified Data Splitting &amp; Leakage Auditing</w:t>
      </w:r>
    </w:p>
    <w:p>
      <w:pPr>
        <w:spacing w:before="0" w:after="50" w:line="307" w:lineRule="auto"/>
        <w:jc w:val="both"/>
      </w:pPr>
      <w:r>
        <w:rPr>
          <w:rFonts w:ascii="Times New Roman" w:hAnsi="Times New Roman"/>
          <w:sz w:val="24"/>
        </w:rPr>
        <w:t>The dataset is partitioned using a stratified 70% / 15% / 15% Train / Validation / Test split. Stratification enforces identical 5.46% fraud prevalence across all partitions. Crucially, the `FullFraudPreprocessor` is fitted **exclusively on the training split** ($X_{</w:t>
        <w:tab/>
        <w:t>ext{train}}$) and subsequently applied to transform $X_{</w:t>
        <w:tab/>
        <w:t>ext{val}}$ and $X_{</w:t>
        <w:tab/>
        <w:t>ext{test}}$, completely eliminating data leakage from test distributions into model training parameters.</w:t>
      </w:r>
    </w:p>
    <w:p>
      <w:pPr>
        <w:keepNext/>
        <w:spacing w:before="200" w:after="60" w:line="307" w:lineRule="auto"/>
        <w:jc w:val="left"/>
      </w:pPr>
      <w:r>
        <w:rPr>
          <w:rFonts w:ascii="Times New Roman" w:hAnsi="Times New Roman"/>
          <w:b/>
          <w:sz w:val="24"/>
        </w:rPr>
        <w:t>6.1.5 Class Imbalance Mitigation Strategy</w:t>
      </w:r>
    </w:p>
    <w:p>
      <w:pPr>
        <w:spacing w:before="0" w:after="50" w:line="307" w:lineRule="auto"/>
        <w:jc w:val="both"/>
      </w:pPr>
      <w:r>
        <w:rPr>
          <w:rFonts w:ascii="Times New Roman" w:hAnsi="Times New Roman"/>
          <w:sz w:val="24"/>
        </w:rPr>
        <w:t>To overcome the severe 1:17.3 class imbalance:</w:t>
        <w:br/>
        <w:t>• In Logistic Regression, inverse frequency weighting is enforced via `class_weight="balanced"`.</w:t>
        <w:br/>
        <w:t>• In Random Forest, sub-tree bootstrap re-weighting is applied via `class_weight="balanced_subsample"`.</w:t>
        <w:br/>
        <w:t>• In XGBoost, exact negative-to-positive ratio weighting is calibrated via `scale_pos_weight = N_{</w:t>
        <w:tab/>
        <w:t>ext{negative}} / N_{</w:t>
        <w:tab/>
        <w:t>ext{positive}} approx 17.3$. This penalizes false negatives 17.3 times more heavily than false positives, forcing the boosting algorithm to optimize decision boundaries specifically for rare fraud vectors.</w:t>
      </w:r>
    </w:p>
    <w:p>
      <w:pPr>
        <w:keepNext/>
        <w:spacing w:before="200" w:after="60" w:line="307" w:lineRule="auto"/>
        <w:jc w:val="left"/>
      </w:pPr>
      <w:r>
        <w:rPr>
          <w:rFonts w:ascii="Times New Roman" w:hAnsi="Times New Roman"/>
          <w:b/>
          <w:sz w:val="24"/>
        </w:rPr>
        <w:t>6.1.6 Supervised Machine Learning Architectures</w:t>
      </w:r>
    </w:p>
    <w:p>
      <w:pPr>
        <w:spacing w:before="0" w:after="50" w:line="307" w:lineRule="auto"/>
        <w:jc w:val="both"/>
      </w:pPr>
      <w:r>
        <w:rPr>
          <w:rFonts w:ascii="Times New Roman" w:hAnsi="Times New Roman"/>
          <w:sz w:val="24"/>
        </w:rPr>
        <w:t>FraudLens AI evaluates three distinct classification algorithms and one meta-ensemble (Table 6.3):</w:t>
        <w:br/>
        <w:t>1. Regularized Logistic Regression: Serves as an interpretable linear baseline optimizing the L2-regularized log-loss objective via the L-BFGS solver.</w:t>
        <w:br/>
        <w:t>2. Tuned Random Forest Classifier: An ensemble of 300 de-correlated decision trees (max depth 12) utilizing Gini impurity split criteria and bootstrap aggregation to capture non-linear feature interactions without overfitting.</w:t>
        <w:br/>
        <w:t>3. Extreme Gradient Boosted Trees (XGBoost): The champion classification architecture, utilizing 250 gradient boosted trees (max depth 5, learning rate $\eta = 0.035$, subsample 0.85, colsample_bytree 0.85). XGBoost optimizes second-order Taylor expansions of the loss function with L1 ($alpha = 0.1$) and L2 ($\lambda = 1.0$) regularization.</w:t>
        <w:br/>
        <w:t>4. Soft-Voting Stacking Ensemble: Combines calibrated probabilistic predictions across constituent estimators using weighted averaging:</w:t>
        <w:br/>
        <w:t xml:space="preserve">   $P_{</w:t>
        <w:tab/>
        <w:t xml:space="preserve">ext{ensemble}} = 0.45 </w:t>
        <w:tab/>
        <w:t>imes P_{</w:t>
        <w:tab/>
        <w:t xml:space="preserve">ext{XGBoost}} + 0.40 </w:t>
        <w:tab/>
        <w:t>imes P_{</w:t>
        <w:tab/>
        <w:t xml:space="preserve">ext{RandomForest}} + 0.15 </w:t>
        <w:tab/>
        <w:t>imes P_{</w:t>
        <w:tab/>
        <w:t>ext{LogisticRegression}}$.</w:t>
      </w:r>
    </w:p>
    <w:p>
      <w:pPr>
        <w:keepNext/>
        <w:spacing w:before="200" w:after="60" w:line="307" w:lineRule="auto"/>
        <w:jc w:val="left"/>
      </w:pPr>
      <w:r>
        <w:rPr>
          <w:rFonts w:ascii="Times New Roman" w:hAnsi="Times New Roman"/>
          <w:b/>
          <w:sz w:val="24"/>
        </w:rPr>
        <w:t>6.1.7 Decoupled Deterministic Multi-Factor Risk Scoring Methodology</w:t>
      </w:r>
    </w:p>
    <w:p>
      <w:pPr>
        <w:spacing w:before="0" w:after="50" w:line="307" w:lineRule="auto"/>
        <w:jc w:val="both"/>
      </w:pPr>
      <w:r>
        <w:rPr>
          <w:rFonts w:ascii="Times New Roman" w:hAnsi="Times New Roman"/>
          <w:sz w:val="24"/>
        </w:rPr>
        <w:t>A cornerstone innovation of FraudLens AI is the strict mathematical decoupling between model-estimated Fraud Probability ($p \in [0.0, 1.0]$) and an independent Deterministic Operational Risk Score ($S \in [0, 100]$). As illustrated in Figure 6.2 and Table 6.4, the total risk score is an additive composite aggregating five distinct operational dimensions:</w:t>
        <w:br/>
        <w:t xml:space="preserve">$$S = </w:t>
        <w:tab/>
        <w:t>ext{clamp}_{[0, 100]}\left( S_{</w:t>
        <w:tab/>
        <w:t>ext{ML}} + S_{</w:t>
        <w:tab/>
        <w:t>ext{Amount}} + S_{</w:t>
        <w:tab/>
        <w:t>ext{Velocity}} + S_{</w:t>
        <w:tab/>
        <w:t>ext{History}} + S_{</w:t>
        <w:tab/>
        <w:t xml:space="preserve">ext{Env}} </w:t>
        <w:br/>
        <w:t>ight)$$</w:t>
      </w:r>
    </w:p>
    <w:p>
      <w:pPr>
        <w:spacing w:before="0" w:after="50" w:line="307" w:lineRule="auto"/>
        <w:jc w:val="both"/>
      </w:pPr>
      <w:r>
        <w:rPr>
          <w:rFonts w:ascii="Times New Roman" w:hAnsi="Times New Roman"/>
          <w:sz w:val="24"/>
        </w:rPr>
        <w:t>1. Dimension 1: ML Model Baseline Signal ($S_{</w:t>
        <w:tab/>
        <w:t>ext{ML}} \in [0, 60]$ pts):</w:t>
        <w:br/>
        <w:t xml:space="preserve">   • If $p \ge 0.70$: $S_{</w:t>
        <w:tab/>
        <w:t xml:space="preserve">ext{ML}} = \min(60, 45.0 + (p - 0.70) </w:t>
        <w:tab/>
        <w:t>imes 50.0)$</w:t>
        <w:br/>
        <w:t xml:space="preserve">   • If $0.35 \le p &lt; 0.70$: $S_{</w:t>
        <w:tab/>
        <w:t xml:space="preserve">ext{ML}} = 25.0 + (p - 0.35) </w:t>
        <w:tab/>
        <w:t>imes (20.0 / 0.35)$</w:t>
        <w:br/>
        <w:t xml:space="preserve">   • If $0.10 \le p &lt; 0.35$: $S_{</w:t>
        <w:tab/>
        <w:t xml:space="preserve">ext{ML}} = 8.0 + (p - 0.10) </w:t>
        <w:tab/>
        <w:t>imes (17.0 / 0.25)$</w:t>
        <w:br/>
        <w:t xml:space="preserve">   • If $p &lt; 0.10$: $S_{</w:t>
        <w:tab/>
        <w:t xml:space="preserve">ext{ML}} = p </w:t>
        <w:tab/>
        <w:t>imes 80.0$</w:t>
        <w:br/>
        <w:t>2. Dimension 2: Spending Baseline Deviation Signal ($S_{</w:t>
        <w:tab/>
        <w:t>ext{Amount}} \in [-6, 25]$ pts):</w:t>
        <w:br/>
        <w:t xml:space="preserve">   • Severe customer average spike ($\ge 8</w:t>
        <w:tab/>
        <w:t>imes$ baseline): $+18$ pts; ($3.5</w:t>
        <w:tab/>
        <w:t>imes - 8</w:t>
        <w:tab/>
        <w:t>imes$): $+12$ pts; ($2</w:t>
        <w:tab/>
        <w:t>imes - 3.5</w:t>
        <w:tab/>
        <w:t>imes$): $+6$ pts.</w:t>
        <w:br/>
        <w:t xml:space="preserve">   • Normal expenditure consistent with customer history ($0.5</w:t>
        <w:tab/>
        <w:t>imes - 1.4</w:t>
        <w:tab/>
        <w:t>imes$): $-4$ pts (credit rebate).</w:t>
        <w:br/>
        <w:t xml:space="preserve">   • Abrupt jump from immediate previous transaction ($\ge 6</w:t>
        <w:tab/>
        <w:t>imes$ and difference $&gt; ₹5,000$): $+7$ pts.</w:t>
        <w:br/>
        <w:t>3. Dimension 3: Transaction Velocity &amp; Burst Acceleration ($S_{</w:t>
        <w:tab/>
        <w:t>ext{Velocity}} \in [0, 20]$ pts):</w:t>
        <w:br/>
        <w:t xml:space="preserve">   • Critical 1-hour burst ($\ge 5$ transactions in 1 hour): $+20$ pts.</w:t>
        <w:br/>
        <w:t xml:space="preserve">   • Elevated 1-hour burst ($3 - 4$ transactions in 1 hour): $+14$ pts.</w:t>
        <w:br/>
        <w:t xml:space="preserve">   • Moderate velocity ($2$ transactions in 1 hour): $+8$ pts.</w:t>
        <w:br/>
        <w:t>4. Dimension 4: Beneficiary &amp; History Integrity ($S_{</w:t>
        <w:tab/>
        <w:t>ext{History}} \in [0, 15]$ pts):</w:t>
        <w:br/>
        <w:t xml:space="preserve">   • Historical chargebacks recorded: $+5$ pts per incident (max $+10$ pts).</w:t>
        <w:br/>
        <w:t xml:space="preserve">   • Young account probationary window ($&lt; 14$ days since registration): $+5$ pts.</w:t>
        <w:br/>
        <w:t>5. Dimension 5: Environmental &amp; Hardware Novelty ($S_{</w:t>
        <w:tab/>
        <w:t>ext{Env}} \in [0, 25]$ pts):</w:t>
        <w:br/>
        <w:t xml:space="preserve">   • Unrecognized hardware device fingerprint (`is_new_device`): $+8$ pts.</w:t>
        <w:br/>
        <w:t xml:space="preserve">   • Remote geolocation jump / distance $&gt; 50$ km (`is_location_changed`): $+8$ pts.</w:t>
        <w:br/>
        <w:t xml:space="preserve">   • First-time unverified beneficiary transfer (`is_new_beneficiary`): $+7$ pts.</w:t>
        <w:br/>
        <w:t xml:space="preserve">   • Nocturnal anomaly window ($00:00 - 05:59$ AM): $+4$ pts.</w:t>
        <w:br/>
        <w:t xml:space="preserve">   • Preceding failed authentication attempts ($\ge 2$ in 24h): $+8$ pts; ($1$ failed): $+3$ pts.</w:t>
        <w:br/>
        <w:t xml:space="preserve">   • Cross-border international transaction: $+4$ pts.</w:t>
      </w:r>
    </w:p>
    <w:p>
      <w:pPr>
        <w:spacing w:before="0" w:after="50" w:line="307" w:lineRule="auto"/>
        <w:jc w:val="both"/>
      </w:pPr>
      <w:r>
        <w:rPr>
          <w:rFonts w:ascii="Times New Roman" w:hAnsi="Times New Roman"/>
          <w:sz w:val="24"/>
        </w:rPr>
        <w:t>Priority Override Guarantee: If ML probability indicates critical fraud ($p \ge 0.70$) or amount ratio exceeds $50</w:t>
        <w:tab/>
        <w:t xml:space="preserve">imes$ baseline, the scoring engine enforces an automatic floor: $S \ge \max(S, </w:t>
        <w:tab/>
        <w:t xml:space="preserve">ext{round}(75.0 + p </w:t>
        <w:tab/>
        <w:t>imes 20.0))$, ensuring that high-confidence threats are guaranteed to land in the HIGH RISK tier.</w:t>
      </w:r>
    </w:p>
    <w:p>
      <w:pPr>
        <w:spacing w:before="0" w:after="50" w:line="307" w:lineRule="auto"/>
        <w:jc w:val="both"/>
      </w:pPr>
      <w:r>
        <w:rPr>
          <w:rFonts w:ascii="Times New Roman" w:hAnsi="Times New Roman"/>
          <w:sz w:val="24"/>
        </w:rPr>
        <w:t>Risk Band Classification:</w:t>
        <w:br/>
        <w:t>• LOW RISK ($0 \le S \le 30$): Clean baseline; zero friction; frictionless authorization.</w:t>
        <w:br/>
        <w:t>• MEDIUM RISK ($31 \le S \le 70$): Elevated anomaly; holds transaction; issues SMS OTP challenge.</w:t>
        <w:br/>
        <w:t>• HIGH RISK ($71 \le S \le 100$): Critical danger; halts transaction; opens forensic case docket.</w:t>
      </w:r>
    </w:p>
    <w:p>
      <w:pPr>
        <w:keepNext/>
        <w:spacing w:before="200" w:after="60" w:line="307" w:lineRule="auto"/>
        <w:jc w:val="left"/>
      </w:pPr>
      <w:r>
        <w:rPr>
          <w:rFonts w:ascii="Times New Roman" w:hAnsi="Times New Roman"/>
          <w:b/>
          <w:sz w:val="24"/>
        </w:rPr>
        <w:t>6.1.8 Explainable AI (XAI) via TreeSHAP</w:t>
      </w:r>
    </w:p>
    <w:p>
      <w:pPr>
        <w:spacing w:before="0" w:after="50" w:line="307" w:lineRule="auto"/>
        <w:jc w:val="both"/>
      </w:pPr>
      <w:r>
        <w:rPr>
          <w:rFonts w:ascii="Times New Roman" w:hAnsi="Times New Roman"/>
          <w:sz w:val="24"/>
        </w:rPr>
        <w:t>To eliminate model opacity, FraudLens AI incorporates TreeSHAP, an exact game-theoretic feature attribution engine grounded in cooperative game theory (Figure 6.3). For any individual prediction $f(x)$, TreeSHAP decomposes the model output into additive attributions:</w:t>
        <w:br/>
        <w:t>$$f(x) = \phi_0 + \sum_{i=1}^{M} \phi_i(x)$$</w:t>
        <w:br/>
        <w:t>where $\phi_0 = \mathbb{E}[f(z)]$ is the base expected value across the training background dataset, and $\phi_i(x)$ is the Shapley attribution value for feature $i$.</w:t>
      </w:r>
    </w:p>
    <w:p>
      <w:pPr>
        <w:spacing w:before="0" w:after="50" w:line="307" w:lineRule="auto"/>
        <w:jc w:val="both"/>
      </w:pPr>
      <w:r>
        <w:rPr>
          <w:rFonts w:ascii="Times New Roman" w:hAnsi="Times New Roman"/>
          <w:sz w:val="24"/>
        </w:rPr>
        <w:t>Mathematical Properties Satisfied:</w:t>
        <w:br/>
        <w:t>1. Efficiency (Local Accuracy): The sum of feature attributions plus the base value exactly equals the model prediction output.</w:t>
        <w:br/>
        <w:t>2. Missingness: Features with zero impact on the tree traversal receive exactly zero attribution ($\phi_i = 0$).</w:t>
        <w:br/>
        <w:t>3. Consistency: If a model modification increases the marginal contribution of a feature, its attribution value cannot decrease.</w:t>
      </w:r>
    </w:p>
    <w:p>
      <w:pPr>
        <w:spacing w:before="0" w:after="50" w:line="307" w:lineRule="auto"/>
        <w:jc w:val="both"/>
      </w:pPr>
      <w:r>
        <w:rPr>
          <w:rFonts w:ascii="Times New Roman" w:hAnsi="Times New Roman"/>
          <w:sz w:val="24"/>
        </w:rPr>
        <w:t>Table 6.5 reports the global top-15 feature importance rankings across the master dataset, confirming that composite risk flag counts, behavioral spending deviations, location mismatches, and nocturnal transaction timing serve as the primary global determinants of fraudulent activity.</w:t>
      </w:r>
    </w:p>
    <w:p>
      <w:pPr>
        <w:keepNext/>
        <w:spacing w:before="280" w:after="100" w:line="307" w:lineRule="auto"/>
        <w:jc w:val="left"/>
      </w:pPr>
      <w:r>
        <w:rPr>
          <w:rFonts w:ascii="Times New Roman" w:hAnsi="Times New Roman"/>
          <w:b/>
          <w:sz w:val="27"/>
        </w:rPr>
        <w:t>6.2 MODULES OVERVIEW</w:t>
      </w:r>
    </w:p>
    <w:p>
      <w:pPr>
        <w:spacing w:before="0" w:after="50" w:line="307" w:lineRule="auto"/>
        <w:jc w:val="both"/>
      </w:pPr>
      <w:r>
        <w:rPr>
          <w:rFonts w:ascii="Times New Roman" w:hAnsi="Times New Roman"/>
          <w:sz w:val="24"/>
        </w:rPr>
        <w:t>The functional architecture of FraudLens AI is partitioned into 10 cohesive, loosely coupled modules spanning the full software lifecycle from data ingestion to regulatory case closure:</w:t>
        <w:br/>
        <w:t>1. Module 1: Data Ingestion &amp; Validation Pipeline</w:t>
        <w:br/>
        <w:t>2. Module 2: Machine Learning Prediction Engine</w:t>
        <w:br/>
        <w:t>3. Module 3: Multi-Factor Deterministic Risk Scoring Engine</w:t>
        <w:br/>
        <w:t>4. Module 4: Explainable AI &amp; SHAP Attribution Subsystem</w:t>
        <w:br/>
        <w:t>5. Module 5: Pre-Authorization Decision &amp; Autonomous Orchestration Engine</w:t>
        <w:br/>
        <w:t>6. Module 6: Step-Up Security &amp; Realistic Smartphone SMS OTP Verification</w:t>
        <w:br/>
        <w:t>7. Module 7: Autonomous Case Management &amp; Investigation Hub</w:t>
        <w:br/>
        <w:t>8. Module 8: Interactive Command Center &amp; Streaming Radar Dashboard</w:t>
        <w:br/>
        <w:t>9. Module 9: AI Forensic Copilot &amp; Multi-LLM Reasoning Engine</w:t>
        <w:br/>
        <w:t>10. Module 10: Security, Multi-Tenant RBAC &amp; Immutable Audit Logging</w:t>
      </w:r>
    </w:p>
    <w:p>
      <w:pPr>
        <w:keepNext/>
        <w:spacing w:before="280" w:after="100" w:line="307" w:lineRule="auto"/>
        <w:jc w:val="left"/>
      </w:pPr>
      <w:r>
        <w:rPr>
          <w:rFonts w:ascii="Times New Roman" w:hAnsi="Times New Roman"/>
          <w:b/>
          <w:sz w:val="27"/>
        </w:rPr>
        <w:t>6.3 MODULE DESCRIPTION</w:t>
      </w:r>
    </w:p>
    <w:p>
      <w:pPr>
        <w:keepNext/>
        <w:spacing w:before="200" w:after="60" w:line="307" w:lineRule="auto"/>
        <w:jc w:val="left"/>
      </w:pPr>
      <w:r>
        <w:rPr>
          <w:rFonts w:ascii="Times New Roman" w:hAnsi="Times New Roman"/>
          <w:b/>
          <w:sz w:val="24"/>
        </w:rPr>
        <w:t>6.3.1 Module 1: Data Ingestion &amp; Preprocessing Module</w:t>
      </w:r>
    </w:p>
    <w:p>
      <w:pPr>
        <w:spacing w:before="0" w:after="50" w:line="307" w:lineRule="auto"/>
        <w:jc w:val="both"/>
      </w:pPr>
      <w:r>
        <w:rPr>
          <w:rFonts w:ascii="Times New Roman" w:hAnsi="Times New Roman"/>
          <w:sz w:val="24"/>
        </w:rPr>
        <w:t>• Purpose: Ingests raw transaction payloads, executes 11-step schema validation, and cleanses data.</w:t>
        <w:br/>
        <w:t>• Processing: Resolves missing values via median/constant imputers, removes identifier leakage, derives behavioral ratios, and encodes categoricals via OneHotEncoder into 63 model-ready inputs.</w:t>
        <w:br/>
        <w:t>• Input / Output: Raw transaction dictionary $</w:t>
        <w:br/>
        <w:t xml:space="preserve">ightarrow$ Standardized dense numerical matrix ($1 </w:t>
        <w:tab/>
        <w:t>imes 63$).</w:t>
      </w:r>
    </w:p>
    <w:p>
      <w:pPr>
        <w:keepNext/>
        <w:spacing w:before="200" w:after="60" w:line="307" w:lineRule="auto"/>
        <w:jc w:val="left"/>
      </w:pPr>
      <w:r>
        <w:rPr>
          <w:rFonts w:ascii="Times New Roman" w:hAnsi="Times New Roman"/>
          <w:b/>
          <w:sz w:val="24"/>
        </w:rPr>
        <w:t>6.3.2 Module 2: Machine Learning Prediction Engine</w:t>
      </w:r>
    </w:p>
    <w:p>
      <w:pPr>
        <w:spacing w:before="0" w:after="50" w:line="307" w:lineRule="auto"/>
        <w:jc w:val="both"/>
      </w:pPr>
      <w:r>
        <w:rPr>
          <w:rFonts w:ascii="Times New Roman" w:hAnsi="Times New Roman"/>
          <w:sz w:val="24"/>
        </w:rPr>
        <w:t>• Purpose: Executes low-latency inference using serialized champion models (.joblib).</w:t>
        <w:br/>
        <w:t>• Processing: Passes preprocessed feature vectors through tuned XGBoost / Stacking Ensemble, applying threshold optimization ($T = 0.0637$ for active deployment).</w:t>
        <w:br/>
        <w:t>• Input / Output: Transformed feature matrix $</w:t>
        <w:br/>
        <w:t>ightarrow$ Continuous Fraud Probability ($p \in [0.0, 1.0]$).</w:t>
      </w:r>
    </w:p>
    <w:p>
      <w:pPr>
        <w:keepNext/>
        <w:spacing w:before="200" w:after="60" w:line="307" w:lineRule="auto"/>
        <w:jc w:val="left"/>
      </w:pPr>
      <w:r>
        <w:rPr>
          <w:rFonts w:ascii="Times New Roman" w:hAnsi="Times New Roman"/>
          <w:b/>
          <w:sz w:val="24"/>
        </w:rPr>
        <w:t>6.3.3 Module 3: Multi-Factor Deterministic Risk Scoring Engine</w:t>
      </w:r>
    </w:p>
    <w:p>
      <w:pPr>
        <w:spacing w:before="0" w:after="50" w:line="307" w:lineRule="auto"/>
        <w:jc w:val="both"/>
      </w:pPr>
      <w:r>
        <w:rPr>
          <w:rFonts w:ascii="Times New Roman" w:hAnsi="Times New Roman"/>
          <w:sz w:val="24"/>
        </w:rPr>
        <w:t>• Purpose: Computes an objective operational risk score strictly separated from ML probability.</w:t>
        <w:br/>
        <w:t>• Processing: Aggregates 5 weighted dimensions (ML baseline, amount spike, velocity, history, novelty) and enforces priority high-risk floor clamping.</w:t>
        <w:br/>
        <w:t>• Input / Output: Fraud probability and raw transaction metadata $</w:t>
        <w:br/>
        <w:t>ightarrow$ Integer Risk Score ($0-100$) and Risk Level (LOW, MEDIUM, HIGH).</w:t>
      </w:r>
    </w:p>
    <w:p>
      <w:pPr>
        <w:keepNext/>
        <w:spacing w:before="200" w:after="60" w:line="307" w:lineRule="auto"/>
        <w:jc w:val="left"/>
      </w:pPr>
      <w:r>
        <w:rPr>
          <w:rFonts w:ascii="Times New Roman" w:hAnsi="Times New Roman"/>
          <w:b/>
          <w:sz w:val="24"/>
        </w:rPr>
        <w:t>6.3.4 Module 4: Explainable AI (TreeSHAP &amp; LinearSHAP Attribution)</w:t>
      </w:r>
    </w:p>
    <w:p>
      <w:pPr>
        <w:spacing w:before="0" w:after="50" w:line="307" w:lineRule="auto"/>
        <w:jc w:val="both"/>
      </w:pPr>
      <w:r>
        <w:rPr>
          <w:rFonts w:ascii="Times New Roman" w:hAnsi="Times New Roman"/>
          <w:sz w:val="24"/>
        </w:rPr>
        <w:t>• Purpose: Decomposes model predictions into interpretable local feature contributions.</w:t>
        <w:br/>
        <w:t>• Processing: Executes TreeSHAP polynomial tree traversal, sorting attributions into top risk-increasing and risk-decreasing factors.</w:t>
        <w:br/>
        <w:t>• Input / Output: Transformed vector $</w:t>
        <w:br/>
        <w:t>ightarrow$ Local waterfall attributions and plain-language evidence narrative.</w:t>
      </w:r>
    </w:p>
    <w:p>
      <w:pPr>
        <w:keepNext/>
        <w:spacing w:before="200" w:after="60" w:line="307" w:lineRule="auto"/>
        <w:jc w:val="left"/>
      </w:pPr>
      <w:r>
        <w:rPr>
          <w:rFonts w:ascii="Times New Roman" w:hAnsi="Times New Roman"/>
          <w:b/>
          <w:sz w:val="24"/>
        </w:rPr>
        <w:t>6.3.5 Module 5: Pre-Authorization Decision &amp; Autonomous Orchestrator</w:t>
      </w:r>
    </w:p>
    <w:p>
      <w:pPr>
        <w:spacing w:before="0" w:after="50" w:line="307" w:lineRule="auto"/>
        <w:jc w:val="both"/>
      </w:pPr>
      <w:r>
        <w:rPr>
          <w:rFonts w:ascii="Times New Roman" w:hAnsi="Times New Roman"/>
          <w:sz w:val="24"/>
        </w:rPr>
        <w:t>• Purpose: Acts as the authoritative gatekeeper for digital payment clearance.</w:t>
        <w:br/>
        <w:t>• Processing: Enforces idempotency checks, verifies wallet balance, evaluates rule heuristics, and dispatches decisions: ALLOW (0-30), REVIEW (31-70), or BLOCK (71-100).</w:t>
        <w:br/>
        <w:t>• Input / Output: Payment initiation request $</w:t>
        <w:br/>
        <w:t>ightarrow$ Decision result (ALLOW, REVIEW, BLOCK) with operational directives.</w:t>
      </w:r>
    </w:p>
    <w:p>
      <w:pPr>
        <w:keepNext/>
        <w:spacing w:before="200" w:after="60" w:line="307" w:lineRule="auto"/>
        <w:jc w:val="left"/>
      </w:pPr>
      <w:r>
        <w:rPr>
          <w:rFonts w:ascii="Times New Roman" w:hAnsi="Times New Roman"/>
          <w:b/>
          <w:sz w:val="24"/>
        </w:rPr>
        <w:t>6.3.6 Module 6: Step-Up Security &amp; Mobile Phone OTP Verification Module</w:t>
      </w:r>
    </w:p>
    <w:p>
      <w:pPr>
        <w:spacing w:before="0" w:after="50" w:line="307" w:lineRule="auto"/>
        <w:jc w:val="both"/>
      </w:pPr>
      <w:r>
        <w:rPr>
          <w:rFonts w:ascii="Times New Roman" w:hAnsi="Times New Roman"/>
          <w:sz w:val="24"/>
        </w:rPr>
        <w:t>• Purpose: Provides adaptive challenge-response authentication for held review transactions.</w:t>
        <w:br/>
        <w:t>• Processing: Generates 6-digit cryptographic OTP, renders realistic smartphone slide-down SMS banner, enforces 15-minute countdown, and matches tokens.</w:t>
        <w:br/>
        <w:t>• Input / Output: Approval request ID and user-submitted token $</w:t>
        <w:br/>
        <w:t>ightarrow$ Authorization confirmation or account freeze.</w:t>
      </w:r>
    </w:p>
    <w:p>
      <w:pPr>
        <w:keepNext/>
        <w:spacing w:before="200" w:after="60" w:line="307" w:lineRule="auto"/>
        <w:jc w:val="left"/>
      </w:pPr>
      <w:r>
        <w:rPr>
          <w:rFonts w:ascii="Times New Roman" w:hAnsi="Times New Roman"/>
          <w:b/>
          <w:sz w:val="24"/>
        </w:rPr>
        <w:t>6.3.7 Module 7: Autonomous Investigation &amp; Case Management Module</w:t>
      </w:r>
    </w:p>
    <w:p>
      <w:pPr>
        <w:spacing w:before="0" w:after="50" w:line="307" w:lineRule="auto"/>
        <w:jc w:val="both"/>
      </w:pPr>
      <w:r>
        <w:rPr>
          <w:rFonts w:ascii="Times New Roman" w:hAnsi="Times New Roman"/>
          <w:sz w:val="24"/>
        </w:rPr>
        <w:t>• Purpose: Manages forensic investigative workflows for flagged transactions.</w:t>
        <w:br/>
        <w:t>• Processing: Automatically creates investigation case records with audit notes, tracks analyst assignments, records formal determinations, and updates case lifecycles.</w:t>
        <w:br/>
        <w:t>• Input / Output: Flagged transaction ID $</w:t>
        <w:br/>
        <w:t>ightarrow$ Managed case docket with full forensic timeline.</w:t>
      </w:r>
    </w:p>
    <w:p>
      <w:pPr>
        <w:keepNext/>
        <w:spacing w:before="200" w:after="60" w:line="307" w:lineRule="auto"/>
        <w:jc w:val="left"/>
      </w:pPr>
      <w:r>
        <w:rPr>
          <w:rFonts w:ascii="Times New Roman" w:hAnsi="Times New Roman"/>
          <w:b/>
          <w:sz w:val="24"/>
        </w:rPr>
        <w:t>6.3.8 Module 8: Interactive Command Center, Intelligence Radar &amp; Analytics Dashboard</w:t>
      </w:r>
    </w:p>
    <w:p>
      <w:pPr>
        <w:spacing w:before="0" w:after="50" w:line="307" w:lineRule="auto"/>
        <w:jc w:val="both"/>
      </w:pPr>
      <w:r>
        <w:rPr>
          <w:rFonts w:ascii="Times New Roman" w:hAnsi="Times New Roman"/>
          <w:sz w:val="24"/>
        </w:rPr>
        <w:t>• Purpose: Visualizes real-time transaction telemetry and merchant fleet surveillance.</w:t>
        <w:br/>
        <w:t>• Processing: Subscribes to full-duplex WebSocket feeds, rendering live radar streams, risk telemetry grids, and 29-merchant profiling summaries.</w:t>
        <w:br/>
        <w:t>• Input / Output: Streaming transaction events $</w:t>
        <w:br/>
        <w:t>ightarrow$ Interactive reactive charts and telemetry feeds.</w:t>
      </w:r>
    </w:p>
    <w:p>
      <w:pPr>
        <w:keepNext/>
        <w:spacing w:before="200" w:after="60" w:line="307" w:lineRule="auto"/>
        <w:jc w:val="left"/>
      </w:pPr>
      <w:r>
        <w:rPr>
          <w:rFonts w:ascii="Times New Roman" w:hAnsi="Times New Roman"/>
          <w:b/>
          <w:sz w:val="24"/>
        </w:rPr>
        <w:t>6.3.9 Module 9: AI Forensic Copilot &amp; Multi-LLM Reasoning Engine</w:t>
      </w:r>
    </w:p>
    <w:p>
      <w:pPr>
        <w:spacing w:before="0" w:after="50" w:line="307" w:lineRule="auto"/>
        <w:jc w:val="both"/>
      </w:pPr>
      <w:r>
        <w:rPr>
          <w:rFonts w:ascii="Times New Roman" w:hAnsi="Times New Roman"/>
          <w:sz w:val="24"/>
        </w:rPr>
        <w:t>• Purpose: Automates forensic dossier synthesis and regulatory compliance reporting.</w:t>
        <w:br/>
        <w:t>• Processing: Coordinates multi-LLM reasoning via Google Gemini 1.5 Pro and xAI Grok-2, generating 4-stage kill-chain attack topologies, copyable Mermaid graphs, SAR drafts, and spoken natural voice briefings.</w:t>
        <w:br/>
        <w:t>• Input / Output: Case ID $</w:t>
        <w:br/>
        <w:t>ightarrow$ Synthesized forensic dossier, attack graph, and spoken audio narration.</w:t>
      </w:r>
    </w:p>
    <w:p>
      <w:pPr>
        <w:keepNext/>
        <w:spacing w:before="200" w:after="60" w:line="307" w:lineRule="auto"/>
        <w:jc w:val="left"/>
      </w:pPr>
      <w:r>
        <w:rPr>
          <w:rFonts w:ascii="Times New Roman" w:hAnsi="Times New Roman"/>
          <w:b/>
          <w:sz w:val="24"/>
        </w:rPr>
        <w:t>6.3.10 Module 10: Role-Based Access Control, Idempotency &amp; Immutable Audit Logging</w:t>
      </w:r>
    </w:p>
    <w:p>
      <w:pPr>
        <w:spacing w:before="0" w:after="50" w:line="307" w:lineRule="auto"/>
        <w:jc w:val="both"/>
      </w:pPr>
      <w:r>
        <w:rPr>
          <w:rFonts w:ascii="Times New Roman" w:hAnsi="Times New Roman"/>
          <w:sz w:val="24"/>
        </w:rPr>
        <w:t>• Purpose: Enforces zero-data-leakage multi-tenant privacy and systemic auditability.</w:t>
        <w:br/>
        <w:t>• Processing: Validates OAuth2 JWT bearer tokens with role scopes (CUSTOMER, INVESTIGATOR, ADMIN), enforces customer-isolated database queries, intercepts duplicate network payloads, and records SHA-256 hashed audit logs.</w:t>
        <w:br/>
        <w:t>• Input / Output: HTTP request headers $</w:t>
        <w:br/>
        <w:t>ightarrow$ Authenticated session context and tamper-evident audit record.</w:t>
      </w:r>
    </w:p>
    <w:p>
      <w:pPr>
        <w:keepNext/>
        <w:spacing w:before="200" w:after="60"/>
        <w:jc w:val="left"/>
      </w:pPr>
      <w:r>
        <w:rPr>
          <w:rFonts w:ascii="Times New Roman" w:hAnsi="Times New Roman"/>
          <w:b/>
          <w:sz w:val="21"/>
        </w:rPr>
        <w:t>Table 6.1: Master Dataset Attribute &amp; Domain Specifications (Sample of 41 of 57 Attributes)</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2257"/>
        <w:gridCol w:w="2257"/>
        <w:gridCol w:w="2257"/>
        <w:gridCol w:w="2257"/>
      </w:tblGrid>
      <w:tr>
        <w:trPr>
          <w:tblHeader/>
        </w:trPr>
        <w:tc>
          <w:tcPr>
            <w:tcW w:type="dxa" w:w="2592"/>
            <w:shd w:fill="F1F5F9"/>
            <w:tcMar>
              <w:top w:w="70" w:type="dxa"/>
              <w:bottom w:w="70" w:type="dxa"/>
              <w:left w:w="90" w:type="dxa"/>
              <w:right w:w="90" w:type="dxa"/>
            </w:tcMar>
          </w:tcPr>
          <w:p>
            <w:pPr>
              <w:spacing w:before="20" w:after="20"/>
              <w:jc w:val="center"/>
            </w:pPr>
            <w:r>
              <w:rPr>
                <w:rFonts w:ascii="Times New Roman" w:hAnsi="Times New Roman"/>
                <w:b/>
                <w:color w:val="0F172A"/>
                <w:sz w:val="19"/>
              </w:rPr>
              <w:t>Attribute Name</w:t>
            </w:r>
          </w:p>
        </w:tc>
        <w:tc>
          <w:tcPr>
            <w:tcW w:type="dxa" w:w="2304"/>
            <w:shd w:fill="F1F5F9"/>
            <w:tcMar>
              <w:top w:w="70" w:type="dxa"/>
              <w:bottom w:w="70" w:type="dxa"/>
              <w:left w:w="90" w:type="dxa"/>
              <w:right w:w="90" w:type="dxa"/>
            </w:tcMar>
          </w:tcPr>
          <w:p>
            <w:pPr>
              <w:spacing w:before="20" w:after="20"/>
              <w:jc w:val="center"/>
            </w:pPr>
            <w:r>
              <w:rPr>
                <w:rFonts w:ascii="Times New Roman" w:hAnsi="Times New Roman"/>
                <w:b/>
                <w:color w:val="0F172A"/>
                <w:sz w:val="19"/>
              </w:rPr>
              <w:t>Data Type &amp; Constraint</w:t>
            </w:r>
          </w:p>
        </w:tc>
        <w:tc>
          <w:tcPr>
            <w:tcW w:type="dxa" w:w="1584"/>
            <w:shd w:fill="F1F5F9"/>
            <w:tcMar>
              <w:top w:w="70" w:type="dxa"/>
              <w:bottom w:w="70" w:type="dxa"/>
              <w:left w:w="90" w:type="dxa"/>
              <w:right w:w="90" w:type="dxa"/>
            </w:tcMar>
          </w:tcPr>
          <w:p>
            <w:pPr>
              <w:spacing w:before="20" w:after="20"/>
              <w:jc w:val="center"/>
            </w:pPr>
            <w:r>
              <w:rPr>
                <w:rFonts w:ascii="Times New Roman" w:hAnsi="Times New Roman"/>
                <w:b/>
                <w:color w:val="0F172A"/>
                <w:sz w:val="19"/>
              </w:rPr>
              <w:t>Sample Value</w:t>
            </w:r>
          </w:p>
        </w:tc>
        <w:tc>
          <w:tcPr>
            <w:tcW w:type="dxa" w:w="2880"/>
            <w:shd w:fill="F1F5F9"/>
            <w:tcMar>
              <w:top w:w="70" w:type="dxa"/>
              <w:bottom w:w="70" w:type="dxa"/>
              <w:left w:w="90" w:type="dxa"/>
              <w:right w:w="90" w:type="dxa"/>
            </w:tcMar>
          </w:tcPr>
          <w:p>
            <w:pPr>
              <w:spacing w:before="20" w:after="20"/>
              <w:jc w:val="center"/>
            </w:pPr>
            <w:r>
              <w:rPr>
                <w:rFonts w:ascii="Times New Roman" w:hAnsi="Times New Roman"/>
                <w:b/>
                <w:color w:val="0F172A"/>
                <w:sz w:val="19"/>
              </w:rPr>
              <w:t>Domain Definition &amp; Operational Usage</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transaction_id</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String / Alphanumeric</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TX-2026-000017</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Unique primary transaction key (Purged during preprocessing)</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transaction_datetime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Timestamp (YYYY-MM-DD HH:MM:SS)</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2026-01-01 00:00:20</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Exact ISO clearance timestamp</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transaction_type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Categorical (CARD, UPI, POS, ONLINE)</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ONLINE</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Payment clearance rail / transaction channel</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amount</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Float (Monetary Value in INR)</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18500.00</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Gross transactional amount requested for authorization</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currency</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String (ISO-4217)</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INR</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Transaction settlement currency</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merchant_id</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String (M001 to M030)</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M002</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Identifier of the acquiring commercial merchant</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merchant_name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String</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CircuitBay Electronics</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Commercial trading name of acquiring business</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merchant_category</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Categorical (9 Categories)</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Consumer Electronics</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Industry vertical categorization</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merchant_city</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Categorical (Urban Centers)</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Chennai</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Physical municipality of merchant operation</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merchant_business_age_years</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Float</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4.5</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Operational longevity of merchant entity</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merchant_average_ticket</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Float</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2500.00</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Historical average transaction size for merchant</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merchant_payment_channels</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Categorical String</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CARD,ONLINE,TRANSFER</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Permitted settlement channels</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customer_id</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String</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CUST_MOHANA_002</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Cardholder account identifier</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customer_account_age_days</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Integer / Float</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420</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KYC tenure of customer account in days</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customer_usual_location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Categorical (City)</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Salem</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Primary historical residence cluster</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customer_historical_avg_amount</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Float</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1800.00</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Rolling 30-day baseline average spend</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customer_historical_max_amount</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Float</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12000.00</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All-time maximum transaction successfully cleared</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customer_total_transactions_prior</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Integer</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34</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Cumulative prior transaction count on record</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device_id</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String</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DEV-AND-9912</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Hardware terminal or client signature hash</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device_type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Categorical</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mobile_android</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Client operating system and browser profile</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is_new_device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Boolean (0 / 1)</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1</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Flag indicating device novelty for customer</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is_trusted_device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Boolean (0 / 1)</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0</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Flag indicating hardware whitelisting</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beneficiary_id</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String</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BEN-7781</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Destination account identifier for transfers</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is_new_beneficiary</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Boolean (0 / 1)</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1</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Flag indicating first-time recipient transfer</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transaction_hour</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Integer (0 to 23)</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2</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Local hour of transaction initiation</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day_of_week</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Integer (0 to 6)</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3</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Day of the week (0 = Monday, 6 = Sunday)</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is_weekend</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Boolean (0 / 1)</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0</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Weekend transaction indicator</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is_night_transaction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Boolean (0 / 1)</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1</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Nocturnal anomaly window (00:00 - 05:59 AM)</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transactions_last_1h</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Integer</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4</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Customer velocity count in past 60 minutes</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transactions_last_24h</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Integer</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9</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Customer velocity count in past 24 hours</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transactions_last_7d</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Integer</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22</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Customer velocity count in past 7 days</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amount_to_avg_ratio</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Float</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10.27</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Ratio of amount to 30-day baseline average</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amount_deviation_zscore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Float</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6.12</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Standardized expenditure deviation</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current_location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Categorical (City)</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Bengaluru</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Originating location of transaction request</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is_location_changed</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Boolean (0 / 1)</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1</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Flag indicating remote geolocation jump</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location_distance_km</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Float</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210.5</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Calculated distance from usual residential cluster</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failed_transaction_attempts_24h</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Integer</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3</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Failed payment attempts in past 24 hours</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failed_login_attempts_24h</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Integer</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2</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Failed login attempts preceding transaction</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recent_password_change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Boolean (0 / 1)</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1</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Credential modification within past 48 hours</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merchant_historical_fraud_rate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Float</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0.082</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Historical fraud prevalence rate for merchant</w:t>
            </w:r>
          </w:p>
        </w:tc>
      </w:tr>
      <w:tr>
        <w:trPr>
          <w:cantSplit/>
        </w:trPr>
        <w:tc>
          <w:tcPr>
            <w:tcW w:type="dxa" w:w="2592"/>
            <w:tcMar>
              <w:top w:w="35" w:type="dxa"/>
              <w:bottom w:w="35" w:type="dxa"/>
              <w:left w:w="65" w:type="dxa"/>
              <w:right w:w="65" w:type="dxa"/>
            </w:tcMar>
          </w:tcPr>
          <w:p>
            <w:pPr>
              <w:spacing w:before="10" w:after="10" w:line="240" w:lineRule="auto"/>
            </w:pPr>
            <w:r>
              <w:rPr>
                <w:rFonts w:ascii="Times New Roman" w:hAnsi="Times New Roman"/>
                <w:b/>
                <w:sz w:val="18"/>
              </w:rPr>
              <w:t>is_fraud</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Boolean (0 / 1) [TARGET]</w:t>
            </w:r>
          </w:p>
        </w:tc>
        <w:tc>
          <w:tcPr>
            <w:tcW w:type="dxa" w:w="1584"/>
            <w:tcMar>
              <w:top w:w="35" w:type="dxa"/>
              <w:bottom w:w="35" w:type="dxa"/>
              <w:left w:w="65" w:type="dxa"/>
              <w:right w:w="65" w:type="dxa"/>
            </w:tcMar>
          </w:tcPr>
          <w:p>
            <w:pPr>
              <w:spacing w:before="10" w:after="10" w:line="240" w:lineRule="auto"/>
            </w:pPr>
            <w:r>
              <w:rPr>
                <w:rFonts w:ascii="Times New Roman" w:hAnsi="Times New Roman"/>
                <w:sz w:val="18"/>
              </w:rPr>
              <w:t>1</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Ground truth fraud label (0 = Genuine, 1 = Fraud)</w:t>
            </w:r>
          </w:p>
        </w:tc>
      </w:tr>
    </w:tbl>
    <w:p>
      <w:pPr>
        <w:keepNext/>
        <w:spacing w:before="160" w:after="40"/>
        <w:jc w:val="center"/>
      </w:pPr>
      <w:r>
        <w:drawing>
          <wp:inline xmlns:a="http://schemas.openxmlformats.org/drawingml/2006/main" xmlns:pic="http://schemas.openxmlformats.org/drawingml/2006/picture">
            <wp:extent cx="4297680" cy="2753997"/>
            <wp:docPr id="9" name="Picture 9"/>
            <wp:cNvGraphicFramePr>
              <a:graphicFrameLocks noChangeAspect="1"/>
            </wp:cNvGraphicFramePr>
            <a:graphic>
              <a:graphicData uri="http://schemas.openxmlformats.org/drawingml/2006/picture">
                <pic:pic>
                  <pic:nvPicPr>
                    <pic:cNvPr id="0" name="fig_6_1_ml_pipeline_workflow.png"/>
                    <pic:cNvPicPr/>
                  </pic:nvPicPr>
                  <pic:blipFill>
                    <a:blip r:embed="rId20"/>
                    <a:stretch>
                      <a:fillRect/>
                    </a:stretch>
                  </pic:blipFill>
                  <pic:spPr>
                    <a:xfrm>
                      <a:off x="0" y="0"/>
                      <a:ext cx="4297680" cy="2753997"/>
                    </a:xfrm>
                    <a:prstGeom prst="rect"/>
                  </pic:spPr>
                </pic:pic>
              </a:graphicData>
            </a:graphic>
          </wp:inline>
        </w:drawing>
      </w:r>
    </w:p>
    <w:p>
      <w:pPr>
        <w:keepNext/>
        <w:spacing w:before="40" w:after="200"/>
        <w:jc w:val="center"/>
      </w:pPr>
      <w:r>
        <w:rPr>
          <w:rFonts w:ascii="Times New Roman" w:hAnsi="Times New Roman"/>
          <w:b/>
          <w:sz w:val="20"/>
        </w:rPr>
        <w:t>Figure 6.1: End-to-End Machine Learning &amp; Feature Pipeline Workflow</w:t>
      </w:r>
    </w:p>
    <w:p>
      <w:pPr>
        <w:keepNext/>
        <w:spacing w:before="200" w:after="60"/>
        <w:jc w:val="left"/>
      </w:pPr>
      <w:r>
        <w:rPr>
          <w:rFonts w:ascii="Times New Roman" w:hAnsi="Times New Roman"/>
          <w:b/>
          <w:sz w:val="21"/>
        </w:rPr>
        <w:t>Table 6.2: Preprocessing Transformation &amp; Imputation Strategy</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2257"/>
        <w:gridCol w:w="2257"/>
        <w:gridCol w:w="2257"/>
        <w:gridCol w:w="2257"/>
      </w:tblGrid>
      <w:tr>
        <w:trPr>
          <w:tblHeader/>
        </w:trPr>
        <w:tc>
          <w:tcPr>
            <w:tcW w:type="dxa" w:w="2160"/>
            <w:shd w:fill="F1F5F9"/>
            <w:tcMar>
              <w:top w:w="70" w:type="dxa"/>
              <w:bottom w:w="70" w:type="dxa"/>
              <w:left w:w="90" w:type="dxa"/>
              <w:right w:w="90" w:type="dxa"/>
            </w:tcMar>
          </w:tcPr>
          <w:p>
            <w:pPr>
              <w:spacing w:before="20" w:after="20"/>
              <w:jc w:val="center"/>
            </w:pPr>
            <w:r>
              <w:rPr>
                <w:rFonts w:ascii="Times New Roman" w:hAnsi="Times New Roman"/>
                <w:b/>
                <w:color w:val="0F172A"/>
                <w:sz w:val="19"/>
              </w:rPr>
              <w:t>Pipeline Stage</w:t>
            </w:r>
          </w:p>
        </w:tc>
        <w:tc>
          <w:tcPr>
            <w:tcW w:type="dxa" w:w="2304"/>
            <w:shd w:fill="F1F5F9"/>
            <w:tcMar>
              <w:top w:w="70" w:type="dxa"/>
              <w:bottom w:w="70" w:type="dxa"/>
              <w:left w:w="90" w:type="dxa"/>
              <w:right w:w="90" w:type="dxa"/>
            </w:tcMar>
          </w:tcPr>
          <w:p>
            <w:pPr>
              <w:spacing w:before="20" w:after="20"/>
              <w:jc w:val="center"/>
            </w:pPr>
            <w:r>
              <w:rPr>
                <w:rFonts w:ascii="Times New Roman" w:hAnsi="Times New Roman"/>
                <w:b/>
                <w:color w:val="0F172A"/>
                <w:sz w:val="19"/>
              </w:rPr>
              <w:t>Target Features</w:t>
            </w:r>
          </w:p>
        </w:tc>
        <w:tc>
          <w:tcPr>
            <w:tcW w:type="dxa" w:w="2448"/>
            <w:shd w:fill="F1F5F9"/>
            <w:tcMar>
              <w:top w:w="70" w:type="dxa"/>
              <w:bottom w:w="70" w:type="dxa"/>
              <w:left w:w="90" w:type="dxa"/>
              <w:right w:w="90" w:type="dxa"/>
            </w:tcMar>
          </w:tcPr>
          <w:p>
            <w:pPr>
              <w:spacing w:before="20" w:after="20"/>
              <w:jc w:val="center"/>
            </w:pPr>
            <w:r>
              <w:rPr>
                <w:rFonts w:ascii="Times New Roman" w:hAnsi="Times New Roman"/>
                <w:b/>
                <w:color w:val="0F172A"/>
                <w:sz w:val="19"/>
              </w:rPr>
              <w:t>Transformation Method</w:t>
            </w:r>
          </w:p>
        </w:tc>
        <w:tc>
          <w:tcPr>
            <w:tcW w:type="dxa" w:w="2448"/>
            <w:shd w:fill="F1F5F9"/>
            <w:tcMar>
              <w:top w:w="70" w:type="dxa"/>
              <w:bottom w:w="70" w:type="dxa"/>
              <w:left w:w="90" w:type="dxa"/>
              <w:right w:w="90" w:type="dxa"/>
            </w:tcMar>
          </w:tcPr>
          <w:p>
            <w:pPr>
              <w:spacing w:before="20" w:after="20"/>
              <w:jc w:val="center"/>
            </w:pPr>
            <w:r>
              <w:rPr>
                <w:rFonts w:ascii="Times New Roman" w:hAnsi="Times New Roman"/>
                <w:b/>
                <w:color w:val="0F172A"/>
                <w:sz w:val="19"/>
              </w:rPr>
              <w:t>Mathematical &amp; Architectural Rationale</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Numerical Imputation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amount, velocities, tenure, deviations</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SimpleImputer(strategy='median')</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Preserves robust central tendency against monetary outliers</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Categorical Imputation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merchant_category, device_type, channels</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SimpleImputer(strategy='constant', fill_value='unknown')</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Prevents missing key errors on unpopulated fields</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Continuous Scaling</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26 Continuous Engineered Features</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StandardScaler(with_mean=True, with_std=True)</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Normalizes features to zero mean and unit variance ($z = (x-\mu)/\sigma$)</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Categorical Encoding</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4 Categorical Features (37 dummy columns)</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OneHotEncoder(handle_unknown='ignore', sparse=False)</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Generates orthogonal binary indicator matrix; ignores novel test levels</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Feature Leakage Drop</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IDs, fraud probabilities, risk scores</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DataFrame.drop(columns=[...])</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Guarantees zero future-target leakage into training matrices</w:t>
            </w:r>
          </w:p>
        </w:tc>
      </w:tr>
    </w:tbl>
    <w:p>
      <w:pPr>
        <w:keepNext/>
        <w:spacing w:before="200" w:after="60"/>
        <w:jc w:val="left"/>
      </w:pPr>
      <w:r>
        <w:rPr>
          <w:rFonts w:ascii="Times New Roman" w:hAnsi="Times New Roman"/>
          <w:b/>
          <w:sz w:val="21"/>
        </w:rPr>
        <w:t>Table 6.3: Machine Learning Model Hyperparameters &amp; Architecture</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2257"/>
        <w:gridCol w:w="2257"/>
        <w:gridCol w:w="2257"/>
        <w:gridCol w:w="2257"/>
      </w:tblGrid>
      <w:tr>
        <w:trPr>
          <w:tblHeader/>
        </w:trPr>
        <w:tc>
          <w:tcPr>
            <w:tcW w:type="dxa" w:w="2016"/>
            <w:shd w:fill="F1F5F9"/>
            <w:tcMar>
              <w:top w:w="70" w:type="dxa"/>
              <w:bottom w:w="70" w:type="dxa"/>
              <w:left w:w="90" w:type="dxa"/>
              <w:right w:w="90" w:type="dxa"/>
            </w:tcMar>
          </w:tcPr>
          <w:p>
            <w:pPr>
              <w:spacing w:before="20" w:after="20"/>
              <w:jc w:val="center"/>
            </w:pPr>
            <w:r>
              <w:rPr>
                <w:rFonts w:ascii="Times New Roman" w:hAnsi="Times New Roman"/>
                <w:b/>
                <w:color w:val="0F172A"/>
                <w:sz w:val="19"/>
              </w:rPr>
              <w:t>Model Architecture</w:t>
            </w:r>
          </w:p>
        </w:tc>
        <w:tc>
          <w:tcPr>
            <w:tcW w:type="dxa" w:w="2304"/>
            <w:shd w:fill="F1F5F9"/>
            <w:tcMar>
              <w:top w:w="70" w:type="dxa"/>
              <w:bottom w:w="70" w:type="dxa"/>
              <w:left w:w="90" w:type="dxa"/>
              <w:right w:w="90" w:type="dxa"/>
            </w:tcMar>
          </w:tcPr>
          <w:p>
            <w:pPr>
              <w:spacing w:before="20" w:after="20"/>
              <w:jc w:val="center"/>
            </w:pPr>
            <w:r>
              <w:rPr>
                <w:rFonts w:ascii="Times New Roman" w:hAnsi="Times New Roman"/>
                <w:b/>
                <w:color w:val="0F172A"/>
                <w:sz w:val="19"/>
              </w:rPr>
              <w:t>Model Family</w:t>
            </w:r>
          </w:p>
        </w:tc>
        <w:tc>
          <w:tcPr>
            <w:tcW w:type="dxa" w:w="3024"/>
            <w:shd w:fill="F1F5F9"/>
            <w:tcMar>
              <w:top w:w="70" w:type="dxa"/>
              <w:bottom w:w="70" w:type="dxa"/>
              <w:left w:w="90" w:type="dxa"/>
              <w:right w:w="90" w:type="dxa"/>
            </w:tcMar>
          </w:tcPr>
          <w:p>
            <w:pPr>
              <w:spacing w:before="20" w:after="20"/>
              <w:jc w:val="center"/>
            </w:pPr>
            <w:r>
              <w:rPr>
                <w:rFonts w:ascii="Times New Roman" w:hAnsi="Times New Roman"/>
                <w:b/>
                <w:color w:val="0F172A"/>
                <w:sz w:val="19"/>
              </w:rPr>
              <w:t>Tuned Hyperparameters</w:t>
            </w:r>
          </w:p>
        </w:tc>
        <w:tc>
          <w:tcPr>
            <w:tcW w:type="dxa" w:w="2016"/>
            <w:shd w:fill="F1F5F9"/>
            <w:tcMar>
              <w:top w:w="70" w:type="dxa"/>
              <w:bottom w:w="70" w:type="dxa"/>
              <w:left w:w="90" w:type="dxa"/>
              <w:right w:w="90" w:type="dxa"/>
            </w:tcMar>
          </w:tcPr>
          <w:p>
            <w:pPr>
              <w:spacing w:before="20" w:after="20"/>
              <w:jc w:val="center"/>
            </w:pPr>
            <w:r>
              <w:rPr>
                <w:rFonts w:ascii="Times New Roman" w:hAnsi="Times New Roman"/>
                <w:b/>
                <w:color w:val="0F172A"/>
                <w:sz w:val="19"/>
              </w:rPr>
              <w:t>Architectural Rationale</w:t>
            </w:r>
          </w:p>
        </w:tc>
      </w:tr>
      <w:tr>
        <w:trPr>
          <w:cantSplit/>
        </w:trPr>
        <w:tc>
          <w:tcPr>
            <w:tcW w:type="dxa" w:w="2016"/>
            <w:tcMar>
              <w:top w:w="35" w:type="dxa"/>
              <w:bottom w:w="35" w:type="dxa"/>
              <w:left w:w="65" w:type="dxa"/>
              <w:right w:w="65" w:type="dxa"/>
            </w:tcMar>
          </w:tcPr>
          <w:p>
            <w:pPr>
              <w:spacing w:before="10" w:after="10" w:line="240" w:lineRule="auto"/>
            </w:pPr>
            <w:r>
              <w:rPr>
                <w:rFonts w:ascii="Times New Roman" w:hAnsi="Times New Roman"/>
                <w:b/>
                <w:sz w:val="18"/>
              </w:rPr>
              <w:t>Logistic Regression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L2-Regularized Linear Classifier</w:t>
            </w:r>
          </w:p>
        </w:tc>
        <w:tc>
          <w:tcPr>
            <w:tcW w:type="dxa" w:w="3024"/>
            <w:tcMar>
              <w:top w:w="35" w:type="dxa"/>
              <w:bottom w:w="35" w:type="dxa"/>
              <w:left w:w="65" w:type="dxa"/>
              <w:right w:w="65" w:type="dxa"/>
            </w:tcMar>
          </w:tcPr>
          <w:p>
            <w:pPr>
              <w:spacing w:before="10" w:after="10" w:line="240" w:lineRule="auto"/>
            </w:pPr>
            <w:r>
              <w:rPr>
                <w:rFonts w:ascii="Times New Roman" w:hAnsi="Times New Roman"/>
                <w:sz w:val="18"/>
              </w:rPr>
              <w:t>C=1.0, max_iter=1500, solver='lbfgs', class_weight='balanced'</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Interpretable linear log-odds baseline with inverse frequency weighting</w:t>
            </w:r>
          </w:p>
        </w:tc>
      </w:tr>
      <w:tr>
        <w:trPr>
          <w:cantSplit/>
        </w:trPr>
        <w:tc>
          <w:tcPr>
            <w:tcW w:type="dxa" w:w="2016"/>
            <w:tcMar>
              <w:top w:w="35" w:type="dxa"/>
              <w:bottom w:w="35" w:type="dxa"/>
              <w:left w:w="65" w:type="dxa"/>
              <w:right w:w="65" w:type="dxa"/>
            </w:tcMar>
          </w:tcPr>
          <w:p>
            <w:pPr>
              <w:spacing w:before="10" w:after="10" w:line="240" w:lineRule="auto"/>
            </w:pPr>
            <w:r>
              <w:rPr>
                <w:rFonts w:ascii="Times New Roman" w:hAnsi="Times New Roman"/>
                <w:b/>
                <w:sz w:val="18"/>
              </w:rPr>
              <w:t>Random Forest</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Bagged Decision Tree Ensemble</w:t>
            </w:r>
          </w:p>
        </w:tc>
        <w:tc>
          <w:tcPr>
            <w:tcW w:type="dxa" w:w="3024"/>
            <w:tcMar>
              <w:top w:w="35" w:type="dxa"/>
              <w:bottom w:w="35" w:type="dxa"/>
              <w:left w:w="65" w:type="dxa"/>
              <w:right w:w="65" w:type="dxa"/>
            </w:tcMar>
          </w:tcPr>
          <w:p>
            <w:pPr>
              <w:spacing w:before="10" w:after="10" w:line="240" w:lineRule="auto"/>
            </w:pPr>
            <w:r>
              <w:rPr>
                <w:rFonts w:ascii="Times New Roman" w:hAnsi="Times New Roman"/>
                <w:sz w:val="18"/>
              </w:rPr>
              <w:t>n_estimators=300, max_depth=12, min_samples_split=3, class_weight='balanced_subsample'</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Variance reduction through bootstrap aggregation and random subspace projection</w:t>
            </w:r>
          </w:p>
        </w:tc>
      </w:tr>
      <w:tr>
        <w:trPr>
          <w:cantSplit/>
        </w:trPr>
        <w:tc>
          <w:tcPr>
            <w:tcW w:type="dxa" w:w="2016"/>
            <w:tcMar>
              <w:top w:w="35" w:type="dxa"/>
              <w:bottom w:w="35" w:type="dxa"/>
              <w:left w:w="65" w:type="dxa"/>
              <w:right w:w="65" w:type="dxa"/>
            </w:tcMar>
          </w:tcPr>
          <w:p>
            <w:pPr>
              <w:spacing w:before="10" w:after="10" w:line="240" w:lineRule="auto"/>
            </w:pPr>
            <w:r>
              <w:rPr>
                <w:rFonts w:ascii="Times New Roman" w:hAnsi="Times New Roman"/>
                <w:b/>
                <w:sz w:val="18"/>
              </w:rPr>
              <w:t>XGBoost Classifier</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Gradient Boosted Decision Trees</w:t>
            </w:r>
          </w:p>
        </w:tc>
        <w:tc>
          <w:tcPr>
            <w:tcW w:type="dxa" w:w="3024"/>
            <w:tcMar>
              <w:top w:w="35" w:type="dxa"/>
              <w:bottom w:w="35" w:type="dxa"/>
              <w:left w:w="65" w:type="dxa"/>
              <w:right w:w="65" w:type="dxa"/>
            </w:tcMar>
          </w:tcPr>
          <w:p>
            <w:pPr>
              <w:spacing w:before="10" w:after="10" w:line="240" w:lineRule="auto"/>
            </w:pPr>
            <w:r>
              <w:rPr>
                <w:rFonts w:ascii="Times New Roman" w:hAnsi="Times New Roman"/>
                <w:sz w:val="18"/>
              </w:rPr>
              <w:t>n_estimators=250, max_depth=5, lr=0.035, scale_pos_weight=17.3, subsample=0.85, colsample=0.85</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Champion model optimizing 2nd-order Taylor expansions with exact imbalance compensation</w:t>
            </w:r>
          </w:p>
        </w:tc>
      </w:tr>
      <w:tr>
        <w:trPr>
          <w:cantSplit/>
        </w:trPr>
        <w:tc>
          <w:tcPr>
            <w:tcW w:type="dxa" w:w="2016"/>
            <w:tcMar>
              <w:top w:w="35" w:type="dxa"/>
              <w:bottom w:w="35" w:type="dxa"/>
              <w:left w:w="65" w:type="dxa"/>
              <w:right w:w="65" w:type="dxa"/>
            </w:tcMar>
          </w:tcPr>
          <w:p>
            <w:pPr>
              <w:spacing w:before="10" w:after="10" w:line="240" w:lineRule="auto"/>
            </w:pPr>
            <w:r>
              <w:rPr>
                <w:rFonts w:ascii="Times New Roman" w:hAnsi="Times New Roman"/>
                <w:b/>
                <w:sz w:val="18"/>
              </w:rPr>
              <w:t>Stacking Ensemble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Soft-Voting Meta-Estimator</w:t>
            </w:r>
          </w:p>
        </w:tc>
        <w:tc>
          <w:tcPr>
            <w:tcW w:type="dxa" w:w="3024"/>
            <w:tcMar>
              <w:top w:w="35" w:type="dxa"/>
              <w:bottom w:w="35" w:type="dxa"/>
              <w:left w:w="65" w:type="dxa"/>
              <w:right w:w="65" w:type="dxa"/>
            </w:tcMar>
          </w:tcPr>
          <w:p>
            <w:pPr>
              <w:spacing w:before="10" w:after="10" w:line="240" w:lineRule="auto"/>
            </w:pPr>
            <w:r>
              <w:rPr>
                <w:rFonts w:ascii="Times New Roman" w:hAnsi="Times New Roman"/>
                <w:sz w:val="18"/>
              </w:rPr>
              <w:t>weights=[XGB: 0.45, RF: 0.40, LR: 0.15], voting='soft'</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Blends continuous probabilistic margins across constituent classifiers</w:t>
            </w:r>
          </w:p>
        </w:tc>
      </w:tr>
    </w:tbl>
    <w:p>
      <w:pPr>
        <w:keepNext/>
        <w:spacing w:before="160" w:after="40"/>
        <w:jc w:val="center"/>
      </w:pPr>
      <w:r>
        <w:drawing>
          <wp:inline xmlns:a="http://schemas.openxmlformats.org/drawingml/2006/main" xmlns:pic="http://schemas.openxmlformats.org/drawingml/2006/picture">
            <wp:extent cx="4297680" cy="2829539"/>
            <wp:docPr id="10" name="Picture 10"/>
            <wp:cNvGraphicFramePr>
              <a:graphicFrameLocks noChangeAspect="1"/>
            </wp:cNvGraphicFramePr>
            <a:graphic>
              <a:graphicData uri="http://schemas.openxmlformats.org/drawingml/2006/picture">
                <pic:pic>
                  <pic:nvPicPr>
                    <pic:cNvPr id="0" name="fig_6_2_risk_scoring_matrix.png"/>
                    <pic:cNvPicPr/>
                  </pic:nvPicPr>
                  <pic:blipFill>
                    <a:blip r:embed="rId21"/>
                    <a:stretch>
                      <a:fillRect/>
                    </a:stretch>
                  </pic:blipFill>
                  <pic:spPr>
                    <a:xfrm>
                      <a:off x="0" y="0"/>
                      <a:ext cx="4297680" cy="2829539"/>
                    </a:xfrm>
                    <a:prstGeom prst="rect"/>
                  </pic:spPr>
                </pic:pic>
              </a:graphicData>
            </a:graphic>
          </wp:inline>
        </w:drawing>
      </w:r>
    </w:p>
    <w:p>
      <w:pPr>
        <w:keepNext/>
        <w:spacing w:before="40" w:after="200"/>
        <w:jc w:val="center"/>
      </w:pPr>
      <w:r>
        <w:rPr>
          <w:rFonts w:ascii="Times New Roman" w:hAnsi="Times New Roman"/>
          <w:b/>
          <w:sz w:val="20"/>
        </w:rPr>
        <w:t>Figure 6.2: Multi-Factor Additive Risk Scoring Architecture &amp; Tiers</w:t>
      </w:r>
    </w:p>
    <w:p>
      <w:pPr>
        <w:keepNext/>
        <w:spacing w:before="200" w:after="60"/>
        <w:jc w:val="left"/>
      </w:pPr>
      <w:r>
        <w:rPr>
          <w:rFonts w:ascii="Times New Roman" w:hAnsi="Times New Roman"/>
          <w:b/>
          <w:sz w:val="21"/>
        </w:rPr>
        <w:t>Table 6.4: Multi-Factor Risk Scoring Point Allocation Matrix</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3010"/>
        <w:gridCol w:w="3010"/>
        <w:gridCol w:w="3010"/>
      </w:tblGrid>
      <w:tr>
        <w:trPr>
          <w:tblHeader/>
        </w:trPr>
        <w:tc>
          <w:tcPr>
            <w:tcW w:type="dxa" w:w="2880"/>
            <w:shd w:fill="F1F5F9"/>
            <w:tcMar>
              <w:top w:w="70" w:type="dxa"/>
              <w:bottom w:w="70" w:type="dxa"/>
              <w:left w:w="90" w:type="dxa"/>
              <w:right w:w="90" w:type="dxa"/>
            </w:tcMar>
          </w:tcPr>
          <w:p>
            <w:pPr>
              <w:spacing w:before="20" w:after="20"/>
              <w:jc w:val="center"/>
            </w:pPr>
            <w:r>
              <w:rPr>
                <w:rFonts w:ascii="Times New Roman" w:hAnsi="Times New Roman"/>
                <w:b/>
                <w:color w:val="0F172A"/>
                <w:sz w:val="19"/>
              </w:rPr>
              <w:t>Risk Scoring Dimension</w:t>
            </w:r>
          </w:p>
        </w:tc>
        <w:tc>
          <w:tcPr>
            <w:tcW w:type="dxa" w:w="2016"/>
            <w:shd w:fill="F1F5F9"/>
            <w:tcMar>
              <w:top w:w="70" w:type="dxa"/>
              <w:bottom w:w="70" w:type="dxa"/>
              <w:left w:w="90" w:type="dxa"/>
              <w:right w:w="90" w:type="dxa"/>
            </w:tcMar>
          </w:tcPr>
          <w:p>
            <w:pPr>
              <w:spacing w:before="20" w:after="20"/>
              <w:jc w:val="center"/>
            </w:pPr>
            <w:r>
              <w:rPr>
                <w:rFonts w:ascii="Times New Roman" w:hAnsi="Times New Roman"/>
                <w:b/>
                <w:color w:val="0F172A"/>
                <w:sz w:val="19"/>
              </w:rPr>
              <w:t>Point Allocation Range</w:t>
            </w:r>
          </w:p>
        </w:tc>
        <w:tc>
          <w:tcPr>
            <w:tcW w:type="dxa" w:w="4464"/>
            <w:shd w:fill="F1F5F9"/>
            <w:tcMar>
              <w:top w:w="70" w:type="dxa"/>
              <w:bottom w:w="70" w:type="dxa"/>
              <w:left w:w="90" w:type="dxa"/>
              <w:right w:w="90" w:type="dxa"/>
            </w:tcMar>
          </w:tcPr>
          <w:p>
            <w:pPr>
              <w:spacing w:before="20" w:after="20"/>
              <w:jc w:val="center"/>
            </w:pPr>
            <w:r>
              <w:rPr>
                <w:rFonts w:ascii="Times New Roman" w:hAnsi="Times New Roman"/>
                <w:b/>
                <w:color w:val="0F172A"/>
                <w:sz w:val="19"/>
              </w:rPr>
              <w:t>Deterministic Mathematical Formulation &amp; Triggers</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ML Model Probability Signal</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0 to 60 Pts</w:t>
            </w:r>
          </w:p>
        </w:tc>
        <w:tc>
          <w:tcPr>
            <w:tcW w:type="dxa" w:w="4464"/>
            <w:tcMar>
              <w:top w:w="35" w:type="dxa"/>
              <w:bottom w:w="35" w:type="dxa"/>
              <w:left w:w="65" w:type="dxa"/>
              <w:right w:w="65" w:type="dxa"/>
            </w:tcMar>
          </w:tcPr>
          <w:p>
            <w:pPr>
              <w:spacing w:before="10" w:after="10" w:line="240" w:lineRule="auto"/>
            </w:pPr>
            <w:r>
              <w:rPr>
                <w:rFonts w:ascii="Times New Roman" w:hAnsi="Times New Roman"/>
                <w:sz w:val="18"/>
              </w:rPr>
              <w:t xml:space="preserve">Continuous mapping: $p \ge 0.70 </w:t>
              <w:br/>
              <w:t xml:space="preserve">ightarrow 45-60$ pts; $0.35 \le p &lt; 0.70 </w:t>
              <w:br/>
              <w:t xml:space="preserve">ightarrow 25-45$ pts; $p &lt; 0.10 </w:t>
              <w:br/>
              <w:t xml:space="preserve">ightarrow p </w:t>
              <w:tab/>
              <w:t>imes 80$ pts</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Amount vs 30-Day Average</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-4 to 18 Pts</w:t>
            </w:r>
          </w:p>
        </w:tc>
        <w:tc>
          <w:tcPr>
            <w:tcW w:type="dxa" w:w="4464"/>
            <w:tcMar>
              <w:top w:w="35" w:type="dxa"/>
              <w:bottom w:w="35" w:type="dxa"/>
              <w:left w:w="65" w:type="dxa"/>
              <w:right w:w="65" w:type="dxa"/>
            </w:tcMar>
          </w:tcPr>
          <w:p>
            <w:pPr>
              <w:spacing w:before="10" w:after="10" w:line="240" w:lineRule="auto"/>
            </w:pPr>
            <w:r>
              <w:rPr>
                <w:rFonts w:ascii="Times New Roman" w:hAnsi="Times New Roman"/>
                <w:sz w:val="18"/>
              </w:rPr>
              <w:t>$\ge 8</w:t>
              <w:tab/>
              <w:t>imes$ avg: +18; $\ge 3.5</w:t>
              <w:tab/>
              <w:t>imes$: +12; $\ge 2</w:t>
              <w:tab/>
              <w:t>imes$: +6; Normal ($0.5-1.4</w:t>
              <w:tab/>
              <w:t>imes$): -4 pts (rebate)</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Abrupt Jump vs Previous Spend</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0 to 7 Pts</w:t>
            </w:r>
          </w:p>
        </w:tc>
        <w:tc>
          <w:tcPr>
            <w:tcW w:type="dxa" w:w="4464"/>
            <w:tcMar>
              <w:top w:w="35" w:type="dxa"/>
              <w:bottom w:w="35" w:type="dxa"/>
              <w:left w:w="65" w:type="dxa"/>
              <w:right w:w="65" w:type="dxa"/>
            </w:tcMar>
          </w:tcPr>
          <w:p>
            <w:pPr>
              <w:spacing w:before="10" w:after="10" w:line="240" w:lineRule="auto"/>
            </w:pPr>
            <w:r>
              <w:rPr>
                <w:rFonts w:ascii="Times New Roman" w:hAnsi="Times New Roman"/>
                <w:sz w:val="18"/>
              </w:rPr>
              <w:t>$\ge 6</w:t>
              <w:tab/>
              <w:t>imes$ previous transaction and difference $&gt; ₹5,000$: +7 pts</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1-Hour Velocity Bursts</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0 to 20 Pts</w:t>
            </w:r>
          </w:p>
        </w:tc>
        <w:tc>
          <w:tcPr>
            <w:tcW w:type="dxa" w:w="4464"/>
            <w:tcMar>
              <w:top w:w="35" w:type="dxa"/>
              <w:bottom w:w="35" w:type="dxa"/>
              <w:left w:w="65" w:type="dxa"/>
              <w:right w:w="65" w:type="dxa"/>
            </w:tcMar>
          </w:tcPr>
          <w:p>
            <w:pPr>
              <w:spacing w:before="10" w:after="10" w:line="240" w:lineRule="auto"/>
            </w:pPr>
            <w:r>
              <w:rPr>
                <w:rFonts w:ascii="Times New Roman" w:hAnsi="Times New Roman"/>
                <w:sz w:val="18"/>
              </w:rPr>
              <w:t>$\ge 5$ tx in 1h: +20 pts; $\ge 3$ tx in 1h: +14 pts; 2 tx in 1h: +8 pts</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Beneficiary &amp; KYC Tenure</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0 to 15 Pts</w:t>
            </w:r>
          </w:p>
        </w:tc>
        <w:tc>
          <w:tcPr>
            <w:tcW w:type="dxa" w:w="4464"/>
            <w:tcMar>
              <w:top w:w="35" w:type="dxa"/>
              <w:bottom w:w="35" w:type="dxa"/>
              <w:left w:w="65" w:type="dxa"/>
              <w:right w:w="65" w:type="dxa"/>
            </w:tcMar>
          </w:tcPr>
          <w:p>
            <w:pPr>
              <w:spacing w:before="10" w:after="10" w:line="240" w:lineRule="auto"/>
            </w:pPr>
            <w:r>
              <w:rPr>
                <w:rFonts w:ascii="Times New Roman" w:hAnsi="Times New Roman"/>
                <w:sz w:val="18"/>
              </w:rPr>
              <w:t>Chargebacks on record: +5 pts each (max +10); Account age $&lt; 14$ days: +5 pts</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Hardware &amp; Geolocation Novelty</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0 to 25 Pts</w:t>
            </w:r>
          </w:p>
        </w:tc>
        <w:tc>
          <w:tcPr>
            <w:tcW w:type="dxa" w:w="4464"/>
            <w:tcMar>
              <w:top w:w="35" w:type="dxa"/>
              <w:bottom w:w="35" w:type="dxa"/>
              <w:left w:w="65" w:type="dxa"/>
              <w:right w:w="65" w:type="dxa"/>
            </w:tcMar>
          </w:tcPr>
          <w:p>
            <w:pPr>
              <w:spacing w:before="10" w:after="10" w:line="240" w:lineRule="auto"/>
            </w:pPr>
            <w:r>
              <w:rPr>
                <w:rFonts w:ascii="Times New Roman" w:hAnsi="Times New Roman"/>
                <w:sz w:val="18"/>
              </w:rPr>
              <w:t>New device: +8; Location jump: +8; New beneficiary: +7; Nocturnal window: +4; Failed attempts: +8</w:t>
            </w:r>
          </w:p>
        </w:tc>
      </w:tr>
      <w:tr>
        <w:trPr>
          <w:cantSplit/>
        </w:trPr>
        <w:tc>
          <w:tcPr>
            <w:tcW w:type="dxa" w:w="2880"/>
            <w:tcMar>
              <w:top w:w="35" w:type="dxa"/>
              <w:bottom w:w="35" w:type="dxa"/>
              <w:left w:w="65" w:type="dxa"/>
              <w:right w:w="65" w:type="dxa"/>
            </w:tcMar>
          </w:tcPr>
          <w:p>
            <w:pPr>
              <w:spacing w:before="10" w:after="10" w:line="240" w:lineRule="auto"/>
            </w:pPr>
            <w:r>
              <w:rPr>
                <w:rFonts w:ascii="Times New Roman" w:hAnsi="Times New Roman"/>
                <w:b/>
                <w:sz w:val="18"/>
              </w:rPr>
              <w:t>Priority Floor Guarantee</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Floor Enforcement</w:t>
            </w:r>
          </w:p>
        </w:tc>
        <w:tc>
          <w:tcPr>
            <w:tcW w:type="dxa" w:w="4464"/>
            <w:tcMar>
              <w:top w:w="35" w:type="dxa"/>
              <w:bottom w:w="35" w:type="dxa"/>
              <w:left w:w="65" w:type="dxa"/>
              <w:right w:w="65" w:type="dxa"/>
            </w:tcMar>
          </w:tcPr>
          <w:p>
            <w:pPr>
              <w:spacing w:before="10" w:after="10" w:line="240" w:lineRule="auto"/>
            </w:pPr>
            <w:r>
              <w:rPr>
                <w:rFonts w:ascii="Times New Roman" w:hAnsi="Times New Roman"/>
                <w:sz w:val="18"/>
              </w:rPr>
              <w:t>If $p \ge 0.70$ or Amount Ratio $\ge 50</w:t>
              <w:tab/>
              <w:t xml:space="preserve">imes$, score is clamped to floor $\ge \max(S, 75 + p </w:t>
              <w:tab/>
              <w:t>imes 20)$</w:t>
            </w:r>
          </w:p>
        </w:tc>
      </w:tr>
    </w:tbl>
    <w:p>
      <w:pPr>
        <w:keepNext/>
        <w:spacing w:before="160" w:after="40"/>
        <w:jc w:val="center"/>
      </w:pPr>
      <w:r>
        <w:drawing>
          <wp:inline xmlns:a="http://schemas.openxmlformats.org/drawingml/2006/main" xmlns:pic="http://schemas.openxmlformats.org/drawingml/2006/picture">
            <wp:extent cx="4297680" cy="2411687"/>
            <wp:docPr id="11" name="Picture 11"/>
            <wp:cNvGraphicFramePr>
              <a:graphicFrameLocks noChangeAspect="1"/>
            </wp:cNvGraphicFramePr>
            <a:graphic>
              <a:graphicData uri="http://schemas.openxmlformats.org/drawingml/2006/picture">
                <pic:pic>
                  <pic:nvPicPr>
                    <pic:cNvPr id="0" name="fig_6_3_shap_waterfall.png"/>
                    <pic:cNvPicPr/>
                  </pic:nvPicPr>
                  <pic:blipFill>
                    <a:blip r:embed="rId22"/>
                    <a:stretch>
                      <a:fillRect/>
                    </a:stretch>
                  </pic:blipFill>
                  <pic:spPr>
                    <a:xfrm>
                      <a:off x="0" y="0"/>
                      <a:ext cx="4297680" cy="2411687"/>
                    </a:xfrm>
                    <a:prstGeom prst="rect"/>
                  </pic:spPr>
                </pic:pic>
              </a:graphicData>
            </a:graphic>
          </wp:inline>
        </w:drawing>
      </w:r>
    </w:p>
    <w:p>
      <w:pPr>
        <w:keepNext/>
        <w:spacing w:before="40" w:after="200"/>
        <w:jc w:val="center"/>
      </w:pPr>
      <w:r>
        <w:rPr>
          <w:rFonts w:ascii="Times New Roman" w:hAnsi="Times New Roman"/>
          <w:b/>
          <w:sz w:val="20"/>
        </w:rPr>
        <w:t>Figure 6.3: Local TreeSHAP Feature Attribution Waterfall for Flagged Transaction</w:t>
      </w:r>
    </w:p>
    <w:p>
      <w:pPr>
        <w:keepNext/>
        <w:spacing w:before="200" w:after="60"/>
        <w:jc w:val="left"/>
      </w:pPr>
      <w:r>
        <w:rPr>
          <w:rFonts w:ascii="Times New Roman" w:hAnsi="Times New Roman"/>
          <w:b/>
          <w:sz w:val="21"/>
        </w:rPr>
        <w:t>Table 6.5: Global Top-15 Feature Importance Attributions via TreeSHAP</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1806"/>
        <w:gridCol w:w="1806"/>
        <w:gridCol w:w="1806"/>
        <w:gridCol w:w="1806"/>
        <w:gridCol w:w="1806"/>
      </w:tblGrid>
      <w:tr>
        <w:trPr>
          <w:tblHeader/>
        </w:trPr>
        <w:tc>
          <w:tcPr>
            <w:tcW w:type="dxa" w:w="864"/>
            <w:shd w:fill="F1F5F9"/>
            <w:tcMar>
              <w:top w:w="70" w:type="dxa"/>
              <w:bottom w:w="70" w:type="dxa"/>
              <w:left w:w="90" w:type="dxa"/>
              <w:right w:w="90" w:type="dxa"/>
            </w:tcMar>
          </w:tcPr>
          <w:p>
            <w:pPr>
              <w:spacing w:before="20" w:after="20"/>
              <w:jc w:val="center"/>
            </w:pPr>
            <w:r>
              <w:rPr>
                <w:rFonts w:ascii="Times New Roman" w:hAnsi="Times New Roman"/>
                <w:b/>
                <w:color w:val="0F172A"/>
                <w:sz w:val="19"/>
              </w:rPr>
              <w:t>Rank</w:t>
            </w:r>
          </w:p>
        </w:tc>
        <w:tc>
          <w:tcPr>
            <w:tcW w:type="dxa" w:w="3168"/>
            <w:shd w:fill="F1F5F9"/>
            <w:tcMar>
              <w:top w:w="70" w:type="dxa"/>
              <w:bottom w:w="70" w:type="dxa"/>
              <w:left w:w="90" w:type="dxa"/>
              <w:right w:w="90" w:type="dxa"/>
            </w:tcMar>
          </w:tcPr>
          <w:p>
            <w:pPr>
              <w:spacing w:before="20" w:after="20"/>
              <w:jc w:val="center"/>
            </w:pPr>
            <w:r>
              <w:rPr>
                <w:rFonts w:ascii="Times New Roman" w:hAnsi="Times New Roman"/>
                <w:b/>
                <w:color w:val="0F172A"/>
                <w:sz w:val="19"/>
              </w:rPr>
              <w:t>Engineered Feature Name</w:t>
            </w:r>
          </w:p>
        </w:tc>
        <w:tc>
          <w:tcPr>
            <w:tcW w:type="dxa" w:w="1440"/>
            <w:shd w:fill="F1F5F9"/>
            <w:tcMar>
              <w:top w:w="70" w:type="dxa"/>
              <w:bottom w:w="70" w:type="dxa"/>
              <w:left w:w="90" w:type="dxa"/>
              <w:right w:w="90" w:type="dxa"/>
            </w:tcMar>
          </w:tcPr>
          <w:p>
            <w:pPr>
              <w:spacing w:before="20" w:after="20"/>
              <w:jc w:val="center"/>
            </w:pPr>
            <w:r>
              <w:rPr>
                <w:rFonts w:ascii="Times New Roman" w:hAnsi="Times New Roman"/>
                <w:b/>
                <w:color w:val="0F172A"/>
                <w:sz w:val="19"/>
              </w:rPr>
              <w:t>Mean |SHAP|</w:t>
            </w:r>
          </w:p>
        </w:tc>
        <w:tc>
          <w:tcPr>
            <w:tcW w:type="dxa" w:w="1440"/>
            <w:shd w:fill="F1F5F9"/>
            <w:tcMar>
              <w:top w:w="70" w:type="dxa"/>
              <w:bottom w:w="70" w:type="dxa"/>
              <w:left w:w="90" w:type="dxa"/>
              <w:right w:w="90" w:type="dxa"/>
            </w:tcMar>
          </w:tcPr>
          <w:p>
            <w:pPr>
              <w:spacing w:before="20" w:after="20"/>
              <w:jc w:val="center"/>
            </w:pPr>
            <w:r>
              <w:rPr>
                <w:rFonts w:ascii="Times New Roman" w:hAnsi="Times New Roman"/>
                <w:b/>
                <w:color w:val="0F172A"/>
                <w:sz w:val="19"/>
              </w:rPr>
              <w:t>Mean SHAP</w:t>
            </w:r>
          </w:p>
        </w:tc>
        <w:tc>
          <w:tcPr>
            <w:tcW w:type="dxa" w:w="2448"/>
            <w:shd w:fill="F1F5F9"/>
            <w:tcMar>
              <w:top w:w="70" w:type="dxa"/>
              <w:bottom w:w="70" w:type="dxa"/>
              <w:left w:w="90" w:type="dxa"/>
              <w:right w:w="90" w:type="dxa"/>
            </w:tcMar>
          </w:tcPr>
          <w:p>
            <w:pPr>
              <w:spacing w:before="20" w:after="20"/>
              <w:jc w:val="center"/>
            </w:pPr>
            <w:r>
              <w:rPr>
                <w:rFonts w:ascii="Times New Roman" w:hAnsi="Times New Roman"/>
                <w:b/>
                <w:color w:val="0F172A"/>
                <w:sz w:val="19"/>
              </w:rPr>
              <w:t>Operational Interpretation</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1</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num__composite_risk_flag_count</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2.0698</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+0.0726</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Cumulative integer count of active anomaly triggers</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2</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num__customer_behaviour_deviation</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0.7272</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-0.0433</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Weighted composite divergence from historical spending profile</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3</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num__Unusual_Location</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0.6294</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+0.0709</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Binary signal indicating transaction outside primary geolocation</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4</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num__Transaction_Hour</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0.6207</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-0.0051</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Raw local hour of transaction clearance</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5</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num__location_change_signal</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0.4959</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-0.0482</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Distance mismatch between terminal and customer address</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6</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num__is_location_mismatch</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0.4959</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-0.0482</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Collinear confirmation of regional geographic jump</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7</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num__is_extreme_amount_surge</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0.4951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-0.0330</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Expenditure surge exceeding 2.5x normal baseline</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8</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num__failed_attempts_velocity_surge</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0.4359</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+0.0135</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Interaction between failed authentications and 24h velocity</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9</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num__International_Transaction</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0.4358</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-0.0415</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Cross-border payment clearing indicator</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10</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num__cos_hour</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0.4224</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-0.0004</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Cyclical cosine trigonometric projection of daily hour</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11</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num__sin_hour</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0.3874</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+0.0118</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Cyclical sine trigonometric projection of daily hour</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12</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num__Previous_Transaction_Amount</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0.3757</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+0.1257</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Normalized monetary value of immediate prior transfer</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13</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num__failed_attempt_intensity</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0.3643</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+0.0141</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Ratio of failed attempts relative to total daily velocity</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14</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num__Average_Previous_Amount</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0.3008</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-0.0529</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Historical 30-day baseline average transaction size</w:t>
            </w:r>
          </w:p>
        </w:tc>
      </w:tr>
      <w:tr>
        <w:trPr>
          <w:cantSplit/>
        </w:trPr>
        <w:tc>
          <w:tcPr>
            <w:tcW w:type="dxa" w:w="864"/>
            <w:tcMar>
              <w:top w:w="35" w:type="dxa"/>
              <w:bottom w:w="35" w:type="dxa"/>
              <w:left w:w="65" w:type="dxa"/>
              <w:right w:w="65" w:type="dxa"/>
            </w:tcMar>
          </w:tcPr>
          <w:p>
            <w:pPr>
              <w:spacing w:before="10" w:after="10" w:line="240" w:lineRule="auto"/>
            </w:pPr>
            <w:r>
              <w:rPr>
                <w:rFonts w:ascii="Times New Roman" w:hAnsi="Times New Roman"/>
                <w:b/>
                <w:sz w:val="18"/>
              </w:rPr>
              <w:t>15</w:t>
            </w:r>
          </w:p>
        </w:tc>
        <w:tc>
          <w:tcPr>
            <w:tcW w:type="dxa" w:w="3168"/>
            <w:tcMar>
              <w:top w:w="35" w:type="dxa"/>
              <w:bottom w:w="35" w:type="dxa"/>
              <w:left w:w="65" w:type="dxa"/>
              <w:right w:w="65" w:type="dxa"/>
            </w:tcMar>
          </w:tcPr>
          <w:p>
            <w:pPr>
              <w:spacing w:before="10" w:after="10" w:line="240" w:lineRule="auto"/>
            </w:pPr>
            <w:r>
              <w:rPr>
                <w:rFonts w:ascii="Times New Roman" w:hAnsi="Times New Roman"/>
                <w:sz w:val="18"/>
              </w:rPr>
              <w:t>num__New_Device</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0.2763</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-0.0120</w:t>
            </w:r>
          </w:p>
        </w:tc>
        <w:tc>
          <w:tcPr>
            <w:tcW w:type="dxa" w:w="2448"/>
            <w:tcMar>
              <w:top w:w="35" w:type="dxa"/>
              <w:bottom w:w="35" w:type="dxa"/>
              <w:left w:w="65" w:type="dxa"/>
              <w:right w:w="65" w:type="dxa"/>
            </w:tcMar>
          </w:tcPr>
          <w:p>
            <w:pPr>
              <w:spacing w:before="10" w:after="10" w:line="240" w:lineRule="auto"/>
            </w:pPr>
            <w:r>
              <w:rPr>
                <w:rFonts w:ascii="Times New Roman" w:hAnsi="Times New Roman"/>
                <w:sz w:val="18"/>
              </w:rPr>
              <w:t>Hardware signature novelty relative to customer profile</w:t>
            </w:r>
          </w:p>
        </w:tc>
      </w:tr>
    </w:tbl>
    <w:p>
      <w:pPr>
        <w:keepNext/>
        <w:spacing w:before="160" w:after="40"/>
        <w:jc w:val="center"/>
      </w:pPr>
      <w:r>
        <w:drawing>
          <wp:inline xmlns:a="http://schemas.openxmlformats.org/drawingml/2006/main" xmlns:pic="http://schemas.openxmlformats.org/drawingml/2006/picture">
            <wp:extent cx="4297680" cy="2812863"/>
            <wp:docPr id="12" name="Picture 12"/>
            <wp:cNvGraphicFramePr>
              <a:graphicFrameLocks noChangeAspect="1"/>
            </wp:cNvGraphicFramePr>
            <a:graphic>
              <a:graphicData uri="http://schemas.openxmlformats.org/drawingml/2006/picture">
                <pic:pic>
                  <pic:nvPicPr>
                    <pic:cNvPr id="0" name="fig_6_4_mobile_otp_lifecycle.png"/>
                    <pic:cNvPicPr/>
                  </pic:nvPicPr>
                  <pic:blipFill>
                    <a:blip r:embed="rId23"/>
                    <a:stretch>
                      <a:fillRect/>
                    </a:stretch>
                  </pic:blipFill>
                  <pic:spPr>
                    <a:xfrm>
                      <a:off x="0" y="0"/>
                      <a:ext cx="4297680" cy="2812863"/>
                    </a:xfrm>
                    <a:prstGeom prst="rect"/>
                  </pic:spPr>
                </pic:pic>
              </a:graphicData>
            </a:graphic>
          </wp:inline>
        </w:drawing>
      </w:r>
    </w:p>
    <w:p>
      <w:pPr>
        <w:keepNext/>
        <w:spacing w:before="40" w:after="200"/>
        <w:jc w:val="center"/>
      </w:pPr>
      <w:r>
        <w:rPr>
          <w:rFonts w:ascii="Times New Roman" w:hAnsi="Times New Roman"/>
          <w:b/>
          <w:sz w:val="20"/>
        </w:rPr>
        <w:t>Figure 6.4: Pre-Authorization Mobile SMS OTP Verification Lifecycle</w:t>
      </w:r>
    </w:p>
    <w:p>
      <w:pPr>
        <w:keepNext/>
        <w:spacing w:before="200" w:after="60"/>
        <w:jc w:val="left"/>
      </w:pPr>
      <w:r>
        <w:rPr>
          <w:rFonts w:ascii="Times New Roman" w:hAnsi="Times New Roman"/>
          <w:b/>
          <w:sz w:val="21"/>
        </w:rPr>
        <w:t>Table 6.6: Pre-Authorization Three-Tier Decision Matrix &amp; Operational Directives</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2257"/>
        <w:gridCol w:w="2257"/>
        <w:gridCol w:w="2257"/>
        <w:gridCol w:w="2257"/>
      </w:tblGrid>
      <w:tr>
        <w:trPr>
          <w:tblHeader/>
        </w:trPr>
        <w:tc>
          <w:tcPr>
            <w:tcW w:type="dxa" w:w="1872"/>
            <w:shd w:fill="F1F5F9"/>
            <w:tcMar>
              <w:top w:w="70" w:type="dxa"/>
              <w:bottom w:w="70" w:type="dxa"/>
              <w:left w:w="90" w:type="dxa"/>
              <w:right w:w="90" w:type="dxa"/>
            </w:tcMar>
          </w:tcPr>
          <w:p>
            <w:pPr>
              <w:spacing w:before="20" w:after="20"/>
              <w:jc w:val="center"/>
            </w:pPr>
            <w:r>
              <w:rPr>
                <w:rFonts w:ascii="Times New Roman" w:hAnsi="Times New Roman"/>
                <w:b/>
                <w:color w:val="0F172A"/>
                <w:sz w:val="19"/>
              </w:rPr>
              <w:t>Decision Tier</w:t>
            </w:r>
          </w:p>
        </w:tc>
        <w:tc>
          <w:tcPr>
            <w:tcW w:type="dxa" w:w="1872"/>
            <w:shd w:fill="F1F5F9"/>
            <w:tcMar>
              <w:top w:w="70" w:type="dxa"/>
              <w:bottom w:w="70" w:type="dxa"/>
              <w:left w:w="90" w:type="dxa"/>
              <w:right w:w="90" w:type="dxa"/>
            </w:tcMar>
          </w:tcPr>
          <w:p>
            <w:pPr>
              <w:spacing w:before="20" w:after="20"/>
              <w:jc w:val="center"/>
            </w:pPr>
            <w:r>
              <w:rPr>
                <w:rFonts w:ascii="Times New Roman" w:hAnsi="Times New Roman"/>
                <w:b/>
                <w:color w:val="0F172A"/>
                <w:sz w:val="19"/>
              </w:rPr>
              <w:t>Score Boundary</w:t>
            </w:r>
          </w:p>
        </w:tc>
        <w:tc>
          <w:tcPr>
            <w:tcW w:type="dxa" w:w="2880"/>
            <w:shd w:fill="F1F5F9"/>
            <w:tcMar>
              <w:top w:w="70" w:type="dxa"/>
              <w:bottom w:w="70" w:type="dxa"/>
              <w:left w:w="90" w:type="dxa"/>
              <w:right w:w="90" w:type="dxa"/>
            </w:tcMar>
          </w:tcPr>
          <w:p>
            <w:pPr>
              <w:spacing w:before="20" w:after="20"/>
              <w:jc w:val="center"/>
            </w:pPr>
            <w:r>
              <w:rPr>
                <w:rFonts w:ascii="Times New Roman" w:hAnsi="Times New Roman"/>
                <w:b/>
                <w:color w:val="0F172A"/>
                <w:sz w:val="19"/>
              </w:rPr>
              <w:t>Trigger Conditions</w:t>
            </w:r>
          </w:p>
        </w:tc>
        <w:tc>
          <w:tcPr>
            <w:tcW w:type="dxa" w:w="2736"/>
            <w:shd w:fill="F1F5F9"/>
            <w:tcMar>
              <w:top w:w="70" w:type="dxa"/>
              <w:bottom w:w="70" w:type="dxa"/>
              <w:left w:w="90" w:type="dxa"/>
              <w:right w:w="90" w:type="dxa"/>
            </w:tcMar>
          </w:tcPr>
          <w:p>
            <w:pPr>
              <w:spacing w:before="20" w:after="20"/>
              <w:jc w:val="center"/>
            </w:pPr>
            <w:r>
              <w:rPr>
                <w:rFonts w:ascii="Times New Roman" w:hAnsi="Times New Roman"/>
                <w:b/>
                <w:color w:val="0F172A"/>
                <w:sz w:val="19"/>
              </w:rPr>
              <w:t>Operational Directive</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ALLOW</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0 to 30 Pts</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Baseline legitimate transaction with no critical anomalies</w:t>
            </w:r>
          </w:p>
        </w:tc>
        <w:tc>
          <w:tcPr>
            <w:tcW w:type="dxa" w:w="2736"/>
            <w:tcMar>
              <w:top w:w="35" w:type="dxa"/>
              <w:bottom w:w="35" w:type="dxa"/>
              <w:left w:w="65" w:type="dxa"/>
              <w:right w:w="65" w:type="dxa"/>
            </w:tcMar>
          </w:tcPr>
          <w:p>
            <w:pPr>
              <w:spacing w:before="10" w:after="10" w:line="240" w:lineRule="auto"/>
            </w:pPr>
            <w:r>
              <w:rPr>
                <w:rFonts w:ascii="Times New Roman" w:hAnsi="Times New Roman"/>
                <w:sz w:val="18"/>
              </w:rPr>
              <w:t>Zero friction; immediate wallet balance deduction; marked SUCCEEDED</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REVIEW</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31 to 70 Pts</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Moderate expenditure spike, unusual location, or new beneficiary</w:t>
            </w:r>
          </w:p>
        </w:tc>
        <w:tc>
          <w:tcPr>
            <w:tcW w:type="dxa" w:w="2736"/>
            <w:tcMar>
              <w:top w:w="35" w:type="dxa"/>
              <w:bottom w:w="35" w:type="dxa"/>
              <w:left w:w="65" w:type="dxa"/>
              <w:right w:w="65" w:type="dxa"/>
            </w:tcMar>
          </w:tcPr>
          <w:p>
            <w:pPr>
              <w:spacing w:before="10" w:after="10" w:line="240" w:lineRule="auto"/>
            </w:pPr>
            <w:r>
              <w:rPr>
                <w:rFonts w:ascii="Times New Roman" w:hAnsi="Times New Roman"/>
                <w:sz w:val="18"/>
              </w:rPr>
              <w:t>Holds transaction; preserves balance; prompts 6-digit SMS OTP modal</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REVIEW (Override)</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0 to 30 Pts (Base)</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Rapid Transaction Activity: $\ge 3$ transactions in 60 minutes</w:t>
            </w:r>
          </w:p>
        </w:tc>
        <w:tc>
          <w:tcPr>
            <w:tcW w:type="dxa" w:w="2736"/>
            <w:tcMar>
              <w:top w:w="35" w:type="dxa"/>
              <w:bottom w:w="35" w:type="dxa"/>
              <w:left w:w="65" w:type="dxa"/>
              <w:right w:w="65" w:type="dxa"/>
            </w:tcMar>
          </w:tcPr>
          <w:p>
            <w:pPr>
              <w:spacing w:before="10" w:after="10" w:line="240" w:lineRule="auto"/>
            </w:pPr>
            <w:r>
              <w:rPr>
                <w:rFonts w:ascii="Times New Roman" w:hAnsi="Times New Roman"/>
                <w:sz w:val="18"/>
              </w:rPr>
              <w:t>Preserves LOW fraud score; requires SMS OTP verification to stop botnet scripts</w:t>
            </w:r>
          </w:p>
        </w:tc>
      </w:tr>
      <w:tr>
        <w:trPr>
          <w:cantSplit/>
        </w:trPr>
        <w:tc>
          <w:tcPr>
            <w:tcW w:type="dxa" w:w="1872"/>
            <w:tcMar>
              <w:top w:w="35" w:type="dxa"/>
              <w:bottom w:w="35" w:type="dxa"/>
              <w:left w:w="65" w:type="dxa"/>
              <w:right w:w="65" w:type="dxa"/>
            </w:tcMar>
          </w:tcPr>
          <w:p>
            <w:pPr>
              <w:spacing w:before="10" w:after="10" w:line="240" w:lineRule="auto"/>
            </w:pPr>
            <w:r>
              <w:rPr>
                <w:rFonts w:ascii="Times New Roman" w:hAnsi="Times New Roman"/>
                <w:b/>
                <w:sz w:val="18"/>
              </w:rPr>
              <w:t>BLOCK</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71 to 100 Pts</w:t>
            </w:r>
          </w:p>
        </w:tc>
        <w:tc>
          <w:tcPr>
            <w:tcW w:type="dxa" w:w="2880"/>
            <w:tcMar>
              <w:top w:w="35" w:type="dxa"/>
              <w:bottom w:w="35" w:type="dxa"/>
              <w:left w:w="65" w:type="dxa"/>
              <w:right w:w="65" w:type="dxa"/>
            </w:tcMar>
          </w:tcPr>
          <w:p>
            <w:pPr>
              <w:spacing w:before="10" w:after="10" w:line="240" w:lineRule="auto"/>
            </w:pPr>
            <w:r>
              <w:rPr>
                <w:rFonts w:ascii="Times New Roman" w:hAnsi="Times New Roman"/>
                <w:sz w:val="18"/>
              </w:rPr>
              <w:t>Severe multi-factor anomaly, critical ML probability, or hardware spoof</w:t>
            </w:r>
          </w:p>
        </w:tc>
        <w:tc>
          <w:tcPr>
            <w:tcW w:type="dxa" w:w="2736"/>
            <w:tcMar>
              <w:top w:w="35" w:type="dxa"/>
              <w:bottom w:w="35" w:type="dxa"/>
              <w:left w:w="65" w:type="dxa"/>
              <w:right w:w="65" w:type="dxa"/>
            </w:tcMar>
          </w:tcPr>
          <w:p>
            <w:pPr>
              <w:spacing w:before="10" w:after="10" w:line="240" w:lineRule="auto"/>
            </w:pPr>
            <w:r>
              <w:rPr>
                <w:rFonts w:ascii="Times New Roman" w:hAnsi="Times New Roman"/>
                <w:sz w:val="18"/>
              </w:rPr>
              <w:t>Halts clearance; locks card; opens high-priority forensic investigation case</w:t>
            </w:r>
          </w:p>
        </w:tc>
      </w:tr>
    </w:tbl>
    <w:p>
      <w:r>
        <w:br w:type="page"/>
      </w:r>
    </w:p>
    <w:p>
      <w:pPr>
        <w:keepNext/>
        <w:spacing w:before="400" w:after="280" w:line="307" w:lineRule="auto"/>
        <w:jc w:val="center"/>
      </w:pPr>
      <w:r>
        <w:rPr>
          <w:rFonts w:ascii="Times New Roman" w:hAnsi="Times New Roman"/>
          <w:b/>
          <w:sz w:val="32"/>
        </w:rPr>
        <w:t>CHAPTER 7</w:t>
        <w:br/>
        <w:t>RESULTS AND DISCUSSION</w:t>
      </w:r>
    </w:p>
    <w:p>
      <w:pPr>
        <w:keepNext/>
        <w:spacing w:before="280" w:after="100" w:line="307" w:lineRule="auto"/>
        <w:jc w:val="left"/>
      </w:pPr>
      <w:r>
        <w:rPr>
          <w:rFonts w:ascii="Times New Roman" w:hAnsi="Times New Roman"/>
          <w:b/>
          <w:sz w:val="27"/>
        </w:rPr>
        <w:t>7.1 RESULTS AND DISCUSSION</w:t>
      </w:r>
    </w:p>
    <w:p>
      <w:pPr>
        <w:spacing w:before="0" w:after="50" w:line="307" w:lineRule="auto"/>
        <w:jc w:val="both"/>
      </w:pPr>
      <w:r>
        <w:rPr>
          <w:rFonts w:ascii="Times New Roman" w:hAnsi="Times New Roman"/>
          <w:sz w:val="24"/>
        </w:rPr>
        <w:t>Chapter 7 presents an exhaustive empirical evaluation of FraudLens AI across predictive machine learning performance, game-theoretic explainability attributions, multi-factor risk score discrimination, sub-5ms pre-authorization gateway latency, and operational forensic case triage efficacy. All reported findings are directly derived from the verified codebase, serialized model artifacts (.joblib), database records, and empirical test benchmarks.</w:t>
      </w:r>
    </w:p>
    <w:p>
      <w:pPr>
        <w:keepNext/>
        <w:spacing w:before="200" w:after="60" w:line="307" w:lineRule="auto"/>
        <w:jc w:val="left"/>
      </w:pPr>
      <w:r>
        <w:rPr>
          <w:rFonts w:ascii="Times New Roman" w:hAnsi="Times New Roman"/>
          <w:b/>
          <w:sz w:val="24"/>
        </w:rPr>
        <w:t>7.1.1 Machine Learning Model Discrimination Performance</w:t>
      </w:r>
    </w:p>
    <w:p>
      <w:pPr>
        <w:spacing w:before="0" w:after="50" w:line="307" w:lineRule="auto"/>
        <w:jc w:val="both"/>
      </w:pPr>
      <w:r>
        <w:rPr>
          <w:rFonts w:ascii="Times New Roman" w:hAnsi="Times New Roman"/>
          <w:sz w:val="24"/>
        </w:rPr>
        <w:t>The three supervised classification architectures and the soft-voting stacking ensemble were benchmarked on the 20,000-record master synthetic transaction dataset under stratified 70/15/15 partitions. Table 7.1 summarizes the complete evaluation metrics across Accuracy, Precision, Recall, F1-Score, F2-Score, ROC-AUC, PR-AUC, False Positive Rate (FPR), and False Negative Rate (FNR).</w:t>
      </w:r>
    </w:p>
    <w:p>
      <w:pPr>
        <w:spacing w:before="0" w:after="50" w:line="307" w:lineRule="auto"/>
        <w:jc w:val="both"/>
      </w:pPr>
      <w:r>
        <w:rPr>
          <w:rFonts w:ascii="Times New Roman" w:hAnsi="Times New Roman"/>
          <w:sz w:val="24"/>
        </w:rPr>
        <w:t>Empirical Findings from Model Comparison:</w:t>
        <w:br/>
        <w:t>1. Imbalance Sensitivity and Recall Maximization: In financial payment fraud, the cost of a false negative (missed fraud resulting in permanent capital loss and chargeback penalties) vastly exceeds the operational cost of a temporary false positive (which is safely intercepted by the SMS OTP challenge). Consequently, the F2-score and Recall serve as primary optimization criteria. Both the tuned Random Forest and XGBoost classifiers achieved an exceptional Test Recall of 100.0%, capturing every single fraudulent transaction in the evaluation corpus without a single false negative (FNR = 0.0%).</w:t>
        <w:br/>
        <w:t>2. Precision-Recall AUC (PR-AUC): Due to the acute 5.46% class imbalance, ROC-AUC can present an overly optimistic assessment. The PR-AUC curve (Figure 7.1) provides an uncompromising evaluation of precision across varying sensitivity thresholds. Both XGBoost and the Stacking Ensemble achieve a PR-AUC of 1.000, establishing perfect separation between normal commerce and anomalous fraud patterns.</w:t>
        <w:br/>
        <w:t>3. Decision Boundary Calibration: Logistic Regression with balanced inverse weighting demonstrated robust baseline performance (Recall = 100.0%, ROC-AUC = 1.000), confirming that the derived behavioral features (such as spending baseline deviation ratios and velocity acceleration) create strong linear separability. However, XGBoost and Random Forest demonstrated superior robustness against complex, multi-variable interactions (such as simultaneous nocturnal timing, remote geolocation jumps, and new hardware signatures).</w:t>
      </w:r>
    </w:p>
    <w:p>
      <w:pPr>
        <w:keepNext/>
        <w:spacing w:before="200" w:after="60" w:line="307" w:lineRule="auto"/>
        <w:jc w:val="left"/>
      </w:pPr>
      <w:r>
        <w:rPr>
          <w:rFonts w:ascii="Times New Roman" w:hAnsi="Times New Roman"/>
          <w:b/>
          <w:sz w:val="24"/>
        </w:rPr>
        <w:t>7.1.2 Confusion Matrix Analysis</w:t>
      </w:r>
    </w:p>
    <w:p>
      <w:pPr>
        <w:spacing w:before="0" w:after="50" w:line="307" w:lineRule="auto"/>
        <w:jc w:val="both"/>
      </w:pPr>
      <w:r>
        <w:rPr>
          <w:rFonts w:ascii="Times New Roman" w:hAnsi="Times New Roman"/>
          <w:sz w:val="24"/>
        </w:rPr>
        <w:t>Table 7.2 and Figure 7.2 delineate the confusion matrix distributions across both the master test set (4,000 samples) and the active deployment split (18 samples).</w:t>
        <w:br/>
        <w:t>• On the master test partition (Figure 7.2 Left), the champion model correctly identified all 210 fraudulent transactions (True Positives = 210, False Negatives = 0) while correctly clearing all 3,790 legitimate transactions (True Negatives = 3,790, False Positives = 0), yielding 100.0% precision and 100.0% recall on the canonical benchmark split.</w:t>
        <w:br/>
        <w:t>• On the active production validation split (Figure 7.2 Right), evaluating high-boundary edge cases under active thresholding ($T = 0.0637$), the model achieved 14 True Negatives, 3 True Positives, 0 False Negatives, and 1 False Positive, yielding a test recall of 100.0%, accuracy of 94.4%, and precision of 75.0%. Crucially, the solitary false positive was directed to the REVIEW tier, where the cardholder successfully authorized the payment via SMS OTP, thereby completely eliminating merchant friction.</w:t>
      </w:r>
    </w:p>
    <w:p>
      <w:pPr>
        <w:keepNext/>
        <w:spacing w:before="200" w:after="60" w:line="307" w:lineRule="auto"/>
        <w:jc w:val="left"/>
      </w:pPr>
      <w:r>
        <w:rPr>
          <w:rFonts w:ascii="Times New Roman" w:hAnsi="Times New Roman"/>
          <w:b/>
          <w:sz w:val="24"/>
        </w:rPr>
        <w:t>7.1.3 Global and Local Feature Attribution via TreeSHAP</w:t>
      </w:r>
    </w:p>
    <w:p>
      <w:pPr>
        <w:spacing w:before="0" w:after="50" w:line="307" w:lineRule="auto"/>
        <w:jc w:val="both"/>
      </w:pPr>
      <w:r>
        <w:rPr>
          <w:rFonts w:ascii="Times New Roman" w:hAnsi="Times New Roman"/>
          <w:sz w:val="24"/>
        </w:rPr>
        <w:t>Table 6.5 and Figure 7.3 present the global feature importance rankings computed across a background sample of transaction vectors. The empirical findings reveal that composite risk flag counts (mean |SHAP| = 2.0698), customer spending baseline deviations (mean |SHAP| = 0.7272), unusual geolocation distance jumps (mean |SHAP| = 0.6294), and nocturnal transaction hours (mean |SHAP| = 0.6207) constitute the most powerful discriminative signals in the FraudLens AI intelligence fabric.</w:t>
      </w:r>
    </w:p>
    <w:p>
      <w:pPr>
        <w:spacing w:before="0" w:after="50" w:line="307" w:lineRule="auto"/>
        <w:jc w:val="both"/>
      </w:pPr>
      <w:r>
        <w:rPr>
          <w:rFonts w:ascii="Times New Roman" w:hAnsi="Times New Roman"/>
          <w:sz w:val="24"/>
        </w:rPr>
        <w:t>In individual transaction scoring events (Figure 6.3), TreeSHAP local waterfall decomposition provides investigators with exact mathematical transparency. For instance, in flagged transaction PAY-89F10B2A (Amount: ₹18,500 at CircuitBay Electronics), the base expected probability was 0.054 (5.4%). The severe expenditure spike (+0.420), unrecognized Android device (+0.210), nocturnal 02:45 AM timestamp (+0.145), and unverified beneficiary (+0.095) cumulatively drove the final fraud probability to 0.895 (89.5%). Conversely, long customer KYC tenure (-0.015) and domestic state residency (-0.014) exerted moderate downward pressure. This granular decomposition allows human investigators to understand the exact causal drivers in seconds.</w:t>
      </w:r>
    </w:p>
    <w:p>
      <w:pPr>
        <w:keepNext/>
        <w:spacing w:before="200" w:after="60" w:line="307" w:lineRule="auto"/>
        <w:jc w:val="left"/>
      </w:pPr>
      <w:r>
        <w:rPr>
          <w:rFonts w:ascii="Times New Roman" w:hAnsi="Times New Roman"/>
          <w:b/>
          <w:sz w:val="24"/>
        </w:rPr>
        <w:t>7.1.4 Pre-Authorization Latency and Operational Throughput</w:t>
      </w:r>
    </w:p>
    <w:p>
      <w:pPr>
        <w:spacing w:before="0" w:after="50" w:line="307" w:lineRule="auto"/>
        <w:jc w:val="both"/>
      </w:pPr>
      <w:r>
        <w:rPr>
          <w:rFonts w:ascii="Times New Roman" w:hAnsi="Times New Roman"/>
          <w:sz w:val="24"/>
        </w:rPr>
        <w:t>To validate deployment feasibility, extensive microsecond profiling was conducted across the pre-authorization pipeline. Table 7.3 and Figure 7.4 detail the execution latencies across each architectural phase.</w:t>
        <w:br/>
        <w:t>• Total End-to-End Processing Time: Averages exactly 4.80 milliseconds under standard load.</w:t>
        <w:br/>
        <w:t>• Component Breakdown: Idempotency verification takes 0.22ms; customer behavioral baseline retrieval takes 0.68ms; feature transformation pipeline takes 0.54ms; XGBoost inference takes 1.15ms; TreeSHAP local attribution takes 1.08ms; multi-factor risk scoring takes 0.38ms; and database write with WebSocket broadcast takes 0.75ms.</w:t>
        <w:br/>
        <w:t>Because global card network pre-authorization SLAs permit up to 50 milliseconds, FraudLens AI comfortably operates at less than one-tenth of the allowable latency window, leaving ample margin for network round-trips.</w:t>
      </w:r>
    </w:p>
    <w:p>
      <w:pPr>
        <w:keepNext/>
        <w:spacing w:before="200" w:after="60" w:line="307" w:lineRule="auto"/>
        <w:jc w:val="left"/>
      </w:pPr>
      <w:r>
        <w:rPr>
          <w:rFonts w:ascii="Times New Roman" w:hAnsi="Times New Roman"/>
          <w:b/>
          <w:sz w:val="24"/>
        </w:rPr>
        <w:t>7.1.5 Discussion and Practical Operational Impact</w:t>
      </w:r>
    </w:p>
    <w:p>
      <w:pPr>
        <w:spacing w:before="0" w:after="50" w:line="307" w:lineRule="auto"/>
        <w:jc w:val="both"/>
      </w:pPr>
      <w:r>
        <w:rPr>
          <w:rFonts w:ascii="Times New Roman" w:hAnsi="Times New Roman"/>
          <w:sz w:val="24"/>
        </w:rPr>
        <w:t>The empirical findings substantiate the core hypothesis of FraudLens AI: high predictive accuracy and game-theoretic interpretability are not mutually exclusive. By strictly separating statistical fraud probability from an objective operational risk score, the system resolves the classic industry trade-off between customer friction and capital protection. Genuine consumers conducting routine expenditures experience frictionless, sub-5ms clearance. Legitimate consumers undertaking unusual high-value expenditures are safely authenticated via the realistic smartphone SMS OTP challenge without account freezes. True adversaries attempting credential stuffing or botnet exfiltration are decisively blocked, with complete, evidence-grounded dossiers instantly delivered to forensic investigators.</w:t>
      </w:r>
    </w:p>
    <w:p>
      <w:pPr>
        <w:keepNext/>
        <w:spacing w:before="200" w:after="60"/>
        <w:jc w:val="left"/>
      </w:pPr>
      <w:r>
        <w:rPr>
          <w:rFonts w:ascii="Times New Roman" w:hAnsi="Times New Roman"/>
          <w:b/>
          <w:sz w:val="21"/>
        </w:rPr>
        <w:t>Table 7.1: Comprehensive Machine Learning Model Performance Comparison (Test Split)</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821"/>
        <w:gridCol w:w="821"/>
        <w:gridCol w:w="821"/>
        <w:gridCol w:w="821"/>
        <w:gridCol w:w="821"/>
        <w:gridCol w:w="821"/>
        <w:gridCol w:w="821"/>
        <w:gridCol w:w="821"/>
        <w:gridCol w:w="821"/>
        <w:gridCol w:w="821"/>
        <w:gridCol w:w="821"/>
      </w:tblGrid>
      <w:tr>
        <w:trPr>
          <w:tblHeader/>
        </w:trPr>
        <w:tc>
          <w:tcPr>
            <w:tcW w:type="dxa" w:w="2160"/>
            <w:shd w:fill="F1F5F9"/>
            <w:tcMar>
              <w:top w:w="70" w:type="dxa"/>
              <w:bottom w:w="70" w:type="dxa"/>
              <w:left w:w="90" w:type="dxa"/>
              <w:right w:w="90" w:type="dxa"/>
            </w:tcMar>
          </w:tcPr>
          <w:p>
            <w:pPr>
              <w:spacing w:before="20" w:after="20"/>
              <w:jc w:val="center"/>
            </w:pPr>
            <w:r>
              <w:rPr>
                <w:rFonts w:ascii="Times New Roman" w:hAnsi="Times New Roman"/>
                <w:b/>
                <w:color w:val="0F172A"/>
                <w:sz w:val="19"/>
              </w:rPr>
              <w:t>Model Architecture</w:t>
            </w:r>
          </w:p>
        </w:tc>
        <w:tc>
          <w:tcPr>
            <w:tcW w:type="dxa" w:w="720"/>
            <w:shd w:fill="F1F5F9"/>
            <w:tcMar>
              <w:top w:w="70" w:type="dxa"/>
              <w:bottom w:w="70" w:type="dxa"/>
              <w:left w:w="90" w:type="dxa"/>
              <w:right w:w="90" w:type="dxa"/>
            </w:tcMar>
          </w:tcPr>
          <w:p>
            <w:pPr>
              <w:spacing w:before="20" w:after="20"/>
              <w:jc w:val="center"/>
            </w:pPr>
            <w:r>
              <w:rPr>
                <w:rFonts w:ascii="Times New Roman" w:hAnsi="Times New Roman"/>
                <w:b/>
                <w:color w:val="0F172A"/>
                <w:sz w:val="19"/>
              </w:rPr>
              <w:t>Accuracy</w:t>
            </w:r>
          </w:p>
        </w:tc>
        <w:tc>
          <w:tcPr>
            <w:tcW w:type="dxa" w:w="720"/>
            <w:shd w:fill="F1F5F9"/>
            <w:tcMar>
              <w:top w:w="70" w:type="dxa"/>
              <w:bottom w:w="70" w:type="dxa"/>
              <w:left w:w="90" w:type="dxa"/>
              <w:right w:w="90" w:type="dxa"/>
            </w:tcMar>
          </w:tcPr>
          <w:p>
            <w:pPr>
              <w:spacing w:before="20" w:after="20"/>
              <w:jc w:val="center"/>
            </w:pPr>
            <w:r>
              <w:rPr>
                <w:rFonts w:ascii="Times New Roman" w:hAnsi="Times New Roman"/>
                <w:b/>
                <w:color w:val="0F172A"/>
                <w:sz w:val="19"/>
              </w:rPr>
              <w:t>Precision</w:t>
            </w:r>
          </w:p>
        </w:tc>
        <w:tc>
          <w:tcPr>
            <w:tcW w:type="dxa" w:w="720"/>
            <w:shd w:fill="F1F5F9"/>
            <w:tcMar>
              <w:top w:w="70" w:type="dxa"/>
              <w:bottom w:w="70" w:type="dxa"/>
              <w:left w:w="90" w:type="dxa"/>
              <w:right w:w="90" w:type="dxa"/>
            </w:tcMar>
          </w:tcPr>
          <w:p>
            <w:pPr>
              <w:spacing w:before="20" w:after="20"/>
              <w:jc w:val="center"/>
            </w:pPr>
            <w:r>
              <w:rPr>
                <w:rFonts w:ascii="Times New Roman" w:hAnsi="Times New Roman"/>
                <w:b/>
                <w:color w:val="0F172A"/>
                <w:sz w:val="19"/>
              </w:rPr>
              <w:t>Recall</w:t>
            </w:r>
          </w:p>
        </w:tc>
        <w:tc>
          <w:tcPr>
            <w:tcW w:type="dxa" w:w="720"/>
            <w:shd w:fill="F1F5F9"/>
            <w:tcMar>
              <w:top w:w="70" w:type="dxa"/>
              <w:bottom w:w="70" w:type="dxa"/>
              <w:left w:w="90" w:type="dxa"/>
              <w:right w:w="90" w:type="dxa"/>
            </w:tcMar>
          </w:tcPr>
          <w:p>
            <w:pPr>
              <w:spacing w:before="20" w:after="20"/>
              <w:jc w:val="center"/>
            </w:pPr>
            <w:r>
              <w:rPr>
                <w:rFonts w:ascii="Times New Roman" w:hAnsi="Times New Roman"/>
                <w:b/>
                <w:color w:val="0F172A"/>
                <w:sz w:val="19"/>
              </w:rPr>
              <w:t>F1-Score</w:t>
            </w:r>
          </w:p>
        </w:tc>
        <w:tc>
          <w:tcPr>
            <w:tcW w:type="dxa" w:w="720"/>
            <w:shd w:fill="F1F5F9"/>
            <w:tcMar>
              <w:top w:w="70" w:type="dxa"/>
              <w:bottom w:w="70" w:type="dxa"/>
              <w:left w:w="90" w:type="dxa"/>
              <w:right w:w="90" w:type="dxa"/>
            </w:tcMar>
          </w:tcPr>
          <w:p>
            <w:pPr>
              <w:spacing w:before="20" w:after="20"/>
              <w:jc w:val="center"/>
            </w:pPr>
            <w:r>
              <w:rPr>
                <w:rFonts w:ascii="Times New Roman" w:hAnsi="Times New Roman"/>
                <w:b/>
                <w:color w:val="0F172A"/>
                <w:sz w:val="19"/>
              </w:rPr>
              <w:t>F2-Score</w:t>
            </w:r>
          </w:p>
        </w:tc>
        <w:tc>
          <w:tcPr>
            <w:tcW w:type="dxa" w:w="792"/>
            <w:shd w:fill="F1F5F9"/>
            <w:tcMar>
              <w:top w:w="70" w:type="dxa"/>
              <w:bottom w:w="70" w:type="dxa"/>
              <w:left w:w="90" w:type="dxa"/>
              <w:right w:w="90" w:type="dxa"/>
            </w:tcMar>
          </w:tcPr>
          <w:p>
            <w:pPr>
              <w:spacing w:before="20" w:after="20"/>
              <w:jc w:val="center"/>
            </w:pPr>
            <w:r>
              <w:rPr>
                <w:rFonts w:ascii="Times New Roman" w:hAnsi="Times New Roman"/>
                <w:b/>
                <w:color w:val="0F172A"/>
                <w:sz w:val="19"/>
              </w:rPr>
              <w:t>ROC-AUC</w:t>
            </w:r>
          </w:p>
        </w:tc>
        <w:tc>
          <w:tcPr>
            <w:tcW w:type="dxa" w:w="792"/>
            <w:shd w:fill="F1F5F9"/>
            <w:tcMar>
              <w:top w:w="70" w:type="dxa"/>
              <w:bottom w:w="70" w:type="dxa"/>
              <w:left w:w="90" w:type="dxa"/>
              <w:right w:w="90" w:type="dxa"/>
            </w:tcMar>
          </w:tcPr>
          <w:p>
            <w:pPr>
              <w:spacing w:before="20" w:after="20"/>
              <w:jc w:val="center"/>
            </w:pPr>
            <w:r>
              <w:rPr>
                <w:rFonts w:ascii="Times New Roman" w:hAnsi="Times New Roman"/>
                <w:b/>
                <w:color w:val="0F172A"/>
                <w:sz w:val="19"/>
              </w:rPr>
              <w:t>PR-AUC</w:t>
            </w:r>
          </w:p>
        </w:tc>
        <w:tc>
          <w:tcPr>
            <w:tcW w:type="dxa" w:w="576"/>
            <w:shd w:fill="F1F5F9"/>
            <w:tcMar>
              <w:top w:w="70" w:type="dxa"/>
              <w:bottom w:w="70" w:type="dxa"/>
              <w:left w:w="90" w:type="dxa"/>
              <w:right w:w="90" w:type="dxa"/>
            </w:tcMar>
          </w:tcPr>
          <w:p>
            <w:pPr>
              <w:spacing w:before="20" w:after="20"/>
              <w:jc w:val="center"/>
            </w:pPr>
            <w:r>
              <w:rPr>
                <w:rFonts w:ascii="Times New Roman" w:hAnsi="Times New Roman"/>
                <w:b/>
                <w:color w:val="0F172A"/>
                <w:sz w:val="19"/>
              </w:rPr>
              <w:t>FPR</w:t>
            </w:r>
          </w:p>
        </w:tc>
        <w:tc>
          <w:tcPr>
            <w:tcW w:type="dxa" w:w="576"/>
            <w:shd w:fill="F1F5F9"/>
            <w:tcMar>
              <w:top w:w="70" w:type="dxa"/>
              <w:bottom w:w="70" w:type="dxa"/>
              <w:left w:w="90" w:type="dxa"/>
              <w:right w:w="90" w:type="dxa"/>
            </w:tcMar>
          </w:tcPr>
          <w:p>
            <w:pPr>
              <w:spacing w:before="20" w:after="20"/>
              <w:jc w:val="center"/>
            </w:pPr>
            <w:r>
              <w:rPr>
                <w:rFonts w:ascii="Times New Roman" w:hAnsi="Times New Roman"/>
                <w:b/>
                <w:color w:val="0F172A"/>
                <w:sz w:val="19"/>
              </w:rPr>
              <w:t>FNR</w:t>
            </w:r>
          </w:p>
        </w:tc>
        <w:tc>
          <w:tcPr>
            <w:tcW w:type="dxa" w:w="864"/>
            <w:shd w:fill="F1F5F9"/>
            <w:tcMar>
              <w:top w:w="70" w:type="dxa"/>
              <w:bottom w:w="70" w:type="dxa"/>
              <w:left w:w="90" w:type="dxa"/>
              <w:right w:w="90" w:type="dxa"/>
            </w:tcMar>
          </w:tcPr>
          <w:p>
            <w:pPr>
              <w:spacing w:before="20" w:after="20"/>
              <w:jc w:val="center"/>
            </w:pPr>
            <w:r>
              <w:rPr>
                <w:rFonts w:ascii="Times New Roman" w:hAnsi="Times New Roman"/>
                <w:b/>
                <w:color w:val="0F172A"/>
                <w:sz w:val="19"/>
              </w:rPr>
              <w:t>Status</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Logistic Regression</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0.750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0.857</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0.938</w:t>
            </w:r>
          </w:p>
        </w:tc>
        <w:tc>
          <w:tcPr>
            <w:tcW w:type="dxa" w:w="792"/>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92"/>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576"/>
            <w:tcMar>
              <w:top w:w="35" w:type="dxa"/>
              <w:bottom w:w="35" w:type="dxa"/>
              <w:left w:w="65" w:type="dxa"/>
              <w:right w:w="65" w:type="dxa"/>
            </w:tcMar>
          </w:tcPr>
          <w:p>
            <w:pPr>
              <w:spacing w:before="10" w:after="10" w:line="240" w:lineRule="auto"/>
            </w:pPr>
            <w:r>
              <w:rPr>
                <w:rFonts w:ascii="Times New Roman" w:hAnsi="Times New Roman"/>
                <w:sz w:val="18"/>
              </w:rPr>
              <w:t>0.067</w:t>
            </w:r>
          </w:p>
        </w:tc>
        <w:tc>
          <w:tcPr>
            <w:tcW w:type="dxa" w:w="576"/>
            <w:tcMar>
              <w:top w:w="35" w:type="dxa"/>
              <w:bottom w:w="35" w:type="dxa"/>
              <w:left w:w="65" w:type="dxa"/>
              <w:right w:w="65" w:type="dxa"/>
            </w:tcMar>
          </w:tcPr>
          <w:p>
            <w:pPr>
              <w:spacing w:before="10" w:after="10" w:line="240" w:lineRule="auto"/>
            </w:pPr>
            <w:r>
              <w:rPr>
                <w:rFonts w:ascii="Times New Roman" w:hAnsi="Times New Roman"/>
                <w:sz w:val="18"/>
              </w:rPr>
              <w:t>0.000</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Strong linear separability</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Random Forest</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92"/>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92"/>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576"/>
            <w:tcMar>
              <w:top w:w="35" w:type="dxa"/>
              <w:bottom w:w="35" w:type="dxa"/>
              <w:left w:w="65" w:type="dxa"/>
              <w:right w:w="65" w:type="dxa"/>
            </w:tcMar>
          </w:tcPr>
          <w:p>
            <w:pPr>
              <w:spacing w:before="10" w:after="10" w:line="240" w:lineRule="auto"/>
            </w:pPr>
            <w:r>
              <w:rPr>
                <w:rFonts w:ascii="Times New Roman" w:hAnsi="Times New Roman"/>
                <w:sz w:val="18"/>
              </w:rPr>
              <w:t>0.000</w:t>
            </w:r>
          </w:p>
        </w:tc>
        <w:tc>
          <w:tcPr>
            <w:tcW w:type="dxa" w:w="576"/>
            <w:tcMar>
              <w:top w:w="35" w:type="dxa"/>
              <w:bottom w:w="35" w:type="dxa"/>
              <w:left w:w="65" w:type="dxa"/>
              <w:right w:w="65" w:type="dxa"/>
            </w:tcMar>
          </w:tcPr>
          <w:p>
            <w:pPr>
              <w:spacing w:before="10" w:after="10" w:line="240" w:lineRule="auto"/>
            </w:pPr>
            <w:r>
              <w:rPr>
                <w:rFonts w:ascii="Times New Roman" w:hAnsi="Times New Roman"/>
                <w:sz w:val="18"/>
              </w:rPr>
              <w:t>0.000</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Zero error on test split</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XGBoost Classifier</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0.944</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0.750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0.857</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0.938</w:t>
            </w:r>
          </w:p>
        </w:tc>
        <w:tc>
          <w:tcPr>
            <w:tcW w:type="dxa" w:w="792"/>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92"/>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576"/>
            <w:tcMar>
              <w:top w:w="35" w:type="dxa"/>
              <w:bottom w:w="35" w:type="dxa"/>
              <w:left w:w="65" w:type="dxa"/>
              <w:right w:w="65" w:type="dxa"/>
            </w:tcMar>
          </w:tcPr>
          <w:p>
            <w:pPr>
              <w:spacing w:before="10" w:after="10" w:line="240" w:lineRule="auto"/>
            </w:pPr>
            <w:r>
              <w:rPr>
                <w:rFonts w:ascii="Times New Roman" w:hAnsi="Times New Roman"/>
                <w:sz w:val="18"/>
              </w:rPr>
              <w:t>0.067</w:t>
            </w:r>
          </w:p>
        </w:tc>
        <w:tc>
          <w:tcPr>
            <w:tcW w:type="dxa" w:w="576"/>
            <w:tcMar>
              <w:top w:w="35" w:type="dxa"/>
              <w:bottom w:w="35" w:type="dxa"/>
              <w:left w:w="65" w:type="dxa"/>
              <w:right w:w="65" w:type="dxa"/>
            </w:tcMar>
          </w:tcPr>
          <w:p>
            <w:pPr>
              <w:spacing w:before="10" w:after="10" w:line="240" w:lineRule="auto"/>
            </w:pPr>
            <w:r>
              <w:rPr>
                <w:rFonts w:ascii="Times New Roman" w:hAnsi="Times New Roman"/>
                <w:sz w:val="18"/>
              </w:rPr>
              <w:t>0.000</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Champion active model</w:t>
            </w:r>
          </w:p>
        </w:tc>
      </w:tr>
      <w:tr>
        <w:trPr>
          <w:cantSplit/>
        </w:trPr>
        <w:tc>
          <w:tcPr>
            <w:tcW w:type="dxa" w:w="2160"/>
            <w:tcMar>
              <w:top w:w="35" w:type="dxa"/>
              <w:bottom w:w="35" w:type="dxa"/>
              <w:left w:w="65" w:type="dxa"/>
              <w:right w:w="65" w:type="dxa"/>
            </w:tcMar>
          </w:tcPr>
          <w:p>
            <w:pPr>
              <w:spacing w:before="10" w:after="10" w:line="240" w:lineRule="auto"/>
            </w:pPr>
            <w:r>
              <w:rPr>
                <w:rFonts w:ascii="Times New Roman" w:hAnsi="Times New Roman"/>
                <w:b/>
                <w:sz w:val="18"/>
              </w:rPr>
              <w:t>Stacking Ensemble</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92"/>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792"/>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576"/>
            <w:tcMar>
              <w:top w:w="35" w:type="dxa"/>
              <w:bottom w:w="35" w:type="dxa"/>
              <w:left w:w="65" w:type="dxa"/>
              <w:right w:w="65" w:type="dxa"/>
            </w:tcMar>
          </w:tcPr>
          <w:p>
            <w:pPr>
              <w:spacing w:before="10" w:after="10" w:line="240" w:lineRule="auto"/>
            </w:pPr>
            <w:r>
              <w:rPr>
                <w:rFonts w:ascii="Times New Roman" w:hAnsi="Times New Roman"/>
                <w:sz w:val="18"/>
              </w:rPr>
              <w:t>0.000</w:t>
            </w:r>
          </w:p>
        </w:tc>
        <w:tc>
          <w:tcPr>
            <w:tcW w:type="dxa" w:w="576"/>
            <w:tcMar>
              <w:top w:w="35" w:type="dxa"/>
              <w:bottom w:w="35" w:type="dxa"/>
              <w:left w:w="65" w:type="dxa"/>
              <w:right w:w="65" w:type="dxa"/>
            </w:tcMar>
          </w:tcPr>
          <w:p>
            <w:pPr>
              <w:spacing w:before="10" w:after="10" w:line="240" w:lineRule="auto"/>
            </w:pPr>
            <w:r>
              <w:rPr>
                <w:rFonts w:ascii="Times New Roman" w:hAnsi="Times New Roman"/>
                <w:sz w:val="18"/>
              </w:rPr>
              <w:t>0.000</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Optimal blended generalization</w:t>
            </w:r>
          </w:p>
        </w:tc>
      </w:tr>
    </w:tbl>
    <w:p>
      <w:pPr>
        <w:keepNext/>
        <w:spacing w:before="160" w:after="40"/>
        <w:jc w:val="center"/>
      </w:pPr>
      <w:r>
        <w:drawing>
          <wp:inline xmlns:a="http://schemas.openxmlformats.org/drawingml/2006/main" xmlns:pic="http://schemas.openxmlformats.org/drawingml/2006/picture">
            <wp:extent cx="4297680" cy="2407887"/>
            <wp:docPr id="13" name="Picture 13"/>
            <wp:cNvGraphicFramePr>
              <a:graphicFrameLocks noChangeAspect="1"/>
            </wp:cNvGraphicFramePr>
            <a:graphic>
              <a:graphicData uri="http://schemas.openxmlformats.org/drawingml/2006/picture">
                <pic:pic>
                  <pic:nvPicPr>
                    <pic:cNvPr id="0" name="fig_7_1_roc_pr_curves.png"/>
                    <pic:cNvPicPr/>
                  </pic:nvPicPr>
                  <pic:blipFill>
                    <a:blip r:embed="rId24"/>
                    <a:stretch>
                      <a:fillRect/>
                    </a:stretch>
                  </pic:blipFill>
                  <pic:spPr>
                    <a:xfrm>
                      <a:off x="0" y="0"/>
                      <a:ext cx="4297680" cy="2407887"/>
                    </a:xfrm>
                    <a:prstGeom prst="rect"/>
                  </pic:spPr>
                </pic:pic>
              </a:graphicData>
            </a:graphic>
          </wp:inline>
        </w:drawing>
      </w:r>
    </w:p>
    <w:p>
      <w:pPr>
        <w:keepNext/>
        <w:spacing w:before="40" w:after="200"/>
        <w:jc w:val="center"/>
      </w:pPr>
      <w:r>
        <w:rPr>
          <w:rFonts w:ascii="Times New Roman" w:hAnsi="Times New Roman"/>
          <w:b/>
          <w:sz w:val="20"/>
        </w:rPr>
        <w:t>Figure 7.1: ROC and Precision-Recall Curves on Test Split</w:t>
      </w:r>
    </w:p>
    <w:p>
      <w:pPr>
        <w:keepNext/>
        <w:spacing w:before="200" w:after="60"/>
        <w:jc w:val="left"/>
      </w:pPr>
      <w:r>
        <w:rPr>
          <w:rFonts w:ascii="Times New Roman" w:hAnsi="Times New Roman"/>
          <w:b/>
          <w:sz w:val="21"/>
        </w:rPr>
        <w:t>Table 7.2: Confusion Matrix Metrics across Master Test &amp; Active Validation Splits</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1003"/>
        <w:gridCol w:w="1003"/>
        <w:gridCol w:w="1003"/>
        <w:gridCol w:w="1003"/>
        <w:gridCol w:w="1003"/>
        <w:gridCol w:w="1003"/>
        <w:gridCol w:w="1003"/>
        <w:gridCol w:w="1003"/>
        <w:gridCol w:w="1003"/>
      </w:tblGrid>
      <w:tr>
        <w:trPr>
          <w:tblHeader/>
        </w:trPr>
        <w:tc>
          <w:tcPr>
            <w:tcW w:type="dxa" w:w="3024"/>
            <w:shd w:fill="F1F5F9"/>
            <w:tcMar>
              <w:top w:w="70" w:type="dxa"/>
              <w:bottom w:w="70" w:type="dxa"/>
              <w:left w:w="90" w:type="dxa"/>
              <w:right w:w="90" w:type="dxa"/>
            </w:tcMar>
          </w:tcPr>
          <w:p>
            <w:pPr>
              <w:spacing w:before="20" w:after="20"/>
              <w:jc w:val="center"/>
            </w:pPr>
            <w:r>
              <w:rPr>
                <w:rFonts w:ascii="Times New Roman" w:hAnsi="Times New Roman"/>
                <w:b/>
                <w:color w:val="0F172A"/>
                <w:sz w:val="19"/>
              </w:rPr>
              <w:t>Evaluation Corpus Partition</w:t>
            </w:r>
          </w:p>
        </w:tc>
        <w:tc>
          <w:tcPr>
            <w:tcW w:type="dxa" w:w="864"/>
            <w:shd w:fill="F1F5F9"/>
            <w:tcMar>
              <w:top w:w="70" w:type="dxa"/>
              <w:bottom w:w="70" w:type="dxa"/>
              <w:left w:w="90" w:type="dxa"/>
              <w:right w:w="90" w:type="dxa"/>
            </w:tcMar>
          </w:tcPr>
          <w:p>
            <w:pPr>
              <w:spacing w:before="20" w:after="20"/>
              <w:jc w:val="center"/>
            </w:pPr>
            <w:r>
              <w:rPr>
                <w:rFonts w:ascii="Times New Roman" w:hAnsi="Times New Roman"/>
                <w:b/>
                <w:color w:val="0F172A"/>
                <w:sz w:val="19"/>
              </w:rPr>
              <w:t>True Neg (TN)</w:t>
            </w:r>
          </w:p>
        </w:tc>
        <w:tc>
          <w:tcPr>
            <w:tcW w:type="dxa" w:w="864"/>
            <w:shd w:fill="F1F5F9"/>
            <w:tcMar>
              <w:top w:w="70" w:type="dxa"/>
              <w:bottom w:w="70" w:type="dxa"/>
              <w:left w:w="90" w:type="dxa"/>
              <w:right w:w="90" w:type="dxa"/>
            </w:tcMar>
          </w:tcPr>
          <w:p>
            <w:pPr>
              <w:spacing w:before="20" w:after="20"/>
              <w:jc w:val="center"/>
            </w:pPr>
            <w:r>
              <w:rPr>
                <w:rFonts w:ascii="Times New Roman" w:hAnsi="Times New Roman"/>
                <w:b/>
                <w:color w:val="0F172A"/>
                <w:sz w:val="19"/>
              </w:rPr>
              <w:t>False Pos (FP)</w:t>
            </w:r>
          </w:p>
        </w:tc>
        <w:tc>
          <w:tcPr>
            <w:tcW w:type="dxa" w:w="864"/>
            <w:shd w:fill="F1F5F9"/>
            <w:tcMar>
              <w:top w:w="70" w:type="dxa"/>
              <w:bottom w:w="70" w:type="dxa"/>
              <w:left w:w="90" w:type="dxa"/>
              <w:right w:w="90" w:type="dxa"/>
            </w:tcMar>
          </w:tcPr>
          <w:p>
            <w:pPr>
              <w:spacing w:before="20" w:after="20"/>
              <w:jc w:val="center"/>
            </w:pPr>
            <w:r>
              <w:rPr>
                <w:rFonts w:ascii="Times New Roman" w:hAnsi="Times New Roman"/>
                <w:b/>
                <w:color w:val="0F172A"/>
                <w:sz w:val="19"/>
              </w:rPr>
              <w:t>False Neg (FN)</w:t>
            </w:r>
          </w:p>
        </w:tc>
        <w:tc>
          <w:tcPr>
            <w:tcW w:type="dxa" w:w="864"/>
            <w:shd w:fill="F1F5F9"/>
            <w:tcMar>
              <w:top w:w="70" w:type="dxa"/>
              <w:bottom w:w="70" w:type="dxa"/>
              <w:left w:w="90" w:type="dxa"/>
              <w:right w:w="90" w:type="dxa"/>
            </w:tcMar>
          </w:tcPr>
          <w:p>
            <w:pPr>
              <w:spacing w:before="20" w:after="20"/>
              <w:jc w:val="center"/>
            </w:pPr>
            <w:r>
              <w:rPr>
                <w:rFonts w:ascii="Times New Roman" w:hAnsi="Times New Roman"/>
                <w:b/>
                <w:color w:val="0F172A"/>
                <w:sz w:val="19"/>
              </w:rPr>
              <w:t>True Pos (TP)</w:t>
            </w:r>
          </w:p>
        </w:tc>
        <w:tc>
          <w:tcPr>
            <w:tcW w:type="dxa" w:w="936"/>
            <w:shd w:fill="F1F5F9"/>
            <w:tcMar>
              <w:top w:w="70" w:type="dxa"/>
              <w:bottom w:w="70" w:type="dxa"/>
              <w:left w:w="90" w:type="dxa"/>
              <w:right w:w="90" w:type="dxa"/>
            </w:tcMar>
          </w:tcPr>
          <w:p>
            <w:pPr>
              <w:spacing w:before="20" w:after="20"/>
              <w:jc w:val="center"/>
            </w:pPr>
            <w:r>
              <w:rPr>
                <w:rFonts w:ascii="Times New Roman" w:hAnsi="Times New Roman"/>
                <w:b/>
                <w:color w:val="0F172A"/>
                <w:sz w:val="19"/>
              </w:rPr>
              <w:t>Precision</w:t>
            </w:r>
          </w:p>
        </w:tc>
        <w:tc>
          <w:tcPr>
            <w:tcW w:type="dxa" w:w="936"/>
            <w:shd w:fill="F1F5F9"/>
            <w:tcMar>
              <w:top w:w="70" w:type="dxa"/>
              <w:bottom w:w="70" w:type="dxa"/>
              <w:left w:w="90" w:type="dxa"/>
              <w:right w:w="90" w:type="dxa"/>
            </w:tcMar>
          </w:tcPr>
          <w:p>
            <w:pPr>
              <w:spacing w:before="20" w:after="20"/>
              <w:jc w:val="center"/>
            </w:pPr>
            <w:r>
              <w:rPr>
                <w:rFonts w:ascii="Times New Roman" w:hAnsi="Times New Roman"/>
                <w:b/>
                <w:color w:val="0F172A"/>
                <w:sz w:val="19"/>
              </w:rPr>
              <w:t>Recall</w:t>
            </w:r>
          </w:p>
        </w:tc>
        <w:tc>
          <w:tcPr>
            <w:tcW w:type="dxa" w:w="936"/>
            <w:shd w:fill="F1F5F9"/>
            <w:tcMar>
              <w:top w:w="70" w:type="dxa"/>
              <w:bottom w:w="70" w:type="dxa"/>
              <w:left w:w="90" w:type="dxa"/>
              <w:right w:w="90" w:type="dxa"/>
            </w:tcMar>
          </w:tcPr>
          <w:p>
            <w:pPr>
              <w:spacing w:before="20" w:after="20"/>
              <w:jc w:val="center"/>
            </w:pPr>
            <w:r>
              <w:rPr>
                <w:rFonts w:ascii="Times New Roman" w:hAnsi="Times New Roman"/>
                <w:b/>
                <w:color w:val="0F172A"/>
                <w:sz w:val="19"/>
              </w:rPr>
              <w:t>F1-Score</w:t>
            </w:r>
          </w:p>
        </w:tc>
        <w:tc>
          <w:tcPr>
            <w:tcW w:type="dxa" w:w="936"/>
            <w:shd w:fill="F1F5F9"/>
            <w:tcMar>
              <w:top w:w="70" w:type="dxa"/>
              <w:bottom w:w="70" w:type="dxa"/>
              <w:left w:w="90" w:type="dxa"/>
              <w:right w:w="90" w:type="dxa"/>
            </w:tcMar>
          </w:tcPr>
          <w:p>
            <w:pPr>
              <w:spacing w:before="20" w:after="20"/>
              <w:jc w:val="center"/>
            </w:pPr>
            <w:r>
              <w:rPr>
                <w:rFonts w:ascii="Times New Roman" w:hAnsi="Times New Roman"/>
                <w:b/>
                <w:color w:val="0F172A"/>
                <w:sz w:val="19"/>
              </w:rPr>
              <w:t>Accuracy</w:t>
            </w:r>
          </w:p>
        </w:tc>
      </w:tr>
      <w:tr>
        <w:trPr>
          <w:cantSplit/>
        </w:trPr>
        <w:tc>
          <w:tcPr>
            <w:tcW w:type="dxa" w:w="3024"/>
            <w:tcMar>
              <w:top w:w="35" w:type="dxa"/>
              <w:bottom w:w="35" w:type="dxa"/>
              <w:left w:w="65" w:type="dxa"/>
              <w:right w:w="65" w:type="dxa"/>
            </w:tcMar>
          </w:tcPr>
          <w:p>
            <w:pPr>
              <w:spacing w:before="10" w:after="10" w:line="240" w:lineRule="auto"/>
            </w:pPr>
            <w:r>
              <w:rPr>
                <w:rFonts w:ascii="Times New Roman" w:hAnsi="Times New Roman"/>
                <w:b/>
                <w:sz w:val="18"/>
              </w:rPr>
              <w:t>Master Test Partition (4,000 Samples)</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3,790</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0</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0</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210</w:t>
            </w:r>
          </w:p>
        </w:tc>
        <w:tc>
          <w:tcPr>
            <w:tcW w:type="dxa" w:w="936"/>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936"/>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936"/>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936"/>
            <w:tcMar>
              <w:top w:w="35" w:type="dxa"/>
              <w:bottom w:w="35" w:type="dxa"/>
              <w:left w:w="65" w:type="dxa"/>
              <w:right w:w="65" w:type="dxa"/>
            </w:tcMar>
          </w:tcPr>
          <w:p>
            <w:pPr>
              <w:spacing w:before="10" w:after="10" w:line="240" w:lineRule="auto"/>
            </w:pPr>
            <w:r>
              <w:rPr>
                <w:rFonts w:ascii="Times New Roman" w:hAnsi="Times New Roman"/>
                <w:sz w:val="18"/>
              </w:rPr>
              <w:t>1.000</w:t>
            </w:r>
          </w:p>
        </w:tc>
      </w:tr>
      <w:tr>
        <w:trPr>
          <w:cantSplit/>
        </w:trPr>
        <w:tc>
          <w:tcPr>
            <w:tcW w:type="dxa" w:w="3024"/>
            <w:tcMar>
              <w:top w:w="35" w:type="dxa"/>
              <w:bottom w:w="35" w:type="dxa"/>
              <w:left w:w="65" w:type="dxa"/>
              <w:right w:w="65" w:type="dxa"/>
            </w:tcMar>
          </w:tcPr>
          <w:p>
            <w:pPr>
              <w:spacing w:before="10" w:after="10" w:line="240" w:lineRule="auto"/>
            </w:pPr>
            <w:r>
              <w:rPr>
                <w:rFonts w:ascii="Times New Roman" w:hAnsi="Times New Roman"/>
                <w:b/>
                <w:sz w:val="18"/>
              </w:rPr>
              <w:t>Active Validation Split (18 Samples)</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14</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1</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0</w:t>
            </w:r>
          </w:p>
        </w:tc>
        <w:tc>
          <w:tcPr>
            <w:tcW w:type="dxa" w:w="864"/>
            <w:tcMar>
              <w:top w:w="35" w:type="dxa"/>
              <w:bottom w:w="35" w:type="dxa"/>
              <w:left w:w="65" w:type="dxa"/>
              <w:right w:w="65" w:type="dxa"/>
            </w:tcMar>
          </w:tcPr>
          <w:p>
            <w:pPr>
              <w:spacing w:before="10" w:after="10" w:line="240" w:lineRule="auto"/>
            </w:pPr>
            <w:r>
              <w:rPr>
                <w:rFonts w:ascii="Times New Roman" w:hAnsi="Times New Roman"/>
                <w:sz w:val="18"/>
              </w:rPr>
              <w:t>3</w:t>
            </w:r>
          </w:p>
        </w:tc>
        <w:tc>
          <w:tcPr>
            <w:tcW w:type="dxa" w:w="936"/>
            <w:tcMar>
              <w:top w:w="35" w:type="dxa"/>
              <w:bottom w:w="35" w:type="dxa"/>
              <w:left w:w="65" w:type="dxa"/>
              <w:right w:w="65" w:type="dxa"/>
            </w:tcMar>
          </w:tcPr>
          <w:p>
            <w:pPr>
              <w:spacing w:before="10" w:after="10" w:line="240" w:lineRule="auto"/>
            </w:pPr>
            <w:r>
              <w:rPr>
                <w:rFonts w:ascii="Times New Roman" w:hAnsi="Times New Roman"/>
                <w:sz w:val="18"/>
              </w:rPr>
              <w:t>75.0%</w:t>
            </w:r>
          </w:p>
        </w:tc>
        <w:tc>
          <w:tcPr>
            <w:tcW w:type="dxa" w:w="936"/>
            <w:tcMar>
              <w:top w:w="35" w:type="dxa"/>
              <w:bottom w:w="35" w:type="dxa"/>
              <w:left w:w="65" w:type="dxa"/>
              <w:right w:w="65" w:type="dxa"/>
            </w:tcMar>
          </w:tcPr>
          <w:p>
            <w:pPr>
              <w:spacing w:before="10" w:after="10" w:line="240" w:lineRule="auto"/>
            </w:pPr>
            <w:r>
              <w:rPr>
                <w:rFonts w:ascii="Times New Roman" w:hAnsi="Times New Roman"/>
                <w:sz w:val="18"/>
              </w:rPr>
              <w:t>100.0%</w:t>
            </w:r>
          </w:p>
        </w:tc>
        <w:tc>
          <w:tcPr>
            <w:tcW w:type="dxa" w:w="936"/>
            <w:tcMar>
              <w:top w:w="35" w:type="dxa"/>
              <w:bottom w:w="35" w:type="dxa"/>
              <w:left w:w="65" w:type="dxa"/>
              <w:right w:w="65" w:type="dxa"/>
            </w:tcMar>
          </w:tcPr>
          <w:p>
            <w:pPr>
              <w:spacing w:before="10" w:after="10" w:line="240" w:lineRule="auto"/>
            </w:pPr>
            <w:r>
              <w:rPr>
                <w:rFonts w:ascii="Times New Roman" w:hAnsi="Times New Roman"/>
                <w:sz w:val="18"/>
              </w:rPr>
              <w:t>0.857</w:t>
            </w:r>
          </w:p>
        </w:tc>
        <w:tc>
          <w:tcPr>
            <w:tcW w:type="dxa" w:w="936"/>
            <w:tcMar>
              <w:top w:w="35" w:type="dxa"/>
              <w:bottom w:w="35" w:type="dxa"/>
              <w:left w:w="65" w:type="dxa"/>
              <w:right w:w="65" w:type="dxa"/>
            </w:tcMar>
          </w:tcPr>
          <w:p>
            <w:pPr>
              <w:spacing w:before="10" w:after="10" w:line="240" w:lineRule="auto"/>
            </w:pPr>
            <w:r>
              <w:rPr>
                <w:rFonts w:ascii="Times New Roman" w:hAnsi="Times New Roman"/>
                <w:sz w:val="18"/>
              </w:rPr>
              <w:t>0.944</w:t>
            </w:r>
          </w:p>
        </w:tc>
      </w:tr>
    </w:tbl>
    <w:p>
      <w:pPr>
        <w:keepNext/>
        <w:spacing w:before="160" w:after="40"/>
        <w:jc w:val="center"/>
      </w:pPr>
      <w:r>
        <w:drawing>
          <wp:inline xmlns:a="http://schemas.openxmlformats.org/drawingml/2006/main" xmlns:pic="http://schemas.openxmlformats.org/drawingml/2006/picture">
            <wp:extent cx="4297680" cy="2203812"/>
            <wp:docPr id="14" name="Picture 14"/>
            <wp:cNvGraphicFramePr>
              <a:graphicFrameLocks noChangeAspect="1"/>
            </wp:cNvGraphicFramePr>
            <a:graphic>
              <a:graphicData uri="http://schemas.openxmlformats.org/drawingml/2006/picture">
                <pic:pic>
                  <pic:nvPicPr>
                    <pic:cNvPr id="0" name="fig_7_2_confusion_matrices.png"/>
                    <pic:cNvPicPr/>
                  </pic:nvPicPr>
                  <pic:blipFill>
                    <a:blip r:embed="rId25"/>
                    <a:stretch>
                      <a:fillRect/>
                    </a:stretch>
                  </pic:blipFill>
                  <pic:spPr>
                    <a:xfrm>
                      <a:off x="0" y="0"/>
                      <a:ext cx="4297680" cy="2203812"/>
                    </a:xfrm>
                    <a:prstGeom prst="rect"/>
                  </pic:spPr>
                </pic:pic>
              </a:graphicData>
            </a:graphic>
          </wp:inline>
        </w:drawing>
      </w:r>
    </w:p>
    <w:p>
      <w:pPr>
        <w:keepNext/>
        <w:spacing w:before="40" w:after="200"/>
        <w:jc w:val="center"/>
      </w:pPr>
      <w:r>
        <w:rPr>
          <w:rFonts w:ascii="Times New Roman" w:hAnsi="Times New Roman"/>
          <w:b/>
          <w:sz w:val="20"/>
        </w:rPr>
        <w:t>Figure 7.2: Confusion Matrix Heatmaps across Test &amp; Active Validation Splits</w:t>
      </w:r>
    </w:p>
    <w:p>
      <w:pPr>
        <w:keepNext/>
        <w:spacing w:before="160" w:after="40"/>
        <w:jc w:val="center"/>
      </w:pPr>
      <w:r>
        <w:drawing>
          <wp:inline xmlns:a="http://schemas.openxmlformats.org/drawingml/2006/main" xmlns:pic="http://schemas.openxmlformats.org/drawingml/2006/picture">
            <wp:extent cx="4297680" cy="2626443"/>
            <wp:docPr id="15" name="Picture 15"/>
            <wp:cNvGraphicFramePr>
              <a:graphicFrameLocks noChangeAspect="1"/>
            </wp:cNvGraphicFramePr>
            <a:graphic>
              <a:graphicData uri="http://schemas.openxmlformats.org/drawingml/2006/picture">
                <pic:pic>
                  <pic:nvPicPr>
                    <pic:cNvPr id="0" name="fig_7_3_global_shap_ranking.png"/>
                    <pic:cNvPicPr/>
                  </pic:nvPicPr>
                  <pic:blipFill>
                    <a:blip r:embed="rId26"/>
                    <a:stretch>
                      <a:fillRect/>
                    </a:stretch>
                  </pic:blipFill>
                  <pic:spPr>
                    <a:xfrm>
                      <a:off x="0" y="0"/>
                      <a:ext cx="4297680" cy="2626443"/>
                    </a:xfrm>
                    <a:prstGeom prst="rect"/>
                  </pic:spPr>
                </pic:pic>
              </a:graphicData>
            </a:graphic>
          </wp:inline>
        </w:drawing>
      </w:r>
    </w:p>
    <w:p>
      <w:pPr>
        <w:keepNext/>
        <w:spacing w:before="40" w:after="200"/>
        <w:jc w:val="center"/>
      </w:pPr>
      <w:r>
        <w:rPr>
          <w:rFonts w:ascii="Times New Roman" w:hAnsi="Times New Roman"/>
          <w:b/>
          <w:sz w:val="20"/>
        </w:rPr>
        <w:t>Figure 7.3: Global Top-15 Feature Importance Ranking via TreeSHAP</w:t>
      </w:r>
    </w:p>
    <w:p>
      <w:pPr>
        <w:keepNext/>
        <w:spacing w:before="200" w:after="60"/>
        <w:jc w:val="left"/>
      </w:pPr>
      <w:r>
        <w:rPr>
          <w:rFonts w:ascii="Times New Roman" w:hAnsi="Times New Roman"/>
          <w:b/>
          <w:sz w:val="21"/>
        </w:rPr>
        <w:t>Table 7.3: Sub-5 Millisecond Pre-Authorization Latency Breakdown Profile</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3010"/>
        <w:gridCol w:w="3010"/>
        <w:gridCol w:w="3010"/>
      </w:tblGrid>
      <w:tr>
        <w:trPr>
          <w:tblHeader/>
        </w:trPr>
        <w:tc>
          <w:tcPr>
            <w:tcW w:type="dxa" w:w="3600"/>
            <w:shd w:fill="F1F5F9"/>
            <w:tcMar>
              <w:top w:w="70" w:type="dxa"/>
              <w:bottom w:w="70" w:type="dxa"/>
              <w:left w:w="90" w:type="dxa"/>
              <w:right w:w="90" w:type="dxa"/>
            </w:tcMar>
          </w:tcPr>
          <w:p>
            <w:pPr>
              <w:spacing w:before="20" w:after="20"/>
              <w:jc w:val="center"/>
            </w:pPr>
            <w:r>
              <w:rPr>
                <w:rFonts w:ascii="Times New Roman" w:hAnsi="Times New Roman"/>
                <w:b/>
                <w:color w:val="0F172A"/>
                <w:sz w:val="19"/>
              </w:rPr>
              <w:t>Pre-Authorization Architectural Phase</w:t>
            </w:r>
          </w:p>
        </w:tc>
        <w:tc>
          <w:tcPr>
            <w:tcW w:type="dxa" w:w="1872"/>
            <w:shd w:fill="F1F5F9"/>
            <w:tcMar>
              <w:top w:w="70" w:type="dxa"/>
              <w:bottom w:w="70" w:type="dxa"/>
              <w:left w:w="90" w:type="dxa"/>
              <w:right w:w="90" w:type="dxa"/>
            </w:tcMar>
          </w:tcPr>
          <w:p>
            <w:pPr>
              <w:spacing w:before="20" w:after="20"/>
              <w:jc w:val="center"/>
            </w:pPr>
            <w:r>
              <w:rPr>
                <w:rFonts w:ascii="Times New Roman" w:hAnsi="Times New Roman"/>
                <w:b/>
                <w:color w:val="0F172A"/>
                <w:sz w:val="19"/>
              </w:rPr>
              <w:t>Execution Latency</w:t>
            </w:r>
          </w:p>
        </w:tc>
        <w:tc>
          <w:tcPr>
            <w:tcW w:type="dxa" w:w="3888"/>
            <w:shd w:fill="F1F5F9"/>
            <w:tcMar>
              <w:top w:w="70" w:type="dxa"/>
              <w:bottom w:w="70" w:type="dxa"/>
              <w:left w:w="90" w:type="dxa"/>
              <w:right w:w="90" w:type="dxa"/>
            </w:tcMar>
          </w:tcPr>
          <w:p>
            <w:pPr>
              <w:spacing w:before="20" w:after="20"/>
              <w:jc w:val="center"/>
            </w:pPr>
            <w:r>
              <w:rPr>
                <w:rFonts w:ascii="Times New Roman" w:hAnsi="Times New Roman"/>
                <w:b/>
                <w:color w:val="0F172A"/>
                <w:sz w:val="19"/>
              </w:rPr>
              <w:t>Implementation Details</w:t>
            </w:r>
          </w:p>
        </w:tc>
      </w:tr>
      <w:tr>
        <w:trPr>
          <w:cantSplit/>
        </w:trPr>
        <w:tc>
          <w:tcPr>
            <w:tcW w:type="dxa" w:w="3600"/>
            <w:tcMar>
              <w:top w:w="35" w:type="dxa"/>
              <w:bottom w:w="35" w:type="dxa"/>
              <w:left w:w="65" w:type="dxa"/>
              <w:right w:w="65" w:type="dxa"/>
            </w:tcMar>
          </w:tcPr>
          <w:p>
            <w:pPr>
              <w:spacing w:before="10" w:after="10" w:line="240" w:lineRule="auto"/>
            </w:pPr>
            <w:r>
              <w:rPr>
                <w:rFonts w:ascii="Times New Roman" w:hAnsi="Times New Roman"/>
                <w:b/>
                <w:sz w:val="18"/>
              </w:rPr>
              <w:t>1. Idempotency Key Fingerprint Check</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0.22 ms</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SHA-256 hash lookup against idempotency_records table</w:t>
            </w:r>
          </w:p>
        </w:tc>
      </w:tr>
      <w:tr>
        <w:trPr>
          <w:cantSplit/>
        </w:trPr>
        <w:tc>
          <w:tcPr>
            <w:tcW w:type="dxa" w:w="3600"/>
            <w:tcMar>
              <w:top w:w="35" w:type="dxa"/>
              <w:bottom w:w="35" w:type="dxa"/>
              <w:left w:w="65" w:type="dxa"/>
              <w:right w:w="65" w:type="dxa"/>
            </w:tcMar>
          </w:tcPr>
          <w:p>
            <w:pPr>
              <w:spacing w:before="10" w:after="10" w:line="240" w:lineRule="auto"/>
            </w:pPr>
            <w:r>
              <w:rPr>
                <w:rFonts w:ascii="Times New Roman" w:hAnsi="Times New Roman"/>
                <w:b/>
                <w:sz w:val="18"/>
              </w:rPr>
              <w:t>2. Customer Behavioral Profile Fetch</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0.68 ms</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Retrieves 30-day average, prior tx amount, and 1h/24h velocity counts</w:t>
            </w:r>
          </w:p>
        </w:tc>
      </w:tr>
      <w:tr>
        <w:trPr>
          <w:cantSplit/>
        </w:trPr>
        <w:tc>
          <w:tcPr>
            <w:tcW w:type="dxa" w:w="3600"/>
            <w:tcMar>
              <w:top w:w="35" w:type="dxa"/>
              <w:bottom w:w="35" w:type="dxa"/>
              <w:left w:w="65" w:type="dxa"/>
              <w:right w:w="65" w:type="dxa"/>
            </w:tcMar>
          </w:tcPr>
          <w:p>
            <w:pPr>
              <w:spacing w:before="10" w:after="10" w:line="240" w:lineRule="auto"/>
            </w:pPr>
            <w:r>
              <w:rPr>
                <w:rFonts w:ascii="Times New Roman" w:hAnsi="Times New Roman"/>
                <w:b/>
                <w:sz w:val="18"/>
              </w:rPr>
              <w:t>3. Full Feature Transformation Pipeline</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0.54 ms</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SimpleImputer, StandardScaler, and OneHotEncoder matrix projection</w:t>
            </w:r>
          </w:p>
        </w:tc>
      </w:tr>
      <w:tr>
        <w:trPr>
          <w:cantSplit/>
        </w:trPr>
        <w:tc>
          <w:tcPr>
            <w:tcW w:type="dxa" w:w="3600"/>
            <w:tcMar>
              <w:top w:w="35" w:type="dxa"/>
              <w:bottom w:w="35" w:type="dxa"/>
              <w:left w:w="65" w:type="dxa"/>
              <w:right w:w="65" w:type="dxa"/>
            </w:tcMar>
          </w:tcPr>
          <w:p>
            <w:pPr>
              <w:spacing w:before="10" w:after="10" w:line="240" w:lineRule="auto"/>
            </w:pPr>
            <w:r>
              <w:rPr>
                <w:rFonts w:ascii="Times New Roman" w:hAnsi="Times New Roman"/>
                <w:b/>
                <w:sz w:val="18"/>
              </w:rPr>
              <w:t>4. XGBoost Inference Core</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1.15 ms</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Tree traversal across 250 boosted decision trees</w:t>
            </w:r>
          </w:p>
        </w:tc>
      </w:tr>
      <w:tr>
        <w:trPr>
          <w:cantSplit/>
        </w:trPr>
        <w:tc>
          <w:tcPr>
            <w:tcW w:type="dxa" w:w="3600"/>
            <w:tcMar>
              <w:top w:w="35" w:type="dxa"/>
              <w:bottom w:w="35" w:type="dxa"/>
              <w:left w:w="65" w:type="dxa"/>
              <w:right w:w="65" w:type="dxa"/>
            </w:tcMar>
          </w:tcPr>
          <w:p>
            <w:pPr>
              <w:spacing w:before="10" w:after="10" w:line="240" w:lineRule="auto"/>
            </w:pPr>
            <w:r>
              <w:rPr>
                <w:rFonts w:ascii="Times New Roman" w:hAnsi="Times New Roman"/>
                <w:b/>
                <w:sz w:val="18"/>
              </w:rPr>
              <w:t>5. TreeSHAP Feature Attribution</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1.08 ms</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Polynomial-time exact Shapley calculation and factor ranking</w:t>
            </w:r>
          </w:p>
        </w:tc>
      </w:tr>
      <w:tr>
        <w:trPr>
          <w:cantSplit/>
        </w:trPr>
        <w:tc>
          <w:tcPr>
            <w:tcW w:type="dxa" w:w="3600"/>
            <w:tcMar>
              <w:top w:w="35" w:type="dxa"/>
              <w:bottom w:w="35" w:type="dxa"/>
              <w:left w:w="65" w:type="dxa"/>
              <w:right w:w="65" w:type="dxa"/>
            </w:tcMar>
          </w:tcPr>
          <w:p>
            <w:pPr>
              <w:spacing w:before="10" w:after="10" w:line="240" w:lineRule="auto"/>
            </w:pPr>
            <w:r>
              <w:rPr>
                <w:rFonts w:ascii="Times New Roman" w:hAnsi="Times New Roman"/>
                <w:b/>
                <w:sz w:val="18"/>
              </w:rPr>
              <w:t>6. Multi-Factor Deterministic Risk Scorer</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0.38 ms</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Additive scoring rules evaluation and priority floor clamping</w:t>
            </w:r>
          </w:p>
        </w:tc>
      </w:tr>
      <w:tr>
        <w:trPr>
          <w:cantSplit/>
        </w:trPr>
        <w:tc>
          <w:tcPr>
            <w:tcW w:type="dxa" w:w="3600"/>
            <w:tcMar>
              <w:top w:w="35" w:type="dxa"/>
              <w:bottom w:w="35" w:type="dxa"/>
              <w:left w:w="65" w:type="dxa"/>
              <w:right w:w="65" w:type="dxa"/>
            </w:tcMar>
          </w:tcPr>
          <w:p>
            <w:pPr>
              <w:spacing w:before="10" w:after="10" w:line="240" w:lineRule="auto"/>
            </w:pPr>
            <w:r>
              <w:rPr>
                <w:rFonts w:ascii="Times New Roman" w:hAnsi="Times New Roman"/>
                <w:b/>
                <w:sz w:val="18"/>
              </w:rPr>
              <w:t>7. Database Persistence &amp; WebSocket Broadcast</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0.75 ms</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Transaction record commit and real-time telemetry dispatch</w:t>
            </w:r>
          </w:p>
        </w:tc>
      </w:tr>
      <w:tr>
        <w:trPr>
          <w:cantSplit/>
        </w:trPr>
        <w:tc>
          <w:tcPr>
            <w:tcW w:type="dxa" w:w="3600"/>
            <w:tcMar>
              <w:top w:w="35" w:type="dxa"/>
              <w:bottom w:w="35" w:type="dxa"/>
              <w:left w:w="65" w:type="dxa"/>
              <w:right w:w="65" w:type="dxa"/>
            </w:tcMar>
          </w:tcPr>
          <w:p>
            <w:pPr>
              <w:spacing w:before="10" w:after="10" w:line="240" w:lineRule="auto"/>
            </w:pPr>
            <w:r>
              <w:rPr>
                <w:rFonts w:ascii="Times New Roman" w:hAnsi="Times New Roman"/>
                <w:b/>
                <w:sz w:val="18"/>
              </w:rPr>
              <w:t>Total End-to-End Execution Latency</w:t>
            </w:r>
          </w:p>
        </w:tc>
        <w:tc>
          <w:tcPr>
            <w:tcW w:type="dxa" w:w="1872"/>
            <w:tcMar>
              <w:top w:w="35" w:type="dxa"/>
              <w:bottom w:w="35" w:type="dxa"/>
              <w:left w:w="65" w:type="dxa"/>
              <w:right w:w="65" w:type="dxa"/>
            </w:tcMar>
          </w:tcPr>
          <w:p>
            <w:pPr>
              <w:spacing w:before="10" w:after="10" w:line="240" w:lineRule="auto"/>
            </w:pPr>
            <w:r>
              <w:rPr>
                <w:rFonts w:ascii="Times New Roman" w:hAnsi="Times New Roman"/>
                <w:sz w:val="18"/>
              </w:rPr>
              <w:t>4.80 ms</w:t>
            </w:r>
          </w:p>
        </w:tc>
        <w:tc>
          <w:tcPr>
            <w:tcW w:type="dxa" w:w="3888"/>
            <w:tcMar>
              <w:top w:w="35" w:type="dxa"/>
              <w:bottom w:w="35" w:type="dxa"/>
              <w:left w:w="65" w:type="dxa"/>
              <w:right w:w="65" w:type="dxa"/>
            </w:tcMar>
          </w:tcPr>
          <w:p>
            <w:pPr>
              <w:spacing w:before="10" w:after="10" w:line="240" w:lineRule="auto"/>
            </w:pPr>
            <w:r>
              <w:rPr>
                <w:rFonts w:ascii="Times New Roman" w:hAnsi="Times New Roman"/>
                <w:sz w:val="18"/>
              </w:rPr>
              <w:t>Sub-5ms clearance window (Well within 50ms banking SLA)</w:t>
            </w:r>
          </w:p>
        </w:tc>
      </w:tr>
    </w:tbl>
    <w:p>
      <w:pPr>
        <w:keepNext/>
        <w:spacing w:before="160" w:after="40"/>
        <w:jc w:val="center"/>
      </w:pPr>
      <w:r>
        <w:drawing>
          <wp:inline xmlns:a="http://schemas.openxmlformats.org/drawingml/2006/main" xmlns:pic="http://schemas.openxmlformats.org/drawingml/2006/picture">
            <wp:extent cx="4297680" cy="2113150"/>
            <wp:docPr id="16" name="Picture 16"/>
            <wp:cNvGraphicFramePr>
              <a:graphicFrameLocks noChangeAspect="1"/>
            </wp:cNvGraphicFramePr>
            <a:graphic>
              <a:graphicData uri="http://schemas.openxmlformats.org/drawingml/2006/picture">
                <pic:pic>
                  <pic:nvPicPr>
                    <pic:cNvPr id="0" name="fig_7_4_latency_distribution.png"/>
                    <pic:cNvPicPr/>
                  </pic:nvPicPr>
                  <pic:blipFill>
                    <a:blip r:embed="rId27"/>
                    <a:stretch>
                      <a:fillRect/>
                    </a:stretch>
                  </pic:blipFill>
                  <pic:spPr>
                    <a:xfrm>
                      <a:off x="0" y="0"/>
                      <a:ext cx="4297680" cy="2113150"/>
                    </a:xfrm>
                    <a:prstGeom prst="rect"/>
                  </pic:spPr>
                </pic:pic>
              </a:graphicData>
            </a:graphic>
          </wp:inline>
        </w:drawing>
      </w:r>
    </w:p>
    <w:p>
      <w:pPr>
        <w:keepNext/>
        <w:spacing w:before="40" w:after="200"/>
        <w:jc w:val="center"/>
      </w:pPr>
      <w:r>
        <w:rPr>
          <w:rFonts w:ascii="Times New Roman" w:hAnsi="Times New Roman"/>
          <w:b/>
          <w:sz w:val="20"/>
        </w:rPr>
        <w:t>Figure 7.4: Sub-5 Millisecond Pre-Authorization Latency Breakdown Profile</w:t>
      </w:r>
    </w:p>
    <w:p>
      <w:r>
        <w:br w:type="page"/>
      </w:r>
    </w:p>
    <w:p>
      <w:pPr>
        <w:keepNext/>
        <w:spacing w:before="400" w:after="280" w:line="307" w:lineRule="auto"/>
        <w:jc w:val="center"/>
      </w:pPr>
      <w:r>
        <w:rPr>
          <w:rFonts w:ascii="Times New Roman" w:hAnsi="Times New Roman"/>
          <w:b/>
          <w:sz w:val="32"/>
        </w:rPr>
        <w:t>CHAPTER 8</w:t>
        <w:br/>
        <w:t>SYSTEM TESTING</w:t>
      </w:r>
    </w:p>
    <w:p>
      <w:pPr>
        <w:keepNext/>
        <w:spacing w:before="280" w:after="100" w:line="307" w:lineRule="auto"/>
        <w:jc w:val="left"/>
      </w:pPr>
      <w:r>
        <w:rPr>
          <w:rFonts w:ascii="Times New Roman" w:hAnsi="Times New Roman"/>
          <w:b/>
          <w:sz w:val="27"/>
        </w:rPr>
        <w:t>8.1 TESTING</w:t>
      </w:r>
    </w:p>
    <w:p>
      <w:pPr>
        <w:spacing w:before="0" w:after="50" w:line="307" w:lineRule="auto"/>
        <w:jc w:val="both"/>
      </w:pPr>
      <w:r>
        <w:rPr>
          <w:rFonts w:ascii="Times New Roman" w:hAnsi="Times New Roman"/>
          <w:sz w:val="24"/>
        </w:rPr>
        <w:t>Software testing for FraudLens AI was conducted in strict adherence to IEEE 829 standards for software test documentation, spanning Unit Testing, Integration Testing, Validation Testing, and System End-to-End Verification. The testing suite comprises 62 specialized test modules located in `backend/tests/`, verifying every operational layer from individual feature derivation functions to distributed WebSocket streaming and role-based access boundaries.</w:t>
      </w:r>
    </w:p>
    <w:p>
      <w:pPr>
        <w:keepNext/>
        <w:spacing w:before="280" w:after="100" w:line="307" w:lineRule="auto"/>
        <w:jc w:val="left"/>
      </w:pPr>
      <w:r>
        <w:rPr>
          <w:rFonts w:ascii="Times New Roman" w:hAnsi="Times New Roman"/>
          <w:b/>
          <w:sz w:val="27"/>
        </w:rPr>
        <w:t>8.2 UNIT TESTING</w:t>
      </w:r>
    </w:p>
    <w:p>
      <w:pPr>
        <w:spacing w:before="0" w:after="50" w:line="307" w:lineRule="auto"/>
        <w:jc w:val="both"/>
      </w:pPr>
      <w:r>
        <w:rPr>
          <w:rFonts w:ascii="Times New Roman" w:hAnsi="Times New Roman"/>
          <w:sz w:val="24"/>
        </w:rPr>
        <w:t>Unit testing focused on verifying the correctness, mathematical accuracy, deterministic behavior, and exception handling of isolated software components:</w:t>
        <w:br/>
        <w:t>• Preprocessor &amp; Feature Engineering: Tested in `test_feature_engineering.py` and `test_dataset_validator.py`. Verified that cyclical sine/cosine features remain bounded in [-1.0, 1.0], division-by-zero during ratio calculations is safely handled via epsilon smoothing, and all identifier columns are purged.</w:t>
        <w:br/>
        <w:t>• Machine Learning Inference Engine: Tested in `test_prediction_engine.py` and `test_model_selection.py`. Verified that serialized model artifacts (.joblib) load deterministically into memory, input matrix dimensions match the 63-feature transformer contract, and output probabilities fall strictly within [0.0, 1.0].</w:t>
        <w:br/>
        <w:t>• Multi-Factor Risk Scoring Engine: Tested in `test_risk_scoring.py`. Verified that the risk score remains strictly clamped to [0, 100], that risk level boundaries (0-30 Low, 31-70 Medium, 71-100 High) are rigorously enforced, and that `test_risk_score_is_not_simply_probability_times_100` passes, confirming that risk scoring operates independently of ML probability.</w:t>
        <w:br/>
        <w:t>• TreeSHAP Attribution Core: Tested in `test_shap_explainability.py`. Verified the efficiency axiom: $\sum \phi_i + \phi_0 = f(x)$ holds within numerical tolerance ($1e-4$), and local attributions correctly rank features by absolute magnitude.</w:t>
      </w:r>
    </w:p>
    <w:p>
      <w:pPr>
        <w:keepNext/>
        <w:spacing w:before="280" w:after="100" w:line="307" w:lineRule="auto"/>
        <w:jc w:val="left"/>
      </w:pPr>
      <w:r>
        <w:rPr>
          <w:rFonts w:ascii="Times New Roman" w:hAnsi="Times New Roman"/>
          <w:b/>
          <w:sz w:val="27"/>
        </w:rPr>
        <w:t>8.3 INTEGRATION TESTING</w:t>
      </w:r>
    </w:p>
    <w:p>
      <w:pPr>
        <w:spacing w:before="0" w:after="50" w:line="307" w:lineRule="auto"/>
        <w:jc w:val="both"/>
      </w:pPr>
      <w:r>
        <w:rPr>
          <w:rFonts w:ascii="Times New Roman" w:hAnsi="Times New Roman"/>
          <w:sz w:val="24"/>
        </w:rPr>
        <w:t>Integration testing evaluated the collaborative execution of interconnected services and data boundaries:</w:t>
        <w:br/>
        <w:t>• Authentication &amp; Granular RBAC: Tested in `test_auth_rbac.py` (26 passed tests). Verified that invalid passwords return HTTP 401, expired JWT tokens are rejected, unauthenticated requests cannot access protected routes, and investigators attempting to access administrator-restricted model training routes receive HTTP 403 Forbidden.</w:t>
        <w:br/>
        <w:t>• Customer-Isolated Pre-Auth Payment Lifecycle: Tested in `test_risk_decision_orchestrator.py` and `test_phase1_phase2_simulation_lifecycle.py`. Verified that customers can only query their own ledger records, wallet balances are validated before authorization, and duplicate idempotency keys return cached responses without re-debiting.</w:t>
        <w:br/>
        <w:t>• Step-Up Challenge &amp; SMS OTP Flow: Tested in `test_critical_transaction_otp_flow.py` and `test_rapid_transaction_otp.py`. Verified that transactions with risk scores &gt; 30 or rapid velocity bursts generate 6-digit OTP tokens, hold transaction status in REVIEW_REQUIRED, and successfully update to AUTHORIZED upon valid token submission while rejecting expired or incorrect codes.</w:t>
        <w:br/>
        <w:t>• Case Docket &amp; Investigation Lifecycle: Tested in `test_investigations.py`. Verified that blocked and held transactions automatically spawn investigation cases linked to the underlying transaction ID, allowing analysts to assign cases, record audit notes, and close cases.</w:t>
      </w:r>
    </w:p>
    <w:p>
      <w:pPr>
        <w:keepNext/>
        <w:spacing w:before="280" w:after="100" w:line="307" w:lineRule="auto"/>
        <w:jc w:val="left"/>
      </w:pPr>
      <w:r>
        <w:rPr>
          <w:rFonts w:ascii="Times New Roman" w:hAnsi="Times New Roman"/>
          <w:b/>
          <w:sz w:val="27"/>
        </w:rPr>
        <w:t>8.4 VALIDATION TESTING</w:t>
      </w:r>
    </w:p>
    <w:p>
      <w:pPr>
        <w:spacing w:before="0" w:after="50" w:line="307" w:lineRule="auto"/>
        <w:jc w:val="both"/>
      </w:pPr>
      <w:r>
        <w:rPr>
          <w:rFonts w:ascii="Times New Roman" w:hAnsi="Times New Roman"/>
          <w:sz w:val="24"/>
        </w:rPr>
        <w:t>Validation testing evaluated system compliance with operational business requirements, data contracts, and stress conditions:</w:t>
        <w:br/>
        <w:t>• Schema Contract Alignment: Tested in `test_data_contract_alignment.py`. Verified that incoming JSON payloads from the React frontend strictly conform to Pydantic data schemas across all 24 API router endpoints.</w:t>
        <w:br/>
        <w:t>• Rapid Velocity Anomaly Injection: Tested in `test_rapid_transaction_otp.py`. Simulated a rapid burst of 3 transactions within 60 minutes for a single customer ID; validated that the orchestrator accurately detected the pattern, preserved the customer's LOW base fraud score, but triggered the mandatory step-up OTP challenge to safeguard against automated scripts.</w:t>
        <w:br/>
        <w:t>• Adversarial Security &amp; AppLocker Hardening: Tested in `test_gate8_adversarial.py` and `test_gate11_security_hardening.py`. Verified that malicious payload injections, SQL escaping violations, and unauthorized role elevation attempts are neutralized at the gateway layer.</w:t>
      </w:r>
    </w:p>
    <w:p>
      <w:pPr>
        <w:keepNext/>
        <w:spacing w:before="280" w:after="100" w:line="307" w:lineRule="auto"/>
        <w:jc w:val="left"/>
      </w:pPr>
      <w:r>
        <w:rPr>
          <w:rFonts w:ascii="Times New Roman" w:hAnsi="Times New Roman"/>
          <w:b/>
          <w:sz w:val="27"/>
        </w:rPr>
        <w:t>8.5 TESTING REPORT</w:t>
      </w:r>
    </w:p>
    <w:p>
      <w:pPr>
        <w:spacing w:before="0" w:after="50" w:line="307" w:lineRule="auto"/>
        <w:jc w:val="both"/>
      </w:pPr>
      <w:r>
        <w:rPr>
          <w:rFonts w:ascii="Times New Roman" w:hAnsi="Times New Roman"/>
          <w:sz w:val="24"/>
        </w:rPr>
        <w:t>The comprehensive testing report is codified in Table 8.1, detailing 30 representative test cases spanning all functional modules, their input conditions, expected behaviors, observed empirical results, and final verification status.</w:t>
      </w:r>
    </w:p>
    <w:p>
      <w:pPr>
        <w:keepNext/>
        <w:spacing w:before="200" w:after="60"/>
        <w:jc w:val="left"/>
      </w:pPr>
      <w:r>
        <w:rPr>
          <w:rFonts w:ascii="Times New Roman" w:hAnsi="Times New Roman"/>
          <w:b/>
          <w:sz w:val="21"/>
        </w:rPr>
        <w:t>Table 8.1: Formal Software Verification &amp; Validation Test Report (30 Representative Cases)</w:t>
      </w:r>
    </w:p>
    <w:tbl>
      <w:tblPr>
        <w:tblW w:type="auto" w:w="0"/>
        <w:jc w:val="center"/>
        <w:tblLayout w:type="fixed"/>
        <w:tblLook w:firstColumn="1" w:firstRow="1" w:lastColumn="0" w:lastRow="0" w:noHBand="0" w:noVBand="1" w:val="04A0"/>
        <w:tblBorders>
          <w:top w:val="single" w:sz="6" w:space="0" w:color="333333"/>
          <w:bottom w:val="single" w:sz="6" w:space="0" w:color="333333"/>
          <w:left w:val="single" w:sz="4" w:space="0" w:color="CCCCCC"/>
          <w:right w:val="single" w:sz="4" w:space="0" w:color="CCCCCC"/>
          <w:insideH w:val="single" w:sz="4" w:space="0" w:color="E2E8F0"/>
          <w:insideV w:val="single" w:sz="4" w:space="0" w:color="E2E8F0"/>
        </w:tblBorders>
      </w:tblPr>
      <w:tblGrid>
        <w:gridCol w:w="1505"/>
        <w:gridCol w:w="1505"/>
        <w:gridCol w:w="1505"/>
        <w:gridCol w:w="1505"/>
        <w:gridCol w:w="1505"/>
        <w:gridCol w:w="1505"/>
      </w:tblGrid>
      <w:tr>
        <w:trPr>
          <w:tblHeader/>
        </w:trPr>
        <w:tc>
          <w:tcPr>
            <w:tcW w:type="dxa" w:w="1584"/>
            <w:shd w:fill="F1F5F9"/>
            <w:tcMar>
              <w:top w:w="70" w:type="dxa"/>
              <w:bottom w:w="70" w:type="dxa"/>
              <w:left w:w="90" w:type="dxa"/>
              <w:right w:w="90" w:type="dxa"/>
            </w:tcMar>
          </w:tcPr>
          <w:p>
            <w:pPr>
              <w:spacing w:before="20" w:after="20"/>
              <w:jc w:val="center"/>
            </w:pPr>
            <w:r>
              <w:rPr>
                <w:rFonts w:ascii="Times New Roman" w:hAnsi="Times New Roman"/>
                <w:b/>
                <w:color w:val="0F172A"/>
                <w:sz w:val="19"/>
              </w:rPr>
              <w:t>Test Case ID</w:t>
            </w:r>
          </w:p>
        </w:tc>
        <w:tc>
          <w:tcPr>
            <w:tcW w:type="dxa" w:w="1440"/>
            <w:shd w:fill="F1F5F9"/>
            <w:tcMar>
              <w:top w:w="70" w:type="dxa"/>
              <w:bottom w:w="70" w:type="dxa"/>
              <w:left w:w="90" w:type="dxa"/>
              <w:right w:w="90" w:type="dxa"/>
            </w:tcMar>
          </w:tcPr>
          <w:p>
            <w:pPr>
              <w:spacing w:before="20" w:after="20"/>
              <w:jc w:val="center"/>
            </w:pPr>
            <w:r>
              <w:rPr>
                <w:rFonts w:ascii="Times New Roman" w:hAnsi="Times New Roman"/>
                <w:b/>
                <w:color w:val="0F172A"/>
                <w:sz w:val="19"/>
              </w:rPr>
              <w:t>Module</w:t>
            </w:r>
          </w:p>
        </w:tc>
        <w:tc>
          <w:tcPr>
            <w:tcW w:type="dxa" w:w="2304"/>
            <w:shd w:fill="F1F5F9"/>
            <w:tcMar>
              <w:top w:w="70" w:type="dxa"/>
              <w:bottom w:w="70" w:type="dxa"/>
              <w:left w:w="90" w:type="dxa"/>
              <w:right w:w="90" w:type="dxa"/>
            </w:tcMar>
          </w:tcPr>
          <w:p>
            <w:pPr>
              <w:spacing w:before="20" w:after="20"/>
              <w:jc w:val="center"/>
            </w:pPr>
            <w:r>
              <w:rPr>
                <w:rFonts w:ascii="Times New Roman" w:hAnsi="Times New Roman"/>
                <w:b/>
                <w:color w:val="0F172A"/>
                <w:sz w:val="19"/>
              </w:rPr>
              <w:t>Input Condition / Test Stimulus</w:t>
            </w:r>
          </w:p>
        </w:tc>
        <w:tc>
          <w:tcPr>
            <w:tcW w:type="dxa" w:w="2016"/>
            <w:shd w:fill="F1F5F9"/>
            <w:tcMar>
              <w:top w:w="70" w:type="dxa"/>
              <w:bottom w:w="70" w:type="dxa"/>
              <w:left w:w="90" w:type="dxa"/>
              <w:right w:w="90" w:type="dxa"/>
            </w:tcMar>
          </w:tcPr>
          <w:p>
            <w:pPr>
              <w:spacing w:before="20" w:after="20"/>
              <w:jc w:val="center"/>
            </w:pPr>
            <w:r>
              <w:rPr>
                <w:rFonts w:ascii="Times New Roman" w:hAnsi="Times New Roman"/>
                <w:b/>
                <w:color w:val="0F172A"/>
                <w:sz w:val="19"/>
              </w:rPr>
              <w:t>Expected System Response</w:t>
            </w:r>
          </w:p>
        </w:tc>
        <w:tc>
          <w:tcPr>
            <w:tcW w:type="dxa" w:w="1440"/>
            <w:shd w:fill="F1F5F9"/>
            <w:tcMar>
              <w:top w:w="70" w:type="dxa"/>
              <w:bottom w:w="70" w:type="dxa"/>
              <w:left w:w="90" w:type="dxa"/>
              <w:right w:w="90" w:type="dxa"/>
            </w:tcMar>
          </w:tcPr>
          <w:p>
            <w:pPr>
              <w:spacing w:before="20" w:after="20"/>
              <w:jc w:val="center"/>
            </w:pPr>
            <w:r>
              <w:rPr>
                <w:rFonts w:ascii="Times New Roman" w:hAnsi="Times New Roman"/>
                <w:b/>
                <w:color w:val="0F172A"/>
                <w:sz w:val="19"/>
              </w:rPr>
              <w:t>Observed Result</w:t>
            </w:r>
          </w:p>
        </w:tc>
        <w:tc>
          <w:tcPr>
            <w:tcW w:type="dxa" w:w="720"/>
            <w:shd w:fill="F1F5F9"/>
            <w:tcMar>
              <w:top w:w="70" w:type="dxa"/>
              <w:bottom w:w="70" w:type="dxa"/>
              <w:left w:w="90" w:type="dxa"/>
              <w:right w:w="90" w:type="dxa"/>
            </w:tcMar>
          </w:tcPr>
          <w:p>
            <w:pPr>
              <w:spacing w:before="20" w:after="20"/>
              <w:jc w:val="center"/>
            </w:pPr>
            <w:r>
              <w:rPr>
                <w:rFonts w:ascii="Times New Roman" w:hAnsi="Times New Roman"/>
                <w:b/>
                <w:color w:val="0F172A"/>
                <w:sz w:val="19"/>
              </w:rPr>
              <w:t>Status</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TC-AUTH-01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Authentication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Valid admin credentials submitted to /auth/login</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HTTP 200 with signed JWT access token and admin role</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HTTP 200 with valid JWT token</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TC-AUTH-02</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Authentication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Invalid password submitted for existing user</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HTTP 401 Unauthorized ('Could not validate credentials')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HTTP 401 Unauthorized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TC-AUTH-03</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RBAC Boundary</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Fraud investigator accesses /admin/train-model</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HTTP 403 Forbidden ('Operation not permitted for current role')</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HTTP 403 Forbidden</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TC-AUTH-04</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Tenant Privacy</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Customer A queries transaction records of Customer B</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HTTP 200 with strictly filtered records belonging ONLY to Customer A</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Customer A data isolated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TC-PRED-01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ML Prediction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Routine transaction vector submitted to /predict</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Output probability p &lt; 0.10, prediction = 'GENUINE'</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p = 0.042, GENUINE</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TC-PRED-02</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ML Prediction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High-ticket nocturnal transaction with new device</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Output probability p &gt;= 0.70, prediction = 'FRAUD'</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p = 0.895, FRAUD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TC-RISK-01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Risk Scorer</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Routine payment: Amount = ₹1,200, usual location, trusted device</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Risk score &lt;= 30, Risk Level = LOW</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Score = 18, LOW</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TC-RISK-02</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Risk Scorer</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High-risk payment: Amount = ₹45,000 (15x avg), new device, night hour</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Risk score &gt;= 71, Risk Level = HIGH</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Score = 92, HIGH</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TC-RISK-03</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Risk Scorer</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Verify risk score is strictly decoupled from prob * 100</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Score reflects additive factors rather than simple multiplication</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Assertion verified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TC-SHAP-01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Explainable AI</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Compute local TreeSHAP attribution for flagged payment</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Exact Shapley values summing to prediction margin within 1e-4</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Efficiency axiom held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TC-SHAP-02</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Explainable AI</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Extract top 3 risk-increasing and risk-decreasing factors</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Correct ranking by absolute magnitude |SHAP|</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Rankings matched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TC-GATE-01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Pre-Auth Gate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Payment with Risk Score = 15 submitted to /payment/initiate</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Decision: ALLOW; balance deducted immediately; zero OTP prompt</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Decision: ALLOW</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TC-GATE-02</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Pre-Auth Gate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Payment with Risk Score = 58 submitted to /payment/initiate</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Decision: REVIEW; balance frozen; TransactionApproval record created</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Decision: REVIEW</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TC-GATE-03</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Pre-Auth Gate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Payment with Risk Score = 92 submitted to /payment/initiate</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Decision: BLOCK; balance preserved; Investigation case created</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Decision: BLOCK</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TC-GATE-04</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Pre-Auth Gate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Customer with balance ₹5,000 attempts payment of ₹12,000</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HTTP 400 Bad Request ('Insufficient Balance')</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HTTP 400 Insufficient Balance</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TC-RAPID-01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Rapid Activity</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3 successive low-risk payments submitted within 60 minutes</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Trigger: RAPID_TRANSACTION_ACTIVITY; Decision: REVIEW with OTP</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Decision: REVIEW (Rapid OTP)</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TC-IDEMP-01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Idempotency</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Identical request payload submitted with same Idempotency-Key</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HTTP 200 returning cached response with idempotent_replay=True</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Replay cached response</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TC-OTP-01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Approval OTP</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Correct 6-digit OTP submitted to /approvals/respond</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Status -&gt; SUCCEEDED; wallet balance deducted; approval APPROVED</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Status -&gt; SUCCEEDED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TC-OTP-02</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Approval OTP</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Incorrect OTP submitted to /approvals/respond</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HTTP 400 Bad Request ('Invalid verification code')</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HTTP 400 Invalid Code</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TC-OTP-03</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Approval OTP</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Expired OTP token submitted (&gt; 15 minutes TTL)</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HTTP 400 Bad Request ('Verification challenge expired')</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HTTP 400 Token Expired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TC-OTP-04</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Approval OTP</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User clicks 'Reject &amp; Freeze Account' in modal</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Approval status REJECTED; card frozen; investigation escalated</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Account frozen</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TC-CASE-01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Investigation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Investigator queries open cases via /investigations</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HTTP 200 with list of active cases and linked transaction data</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HTTP 200 Cases retrieved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TC-CASE-02</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Investigation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Investigator records formal determination and audit notes</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Investigation status updated to 'resolved', audit log appended</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Status updated to resolved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TC-COPILOT-01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GenAI Copilot</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Request dossier generation for Case 167 via Gemini 1.5</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Synthesizes narrative summary, 4-stage kill-chain, and Mermaid graph</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Dossier generated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TC-COPILOT-02</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GenAI Copilot</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Request regulatory SAR draft for confirmed fraud case</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Outputs structured compliance SAR filing with timestamps and indicators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SAR draft generated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TC-AUDIT-01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Audit Logging</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Execute user creation and verify audit log record</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Audit log created with user_id, action, resource, timestamp</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Audit log confirmed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TC-DATA-01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Data Validation</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Run 11-step validator on master 20k dataset</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Validates 57 columns, zero missing mandatory fields, 0 target leakage</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Dataset valid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TC-PERF-01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Performance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Measure pre-authorization end-to-end execution time</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Average processing latency &lt; 5.0 milliseconds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Observed: 4.80 ms</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TC-PERF-02</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Performance</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Concurrent throughput stress test with 1,000 requests</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Zero 500 Internal Server Errors; zero connection dropouts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100% successful clearance</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r>
        <w:trPr>
          <w:cantSplit/>
        </w:trPr>
        <w:tc>
          <w:tcPr>
            <w:tcW w:type="dxa" w:w="1584"/>
            <w:tcMar>
              <w:top w:w="35" w:type="dxa"/>
              <w:bottom w:w="35" w:type="dxa"/>
              <w:left w:w="65" w:type="dxa"/>
              <w:right w:w="65" w:type="dxa"/>
            </w:tcMar>
          </w:tcPr>
          <w:p>
            <w:pPr>
              <w:spacing w:before="10" w:after="10" w:line="240" w:lineRule="auto"/>
            </w:pPr>
            <w:r>
              <w:rPr>
                <w:rFonts w:ascii="Times New Roman" w:hAnsi="Times New Roman"/>
                <w:b/>
                <w:sz w:val="18"/>
              </w:rPr>
              <w:t>TC-WS-01</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Live Telemetry</w:t>
            </w:r>
          </w:p>
        </w:tc>
        <w:tc>
          <w:tcPr>
            <w:tcW w:type="dxa" w:w="2304"/>
            <w:tcMar>
              <w:top w:w="35" w:type="dxa"/>
              <w:bottom w:w="35" w:type="dxa"/>
              <w:left w:w="65" w:type="dxa"/>
              <w:right w:w="65" w:type="dxa"/>
            </w:tcMar>
          </w:tcPr>
          <w:p>
            <w:pPr>
              <w:spacing w:before="10" w:after="10" w:line="240" w:lineRule="auto"/>
            </w:pPr>
            <w:r>
              <w:rPr>
                <w:rFonts w:ascii="Times New Roman" w:hAnsi="Times New Roman"/>
                <w:sz w:val="18"/>
              </w:rPr>
              <w:t>Emit transaction event and verify WebSocket receipt</w:t>
            </w:r>
          </w:p>
        </w:tc>
        <w:tc>
          <w:tcPr>
            <w:tcW w:type="dxa" w:w="2016"/>
            <w:tcMar>
              <w:top w:w="35" w:type="dxa"/>
              <w:bottom w:w="35" w:type="dxa"/>
              <w:left w:w="65" w:type="dxa"/>
              <w:right w:w="65" w:type="dxa"/>
            </w:tcMar>
          </w:tcPr>
          <w:p>
            <w:pPr>
              <w:spacing w:before="10" w:after="10" w:line="240" w:lineRule="auto"/>
            </w:pPr>
            <w:r>
              <w:rPr>
                <w:rFonts w:ascii="Times New Roman" w:hAnsi="Times New Roman"/>
                <w:sz w:val="18"/>
              </w:rPr>
              <w:t>WebSocket client receives JSON payload within 150ms</w:t>
            </w:r>
          </w:p>
        </w:tc>
        <w:tc>
          <w:tcPr>
            <w:tcW w:type="dxa" w:w="1440"/>
            <w:tcMar>
              <w:top w:w="35" w:type="dxa"/>
              <w:bottom w:w="35" w:type="dxa"/>
              <w:left w:w="65" w:type="dxa"/>
              <w:right w:w="65" w:type="dxa"/>
            </w:tcMar>
          </w:tcPr>
          <w:p>
            <w:pPr>
              <w:spacing w:before="10" w:after="10" w:line="240" w:lineRule="auto"/>
            </w:pPr>
            <w:r>
              <w:rPr>
                <w:rFonts w:ascii="Times New Roman" w:hAnsi="Times New Roman"/>
                <w:sz w:val="18"/>
              </w:rPr>
              <w:t>Telemetry received</w:t>
            </w:r>
          </w:p>
        </w:tc>
        <w:tc>
          <w:tcPr>
            <w:tcW w:type="dxa" w:w="720"/>
            <w:tcMar>
              <w:top w:w="35" w:type="dxa"/>
              <w:bottom w:w="35" w:type="dxa"/>
              <w:left w:w="65" w:type="dxa"/>
              <w:right w:w="65" w:type="dxa"/>
            </w:tcMar>
          </w:tcPr>
          <w:p>
            <w:pPr>
              <w:spacing w:before="10" w:after="10" w:line="240" w:lineRule="auto"/>
            </w:pPr>
            <w:r>
              <w:rPr>
                <w:rFonts w:ascii="Times New Roman" w:hAnsi="Times New Roman"/>
                <w:sz w:val="18"/>
              </w:rPr>
              <w:t>PASSED</w:t>
            </w:r>
          </w:p>
        </w:tc>
      </w:tr>
    </w:tbl>
    <w:p>
      <w:r>
        <w:br w:type="page"/>
      </w:r>
    </w:p>
    <w:p>
      <w:pPr>
        <w:keepNext/>
        <w:spacing w:before="400" w:after="280" w:line="307" w:lineRule="auto"/>
        <w:jc w:val="center"/>
      </w:pPr>
      <w:r>
        <w:rPr>
          <w:rFonts w:ascii="Times New Roman" w:hAnsi="Times New Roman"/>
          <w:b/>
          <w:sz w:val="32"/>
        </w:rPr>
        <w:t>CHAPTER 9</w:t>
        <w:br/>
        <w:t>CONCLUSION AND FUTURE ENHANCEMENT</w:t>
      </w:r>
    </w:p>
    <w:p>
      <w:pPr>
        <w:keepNext/>
        <w:spacing w:before="280" w:after="100" w:line="307" w:lineRule="auto"/>
        <w:jc w:val="left"/>
      </w:pPr>
      <w:r>
        <w:rPr>
          <w:rFonts w:ascii="Times New Roman" w:hAnsi="Times New Roman"/>
          <w:b/>
          <w:sz w:val="27"/>
        </w:rPr>
        <w:t>9.1 CONCLUSION</w:t>
      </w:r>
    </w:p>
    <w:p>
      <w:pPr>
        <w:spacing w:before="0" w:after="50" w:line="307" w:lineRule="auto"/>
        <w:jc w:val="both"/>
      </w:pPr>
      <w:r>
        <w:rPr>
          <w:rFonts w:ascii="Times New Roman" w:hAnsi="Times New Roman"/>
          <w:sz w:val="24"/>
        </w:rPr>
        <w:t>This project successfully designed, implemented, evaluated, and deployed FraudLens AI, a comprehensive explainable artificial intelligence (XAI) financial fraud and risk detection system. The platform successfully resolves the central industry conflict between high-accuracy automated machine learning, deterministic operational risk scoring, regulatory explainability compliance, and rapid forensic investigation.</w:t>
      </w:r>
    </w:p>
    <w:p>
      <w:pPr>
        <w:spacing w:before="0" w:after="50" w:line="307" w:lineRule="auto"/>
        <w:jc w:val="both"/>
      </w:pPr>
      <w:r>
        <w:rPr>
          <w:rFonts w:ascii="Times New Roman" w:hAnsi="Times New Roman"/>
          <w:sz w:val="24"/>
        </w:rPr>
        <w:t>Key Technical and Academic Accomplishments:</w:t>
        <w:br/>
        <w:t>1. Validated High-Performance Machine Learning Core: Built upon a master dataset of 20,000 synthetic transaction records spanning 57 attributes and 30 commercial merchants, the champion XGBoost classifier achieved a ROC-AUC of 1.000, PR-AUC of 1.000, and a Test Recall of 100.0%, capturing every single fraudulent transaction without false negatives.</w:t>
        <w:br/>
        <w:t>2. Formal Separation of Fraud Probability and Risk Score: By establishing an objective multi-factor scoring engine (0-100 pts) evaluating five orthogonal dimensions (ML probability, customer spending baseline deviations, velocity bursts, beneficiary history, and novelty signals), the platform eliminated the dangerous industry assumption that probability equals operational risk.</w:t>
        <w:br/>
        <w:t>3. Sub-5ms Real-Time Explainability: By optimizing TreeSHAP for pre-authorization execution, FraudLens AI achieved exact local Shapley feature attribution in 1.1ms, enabling real-time waterfall visualization and evidence-grounded natural language explanations that satisfy GDPR Article 22 Right to Explanation and RBI digital security mandates.</w:t>
        <w:br/>
        <w:t>4. Autonomous Pre-Authorization Gatekeeper &amp; SMS OTP Workflow: Implemented an autonomous three-tier gatekeeper (ALLOW, REVIEW, BLOCK) coupled with an interactive smartphone SMS OTP modal, ensuring that genuine customers enjoy frictionless clearance while questionable high-risk events require cryptographic self-authorization before funds are deducted.</w:t>
        <w:br/>
        <w:t>5. Autonomous GenAI Forensic Copilot: Integrated Google Gemini 1.5 Pro and xAI Grok-2 to automate forensic investigation workflows, generating complete case dossiers, 4-stage kill-chain threat topologies, copyable Mermaid graphs, regulatory SAR drafts, and natural voice briefings, reducing average SOC triage latency from 35 minutes to under 3 minutes.</w:t>
        <w:br/>
        <w:t>6. Multi-Tenant Security &amp; Immutable Auditing: Enforced strict zero-data-leakage Role-Based Access Control (RBAC) and SHA-256 hashed cryptographic audit logging across all 20 relational database entities.</w:t>
      </w:r>
    </w:p>
    <w:p>
      <w:pPr>
        <w:keepNext/>
        <w:spacing w:before="280" w:after="100" w:line="307" w:lineRule="auto"/>
        <w:jc w:val="left"/>
      </w:pPr>
      <w:r>
        <w:rPr>
          <w:rFonts w:ascii="Times New Roman" w:hAnsi="Times New Roman"/>
          <w:b/>
          <w:sz w:val="27"/>
        </w:rPr>
        <w:t>9.2 FUTURE ENHANCEMENT</w:t>
      </w:r>
    </w:p>
    <w:p>
      <w:pPr>
        <w:spacing w:before="0" w:after="50" w:line="307" w:lineRule="auto"/>
        <w:jc w:val="both"/>
      </w:pPr>
      <w:r>
        <w:rPr>
          <w:rFonts w:ascii="Times New Roman" w:hAnsi="Times New Roman"/>
          <w:sz w:val="24"/>
        </w:rPr>
        <w:t>While FraudLens AI represents a mature, enterprise-ready fraud intelligence architecture, several promising avenues for future research and technical enhancement are identified:</w:t>
      </w:r>
    </w:p>
    <w:p>
      <w:pPr>
        <w:spacing w:before="0" w:after="50" w:line="307" w:lineRule="auto"/>
        <w:jc w:val="both"/>
      </w:pPr>
      <w:r>
        <w:rPr>
          <w:rFonts w:ascii="Times New Roman" w:hAnsi="Times New Roman"/>
          <w:sz w:val="24"/>
        </w:rPr>
        <w:t>1. Real-Time Dynamic Graph Neural Networks (GNNs):</w:t>
        <w:br/>
        <w:t xml:space="preserve">   Future iterations can integrate dynamic Graph Neural Networks (such as Graph Attention Networks or Temporal Graph Convolutional Networks) directly into the pre-authorization pipeline. By representing customers, merchants, devices, IP subnets, and beneficiary accounts as heterogeneous graph nodes, GNNs can detect distributed syndicate money-mule rings and cyclic structuring rings across millions of hops in sub-10ms clearance windows.</w:t>
      </w:r>
    </w:p>
    <w:p>
      <w:pPr>
        <w:spacing w:before="0" w:after="50" w:line="307" w:lineRule="auto"/>
        <w:jc w:val="both"/>
      </w:pPr>
      <w:r>
        <w:rPr>
          <w:rFonts w:ascii="Times New Roman" w:hAnsi="Times New Roman"/>
          <w:sz w:val="24"/>
        </w:rPr>
        <w:t>2. Privacy-Preserving Federated Learning Across Banking Consortia:</w:t>
        <w:br/>
        <w:t xml:space="preserve">   To overcome proprietary data-sharing restrictions between competitive banking institutions, a federated learning architecture can be deployed. Utilizing secure multi-party computation (SMPC) and differential privacy, multiple banks can collaboratively train a global champion XGBoost and deep tabular model on emerging cross-bank fraud typologies without ever centralizing or exposing sensitive cardholder personal identifiable information (PII).</w:t>
      </w:r>
    </w:p>
    <w:p>
      <w:pPr>
        <w:spacing w:before="0" w:after="50" w:line="307" w:lineRule="auto"/>
        <w:jc w:val="both"/>
      </w:pPr>
      <w:r>
        <w:rPr>
          <w:rFonts w:ascii="Times New Roman" w:hAnsi="Times New Roman"/>
          <w:sz w:val="24"/>
        </w:rPr>
        <w:t>3. FIDO2 / WebAuthn Biometric Passkey Step-Up Verification:</w:t>
        <w:br/>
        <w:t xml:space="preserve">   While SMS OTP provides an accessible step-up verification mechanism, SMS is vulnerable to telecommunication SIM-swapping exploits. Future enhancements will integrate hardware-bound FIDO2 WebAuthn cryptographic passkeys (such as Apple Touch ID, Face ID, or Windows Hello), allowing cardholders to cryptographically sign high-risk payment challenges directly through secure hardware enclaves.</w:t>
      </w:r>
    </w:p>
    <w:p>
      <w:pPr>
        <w:spacing w:before="0" w:after="50" w:line="307" w:lineRule="auto"/>
        <w:jc w:val="both"/>
      </w:pPr>
      <w:r>
        <w:rPr>
          <w:rFonts w:ascii="Times New Roman" w:hAnsi="Times New Roman"/>
          <w:sz w:val="24"/>
        </w:rPr>
        <w:t>4. Continuous Automated Concept Drift Adaptation:</w:t>
        <w:br/>
        <w:t xml:space="preserve">   Integrating automated online drift monitoring using Kolmogorov-Smirnov statistical tests and population stability index (PSI) tracking will allow the system to detect non-stationary spending shifts in real time, triggering automated model re-training and champion-challenger shadow tournaments without service downtime.</w:t>
      </w:r>
    </w:p>
    <w:p>
      <w:r>
        <w:br w:type="page"/>
      </w:r>
    </w:p>
    <w:p>
      <w:pPr>
        <w:spacing w:before="400" w:after="280" w:line="307" w:lineRule="auto"/>
        <w:jc w:val="center"/>
      </w:pPr>
      <w:r>
        <w:rPr>
          <w:rFonts w:ascii="Times New Roman" w:hAnsi="Times New Roman"/>
          <w:b/>
          <w:sz w:val="32"/>
        </w:rPr>
        <w:t>APPENDIX</w:t>
      </w:r>
    </w:p>
    <w:p>
      <w:pPr>
        <w:keepNext/>
        <w:spacing w:before="280" w:after="100" w:line="307" w:lineRule="auto"/>
        <w:jc w:val="left"/>
      </w:pPr>
      <w:r>
        <w:rPr>
          <w:rFonts w:ascii="Times New Roman" w:hAnsi="Times New Roman"/>
          <w:b/>
          <w:sz w:val="27"/>
        </w:rPr>
        <w:t>A.1 SELECTED CORE SOURCE CODE EXCERPTS</w:t>
      </w:r>
    </w:p>
    <w:p>
      <w:pPr>
        <w:spacing w:before="0" w:after="50" w:line="307" w:lineRule="auto"/>
        <w:jc w:val="both"/>
      </w:pPr>
      <w:r>
        <w:rPr>
          <w:rFonts w:ascii="Times New Roman" w:hAnsi="Times New Roman"/>
          <w:sz w:val="24"/>
        </w:rPr>
        <w:t>The following concise, commented code excerpts highlight the architectural implementation of the core components in FraudLens AI:</w:t>
      </w:r>
    </w:p>
    <w:p>
      <w:pPr>
        <w:keepNext/>
        <w:spacing w:before="200" w:after="60" w:line="307" w:lineRule="auto"/>
        <w:jc w:val="left"/>
      </w:pPr>
      <w:r>
        <w:rPr>
          <w:rFonts w:ascii="Times New Roman" w:hAnsi="Times New Roman"/>
          <w:b/>
          <w:sz w:val="24"/>
        </w:rPr>
        <w:t>1. Preprocessing &amp; Feature Engineering Pipeline (ml/preprocessing/pipeline.py)</w:t>
      </w:r>
    </w:p>
    <w:p>
      <w:pPr>
        <w:spacing w:before="40" w:after="120" w:line="307" w:lineRule="auto"/>
        <w:jc w:val="left"/>
        <w:shd w:fill="F8FAFC"/>
      </w:pPr>
      <w:r>
        <w:rPr>
          <w:rFonts w:ascii="Courier New" w:hAnsi="Courier New"/>
          <w:sz w:val="17"/>
        </w:rPr>
        <w:t>class FullFraudPreprocessor(BaseEstimator, TransformerMixin):</w:t>
        <w:br/>
        <w:t xml:space="preserve">    def __init__(self):</w:t>
        <w:br/>
        <w:t xml:space="preserve">        self.feature_engineer = FraudFeatureEngineer()</w:t>
        <w:br/>
        <w:t xml:space="preserve">        self.column_transformer = None</w:t>
        <w:br/>
        <w:br/>
        <w:t xml:space="preserve">    def fit(self, X, y=None):</w:t>
        <w:br/>
        <w:t xml:space="preserve">        df_eng = self.feature_engineer.fit_transform(X)</w:t>
        <w:br/>
        <w:t xml:space="preserve">        num_cols, cat_cols = self._infer_feature_types(df_eng)</w:t>
        <w:br/>
        <w:t xml:space="preserve">        </w:t>
        <w:br/>
        <w:t xml:space="preserve">        num_pipeline = Pipeline([</w:t>
        <w:br/>
        <w:t xml:space="preserve">            ("imputer", SimpleImputer(strategy="median")),</w:t>
        <w:br/>
        <w:t xml:space="preserve">            ("scaler", StandardScaler()),</w:t>
        <w:br/>
        <w:t xml:space="preserve">        ])</w:t>
        <w:br/>
        <w:t xml:space="preserve">        cat_pipeline = Pipeline([</w:t>
        <w:br/>
        <w:t xml:space="preserve">            ("imputer", SimpleImputer(strategy="constant", fill_value="unknown")),</w:t>
        <w:br/>
        <w:t xml:space="preserve">            ("encoder", OneHotEncoder(handle_unknown="ignore", sparse_output=False)),</w:t>
        <w:br/>
        <w:t xml:space="preserve">        ])</w:t>
        <w:br/>
        <w:t xml:space="preserve">        self.column_transformer = ColumnTransformer([</w:t>
        <w:br/>
        <w:t xml:space="preserve">            ("num", num_pipeline, num_cols),</w:t>
        <w:br/>
        <w:t xml:space="preserve">            ("cat", cat_pipeline, cat_cols),</w:t>
        <w:br/>
        <w:t xml:space="preserve">        ])</w:t>
        <w:br/>
        <w:t xml:space="preserve">        self.column_transformer.fit(df_eng)</w:t>
        <w:br/>
        <w:t xml:space="preserve">        return self</w:t>
        <w:br/>
        <w:br/>
        <w:t xml:space="preserve">    def transform(self, X):</w:t>
        <w:br/>
        <w:t xml:space="preserve">        df_eng = self.feature_engineer.transform(X)</w:t>
        <w:br/>
        <w:t xml:space="preserve">        return self.column_transformer.transform(df_eng)</w:t>
      </w:r>
    </w:p>
    <w:p>
      <w:pPr>
        <w:keepNext/>
        <w:spacing w:before="200" w:after="60" w:line="307" w:lineRule="auto"/>
        <w:jc w:val="left"/>
      </w:pPr>
      <w:r>
        <w:rPr>
          <w:rFonts w:ascii="Times New Roman" w:hAnsi="Times New Roman"/>
          <w:b/>
          <w:sz w:val="24"/>
        </w:rPr>
        <w:t>2. Imbalance-Aware Model Training Engine (ml/training/trainer.py)</w:t>
      </w:r>
    </w:p>
    <w:p>
      <w:pPr>
        <w:spacing w:before="40" w:after="120" w:line="307" w:lineRule="auto"/>
        <w:jc w:val="left"/>
        <w:shd w:fill="F8FAFC"/>
      </w:pPr>
      <w:r>
        <w:rPr>
          <w:rFonts w:ascii="Courier New" w:hAnsi="Courier New"/>
          <w:sz w:val="17"/>
        </w:rPr>
        <w:t>def train_all_models(self, X_train: np.ndarray, y_train: np.ndarray):</w:t>
        <w:br/>
        <w:t xml:space="preserve">    n_neg = int(np.sum(y_train == 0))</w:t>
        <w:br/>
        <w:t xml:space="preserve">    n_pos = int(np.sum(y_train == 1))</w:t>
        <w:br/>
        <w:t xml:space="preserve">    scale_pos_weight = float(n_neg / max(1, n_pos))</w:t>
        <w:br/>
        <w:br/>
        <w:t xml:space="preserve">    # Tuned Regularized XGBoost with Imbalance Compensation</w:t>
        <w:br/>
        <w:t xml:space="preserve">    xgb = XGBClassifier(</w:t>
        <w:br/>
        <w:t xml:space="preserve">        n_estimators=250, max_depth=5, learning_rate=0.035,</w:t>
        <w:br/>
        <w:t xml:space="preserve">        subsample=0.85, colsample_bytree=0.85, reg_alpha=0.1, reg_lambda=1.0,</w:t>
        <w:br/>
        <w:t xml:space="preserve">        scale_pos_weight=scale_pos_weight, eval_metric="logloss", random_state=42</w:t>
        <w:br/>
        <w:t xml:space="preserve">    )</w:t>
        <w:br/>
        <w:t xml:space="preserve">    xgb.fit(X_train, y_train)</w:t>
        <w:br/>
        <w:t xml:space="preserve">    self.models["xgboost"] = xgb</w:t>
        <w:br/>
        <w:t xml:space="preserve">    return self.models</w:t>
      </w:r>
    </w:p>
    <w:p>
      <w:pPr>
        <w:keepNext/>
        <w:spacing w:before="200" w:after="60" w:line="307" w:lineRule="auto"/>
        <w:jc w:val="left"/>
      </w:pPr>
      <w:r>
        <w:rPr>
          <w:rFonts w:ascii="Times New Roman" w:hAnsi="Times New Roman"/>
          <w:b/>
          <w:sz w:val="24"/>
        </w:rPr>
        <w:t>3. Deterministic Multi-Factor Risk Scoring Engine (backend/app/services/risk_scoring_service.py)</w:t>
      </w:r>
    </w:p>
    <w:p>
      <w:pPr>
        <w:spacing w:before="40" w:after="120" w:line="307" w:lineRule="auto"/>
        <w:jc w:val="left"/>
        <w:shd w:fill="F8FAFC"/>
      </w:pPr>
      <w:r>
        <w:rPr>
          <w:rFonts w:ascii="Courier New" w:hAnsi="Courier New"/>
          <w:sz w:val="17"/>
        </w:rPr>
        <w:t>def compute_risk_score(self, fraud_probability: float, transaction_data: dict) -&gt; RiskScoreResult:</w:t>
        <w:br/>
        <w:t xml:space="preserve">    factors = []</w:t>
        <w:br/>
        <w:t xml:space="preserve">    total_score = 0.0</w:t>
        <w:br/>
        <w:t xml:space="preserve">    p = max(0.0, min(1.0, float(fraud_probability)))</w:t>
        <w:br/>
        <w:t xml:space="preserve">    </w:t>
        <w:br/>
        <w:t xml:space="preserve">    # 1. Model Baseline Probability Signal (Max 60 pts)</w:t>
        <w:br/>
        <w:t xml:space="preserve">    if p &gt;= 0.70:</w:t>
        <w:br/>
        <w:t xml:space="preserve">        model_pts = min(60.0, 45.0 + (p - 0.70) * 50.0)</w:t>
        <w:br/>
        <w:t xml:space="preserve">    elif p &gt;= 0.35:</w:t>
        <w:br/>
        <w:t xml:space="preserve">        model_pts = 25.0 + (p - 0.35) * (20.0 / 0.35)</w:t>
        <w:br/>
        <w:t xml:space="preserve">    else:</w:t>
        <w:br/>
        <w:t xml:space="preserve">        model_pts = p * 80.0</w:t>
        <w:br/>
        <w:t xml:space="preserve">    total_score += model_pts</w:t>
        <w:br/>
        <w:br/>
        <w:t xml:space="preserve">    # 2. Amount Abnormality Signal vs 30-Day Customer Baseline (Max 25 pts)</w:t>
        <w:br/>
        <w:t xml:space="preserve">    amount_ratio = amount / (avg_amount_30d + 1e-5)</w:t>
        <w:br/>
        <w:t xml:space="preserve">    if amount_ratio &gt;= 8.0:</w:t>
        <w:br/>
        <w:t xml:space="preserve">        total_score += 18.0</w:t>
        <w:br/>
        <w:t xml:space="preserve">    elif 0.5 &lt;= amount_ratio &lt;= 1.4:</w:t>
        <w:br/>
        <w:t xml:space="preserve">        total_score -= 4.0 # Consistent spending rebate</w:t>
        <w:br/>
        <w:br/>
        <w:t xml:space="preserve">    # 3. Velocity Bursts (Max 20 pts) &amp; 4. Environmental Novelty (Max 25 pts)</w:t>
        <w:br/>
        <w:t xml:space="preserve">    if vel_1h &gt;= 5.0: total_score += 20.0</w:t>
        <w:br/>
        <w:t xml:space="preserve">    if is_new_device: total_score += 8.0</w:t>
        <w:br/>
        <w:t xml:space="preserve">    if is_unusual_loc: total_score += 8.0</w:t>
        <w:br/>
        <w:t xml:space="preserve">    </w:t>
        <w:br/>
        <w:t xml:space="preserve">    final_score = int(round(min(100.0, max(0.0, total_score))))</w:t>
        <w:br/>
        <w:t xml:space="preserve">    if p &gt;= 0.70 and final_score &lt; 75: final_score = max(final_score, int(75.0 + p * 20.0))</w:t>
        <w:br/>
        <w:t xml:space="preserve">    risk_level = self.classify_risk_level(final_score)</w:t>
        <w:br/>
        <w:t xml:space="preserve">    return RiskScoreResult(risk_score=final_score, risk_level=risk_level, risk_factors=factors)</w:t>
      </w:r>
    </w:p>
    <w:p>
      <w:pPr>
        <w:keepNext/>
        <w:spacing w:before="280" w:after="100" w:line="307" w:lineRule="auto"/>
        <w:jc w:val="left"/>
      </w:pPr>
      <w:r>
        <w:rPr>
          <w:rFonts w:ascii="Times New Roman" w:hAnsi="Times New Roman"/>
          <w:b/>
          <w:sz w:val="27"/>
        </w:rPr>
        <w:t>A.2 APPLICATION INTERFACE ECOSYSTEM</w:t>
      </w:r>
    </w:p>
    <w:p>
      <w:pPr>
        <w:keepNext/>
        <w:spacing w:before="160" w:after="40"/>
        <w:jc w:val="center"/>
      </w:pPr>
      <w:r>
        <w:drawing>
          <wp:inline xmlns:a="http://schemas.openxmlformats.org/drawingml/2006/main" xmlns:pic="http://schemas.openxmlformats.org/drawingml/2006/picture">
            <wp:extent cx="4297680" cy="2702261"/>
            <wp:docPr id="17" name="Picture 17"/>
            <wp:cNvGraphicFramePr>
              <a:graphicFrameLocks noChangeAspect="1"/>
            </wp:cNvGraphicFramePr>
            <a:graphic>
              <a:graphicData uri="http://schemas.openxmlformats.org/drawingml/2006/picture">
                <pic:pic>
                  <pic:nvPicPr>
                    <pic:cNvPr id="0" name="fig_app_screenshots.png"/>
                    <pic:cNvPicPr/>
                  </pic:nvPicPr>
                  <pic:blipFill>
                    <a:blip r:embed="rId28"/>
                    <a:stretch>
                      <a:fillRect/>
                    </a:stretch>
                  </pic:blipFill>
                  <pic:spPr>
                    <a:xfrm>
                      <a:off x="0" y="0"/>
                      <a:ext cx="4297680" cy="2702261"/>
                    </a:xfrm>
                    <a:prstGeom prst="rect"/>
                  </pic:spPr>
                </pic:pic>
              </a:graphicData>
            </a:graphic>
          </wp:inline>
        </w:drawing>
      </w:r>
    </w:p>
    <w:p>
      <w:pPr>
        <w:keepNext/>
        <w:spacing w:before="40" w:after="200"/>
        <w:jc w:val="center"/>
      </w:pPr>
      <w:r>
        <w:rPr>
          <w:rFonts w:ascii="Times New Roman" w:hAnsi="Times New Roman"/>
          <w:b/>
          <w:sz w:val="20"/>
        </w:rPr>
        <w:t>Figure A.1: FraudLens AI Application Interface Ecosystem (Command Center, Payment Gateway, SMS OTP Modal, AI Dossier)</w:t>
      </w:r>
    </w:p>
    <w:p>
      <w:r>
        <w:br w:type="page"/>
      </w:r>
    </w:p>
    <w:p>
      <w:pPr>
        <w:spacing w:before="320" w:after="280" w:line="307" w:lineRule="auto"/>
        <w:jc w:val="center"/>
      </w:pPr>
      <w:r>
        <w:rPr>
          <w:rFonts w:ascii="Times New Roman" w:hAnsi="Times New Roman"/>
          <w:b/>
          <w:sz w:val="32"/>
        </w:rPr>
        <w:t>REFERENCES</w:t>
      </w:r>
    </w:p>
    <w:p>
      <w:pPr>
        <w:spacing w:before="40" w:after="100" w:line="288" w:lineRule="auto"/>
        <w:ind w:left="432" w:hanging="432"/>
        <w:jc w:val="both"/>
      </w:pPr>
      <w:r>
        <w:rPr>
          <w:rFonts w:ascii="Times New Roman" w:hAnsi="Times New Roman"/>
          <w:sz w:val="20"/>
        </w:rPr>
        <w:t>[1] R. J. Bolton and D. J. Hand, 'Statistical fraud detection: A review,' Statistical Science, vol. 17, no. 3, pp. 235-255, 2002.</w:t>
      </w:r>
    </w:p>
    <w:p>
      <w:pPr>
        <w:spacing w:before="40" w:after="100" w:line="288" w:lineRule="auto"/>
        <w:ind w:left="432" w:hanging="432"/>
        <w:jc w:val="both"/>
      </w:pPr>
      <w:r>
        <w:rPr>
          <w:rFonts w:ascii="Times New Roman" w:hAnsi="Times New Roman"/>
          <w:sz w:val="20"/>
        </w:rPr>
        <w:t>[2] C. Phua, V. Lee, K. Smith, and R. Gayler, 'A comprehensive survey of data mining-based fraud detection research,' arXiv preprint arXiv:1009.6119, 2010.</w:t>
      </w:r>
    </w:p>
    <w:p>
      <w:pPr>
        <w:spacing w:before="40" w:after="100" w:line="288" w:lineRule="auto"/>
        <w:ind w:left="432" w:hanging="432"/>
        <w:jc w:val="both"/>
      </w:pPr>
      <w:r>
        <w:rPr>
          <w:rFonts w:ascii="Times New Roman" w:hAnsi="Times New Roman"/>
          <w:sz w:val="20"/>
        </w:rPr>
        <w:t>[3] A. Dal Pozzolo, O. Caelen, Y. A. Le Borgne, S. Waterschoot, and G. Bontempi, 'Learnings to detect credit card fraud in nonstationary environments,' in Proceedings of the International Conference on Machine Learning (ICML), 2014, pp. 1-8.</w:t>
      </w:r>
    </w:p>
    <w:p>
      <w:pPr>
        <w:spacing w:before="40" w:after="100" w:line="288" w:lineRule="auto"/>
        <w:ind w:left="432" w:hanging="432"/>
        <w:jc w:val="both"/>
      </w:pPr>
      <w:r>
        <w:rPr>
          <w:rFonts w:ascii="Times New Roman" w:hAnsi="Times New Roman"/>
          <w:sz w:val="20"/>
        </w:rPr>
        <w:t>[4] A. Dal Pozzolo, G. Boracchi, O. Caelen, C. Alippi, and G. Bontempi, 'Credit card fraud detection: A realistic modeling and a novel learning strategy,' IEEE Transactions on Neural Networks and Learning Systems, vol. 29, no. 8, pp. 3784-3797, 2018.</w:t>
      </w:r>
    </w:p>
    <w:p>
      <w:pPr>
        <w:spacing w:before="40" w:after="100" w:line="288" w:lineRule="auto"/>
        <w:ind w:left="432" w:hanging="432"/>
        <w:jc w:val="both"/>
      </w:pPr>
      <w:r>
        <w:rPr>
          <w:rFonts w:ascii="Times New Roman" w:hAnsi="Times New Roman"/>
          <w:sz w:val="20"/>
        </w:rPr>
        <w:t>[5] T. Chen and C. Guestrin, 'XGBoost: A scalable tree boosting system,' in Proceedings of the 22nd ACM SIGKDD International Conference on Knowledge Discovery and Data Mining, 2016, pp. 785-794.</w:t>
      </w:r>
    </w:p>
    <w:p>
      <w:pPr>
        <w:spacing w:before="40" w:after="100" w:line="288" w:lineRule="auto"/>
        <w:ind w:left="432" w:hanging="432"/>
        <w:jc w:val="both"/>
      </w:pPr>
      <w:r>
        <w:rPr>
          <w:rFonts w:ascii="Times New Roman" w:hAnsi="Times New Roman"/>
          <w:sz w:val="20"/>
        </w:rPr>
        <w:t>[6] L. Breiman, 'Random forests,' Machine Learning, vol. 45, no. 1, pp. 5-32, 2001.</w:t>
      </w:r>
    </w:p>
    <w:p>
      <w:pPr>
        <w:spacing w:before="40" w:after="100" w:line="288" w:lineRule="auto"/>
        <w:ind w:left="432" w:hanging="432"/>
        <w:jc w:val="both"/>
      </w:pPr>
      <w:r>
        <w:rPr>
          <w:rFonts w:ascii="Times New Roman" w:hAnsi="Times New Roman"/>
          <w:sz w:val="20"/>
        </w:rPr>
        <w:t>[7] S. M. Lundberg and S.-I. Lee, 'A unified approach to interpreting model predictions,' Advances in Neural Information Processing Systems (NeurIPS), vol. 30, pp. 4765-4774, 2017.</w:t>
      </w:r>
    </w:p>
    <w:p>
      <w:pPr>
        <w:spacing w:before="40" w:after="100" w:line="288" w:lineRule="auto"/>
        <w:ind w:left="432" w:hanging="432"/>
        <w:jc w:val="both"/>
      </w:pPr>
      <w:r>
        <w:rPr>
          <w:rFonts w:ascii="Times New Roman" w:hAnsi="Times New Roman"/>
          <w:sz w:val="20"/>
        </w:rPr>
        <w:t>[8] S. M. Lundberg et al., 'From local explanations to global understanding with explainable AI for trees,' Nature Machine Intelligence, vol. 2, no. 1, pp. 56-67, 2020.</w:t>
      </w:r>
    </w:p>
    <w:p>
      <w:pPr>
        <w:spacing w:before="40" w:after="100" w:line="288" w:lineRule="auto"/>
        <w:ind w:left="432" w:hanging="432"/>
        <w:jc w:val="both"/>
      </w:pPr>
      <w:r>
        <w:rPr>
          <w:rFonts w:ascii="Times New Roman" w:hAnsi="Times New Roman"/>
          <w:sz w:val="20"/>
        </w:rPr>
        <w:t>[9] R. Caruana et al., 'Intelligible models for healthcare: Predicting pneumonia risk and 30-day readmission,' in Proceedings of the 21th ACM SIGKDD International Conference on Knowledge Discovery and Data Mining, 2015, pp. 1721-1730.</w:t>
      </w:r>
    </w:p>
    <w:p>
      <w:pPr>
        <w:spacing w:before="40" w:after="100" w:line="288" w:lineRule="auto"/>
        <w:ind w:left="432" w:hanging="432"/>
        <w:jc w:val="both"/>
      </w:pPr>
      <w:r>
        <w:rPr>
          <w:rFonts w:ascii="Times New Roman" w:hAnsi="Times New Roman"/>
          <w:sz w:val="20"/>
        </w:rPr>
        <w:t>[10] V. Van Vlasselaer, C. Bravo, O. Caelen, T. Eliassi-Rad, L. Akoglu, M. Snoeck, and B. Baesens, 'APATE: A novel approach for automated credit card fraud detection using network-based extensions,' Decision Support Systems, vol. 75, pp. 38-48, 2015.</w:t>
      </w:r>
    </w:p>
    <w:p>
      <w:pPr>
        <w:spacing w:before="40" w:after="100" w:line="288" w:lineRule="auto"/>
        <w:ind w:left="432" w:hanging="432"/>
        <w:jc w:val="both"/>
      </w:pPr>
      <w:r>
        <w:rPr>
          <w:rFonts w:ascii="Times New Roman" w:hAnsi="Times New Roman"/>
          <w:sz w:val="20"/>
        </w:rPr>
        <w:t>[11] Reserve Bank of India (RBI), 'Master Direction on Digital Payment Security Controls,' RBI/2020-21/74, Department of Payment and Settlement Systems, Mumbai, India, Feb. 2021.</w:t>
      </w:r>
    </w:p>
    <w:p>
      <w:pPr>
        <w:spacing w:before="40" w:after="100" w:line="288" w:lineRule="auto"/>
        <w:ind w:left="432" w:hanging="432"/>
        <w:jc w:val="both"/>
      </w:pPr>
      <w:r>
        <w:rPr>
          <w:rFonts w:ascii="Times New Roman" w:hAnsi="Times New Roman"/>
          <w:sz w:val="20"/>
        </w:rPr>
        <w:t>[12] European Parliament and Council of the European Union, 'General Data Protection Regulation (GDPR) Article 22: Automated individual decision-making, including profiling,' Official Journal of the European Union, L119, pp. 1-88, 2016.</w:t>
      </w:r>
    </w:p>
    <w:p>
      <w:pPr>
        <w:spacing w:before="40" w:after="100" w:line="288" w:lineRule="auto"/>
        <w:ind w:left="432" w:hanging="432"/>
        <w:jc w:val="both"/>
      </w:pPr>
      <w:r>
        <w:rPr>
          <w:rFonts w:ascii="Times New Roman" w:hAnsi="Times New Roman"/>
          <w:sz w:val="20"/>
        </w:rPr>
        <w:t>[13] F. Pedregosa et al., 'Scikit-learn: Machine learning in Python,' Journal of Machine Learning Research, vol. 12, pp. 2825-2830, 2011.</w:t>
      </w:r>
    </w:p>
    <w:p>
      <w:pPr>
        <w:spacing w:before="40" w:after="100" w:line="288" w:lineRule="auto"/>
        <w:ind w:left="432" w:hanging="432"/>
        <w:jc w:val="both"/>
      </w:pPr>
      <w:r>
        <w:rPr>
          <w:rFonts w:ascii="Times New Roman" w:hAnsi="Times New Roman"/>
          <w:sz w:val="20"/>
        </w:rPr>
        <w:t>[14] S. Ramírez-Gallego et al., 'Data preparation for machine learning in fraud detection: A survey,' Knowledge and Information Systems, vol. 50, no. 3, pp. 693-725, 2017.</w:t>
      </w:r>
    </w:p>
    <w:p>
      <w:pPr>
        <w:spacing w:before="40" w:after="100" w:line="288" w:lineRule="auto"/>
        <w:ind w:left="432" w:hanging="432"/>
        <w:jc w:val="both"/>
      </w:pPr>
      <w:r>
        <w:rPr>
          <w:rFonts w:ascii="Times New Roman" w:hAnsi="Times New Roman"/>
          <w:sz w:val="20"/>
        </w:rPr>
        <w:t>[15] F. T. Liu, K. M. Ting, and Z.-H. Zhou, 'Isolation Forest,' in Eighth IEEE International Conference on Data Mining, 2008, pp. 413-422.</w:t>
      </w:r>
    </w:p>
    <w:p>
      <w:pPr>
        <w:spacing w:before="40" w:after="100" w:line="288" w:lineRule="auto"/>
        <w:ind w:left="432" w:hanging="432"/>
        <w:jc w:val="both"/>
      </w:pPr>
      <w:r>
        <w:rPr>
          <w:rFonts w:ascii="Times New Roman" w:hAnsi="Times New Roman"/>
          <w:sz w:val="20"/>
        </w:rPr>
        <w:t>[16] N. V. Chawla, K. W. Bowyer, L. O. Hall, and W. P. Kegelmeyer, 'SMOTE: Synthetic minority over-sampling technique,' Journal of Artificial Intelligence Research, vol. 16, pp. 321-357, 2002.</w:t>
      </w:r>
    </w:p>
    <w:p>
      <w:pPr>
        <w:spacing w:before="40" w:after="100" w:line="288" w:lineRule="auto"/>
        <w:ind w:left="432" w:hanging="432"/>
        <w:jc w:val="both"/>
      </w:pPr>
      <w:r>
        <w:rPr>
          <w:rFonts w:ascii="Times New Roman" w:hAnsi="Times New Roman"/>
          <w:sz w:val="20"/>
        </w:rPr>
        <w:t>[17] H. He and E. A. Garcia, 'Learning from imbalanced data,' IEEE Transactions on Knowledge and Data Engineering, vol. 21, no. 9, pp. 1263-1284, 2009.</w:t>
      </w:r>
    </w:p>
    <w:p>
      <w:pPr>
        <w:spacing w:before="40" w:after="100" w:line="288" w:lineRule="auto"/>
        <w:ind w:left="432" w:hanging="432"/>
        <w:jc w:val="both"/>
      </w:pPr>
      <w:r>
        <w:rPr>
          <w:rFonts w:ascii="Times New Roman" w:hAnsi="Times New Roman"/>
          <w:sz w:val="20"/>
        </w:rPr>
        <w:t>[18] L. S. Shapley, 'A value for n-person games,' Contributions to the Theory of Games, vol. 2, no. 28, pp. 307-317, 1953.</w:t>
      </w:r>
    </w:p>
    <w:p>
      <w:pPr>
        <w:spacing w:before="40" w:after="100" w:line="288" w:lineRule="auto"/>
        <w:ind w:left="432" w:hanging="432"/>
        <w:jc w:val="both"/>
      </w:pPr>
      <w:r>
        <w:rPr>
          <w:rFonts w:ascii="Times New Roman" w:hAnsi="Times New Roman"/>
          <w:sz w:val="20"/>
        </w:rPr>
        <w:t>[19] M. T. Ribeiro, S. Singh, and C. Guestrin, '"Why should I trust you?": Explaining the predictions of any classifier,' in Proceedings of the 22nd ACM SIGKDD International Conference on Knowledge Discovery and Data Mining, 2016, pp. 1135-1144.</w:t>
      </w:r>
    </w:p>
    <w:p>
      <w:pPr>
        <w:spacing w:before="40" w:after="100" w:line="288" w:lineRule="auto"/>
        <w:ind w:left="432" w:hanging="432"/>
        <w:jc w:val="both"/>
      </w:pPr>
      <w:r>
        <w:rPr>
          <w:rFonts w:ascii="Times New Roman" w:hAnsi="Times New Roman"/>
          <w:sz w:val="20"/>
        </w:rPr>
        <w:t>[20] A. Goldstein, A. Kapelner, J. Bleich, and E. Pitkin, 'Peeking inside the black box: Visualizing statistical learning with plots of individual conditional expectation,' Journal of Computational and Graphical Statistics, vol. 24, no. 1, pp. 44-65, 2015.</w:t>
      </w:r>
    </w:p>
    <w:p>
      <w:pPr>
        <w:spacing w:before="40" w:after="100" w:line="288" w:lineRule="auto"/>
        <w:ind w:left="432" w:hanging="432"/>
        <w:jc w:val="both"/>
      </w:pPr>
      <w:r>
        <w:rPr>
          <w:rFonts w:ascii="Times New Roman" w:hAnsi="Times New Roman"/>
          <w:sz w:val="20"/>
        </w:rPr>
        <w:t>[21] S. Wachter, B. Mittelstadt, and C. Russell, 'Counterfactual explanations without opening the black box: Automated decisions and the GDPR,' Harvard Journal of Law &amp; Technology, vol. 31, no. 2, pp. 841-887, 2018.</w:t>
      </w:r>
    </w:p>
    <w:p>
      <w:pPr>
        <w:spacing w:before="40" w:after="100" w:line="288" w:lineRule="auto"/>
        <w:ind w:left="432" w:hanging="432"/>
        <w:jc w:val="both"/>
      </w:pPr>
      <w:r>
        <w:rPr>
          <w:rFonts w:ascii="Times New Roman" w:hAnsi="Times New Roman"/>
          <w:sz w:val="20"/>
        </w:rPr>
        <w:t>[22] S. Xuan, G. Liu, Z. Li, L. Zheng, S. Wang, and C. Jiang, 'Random forest for credit card fraud detection,' in IEEE 15th International Conference on e-Business Engineering (ICEBE), 2018, pp. 272-277.</w:t>
      </w:r>
    </w:p>
    <w:p>
      <w:pPr>
        <w:spacing w:before="40" w:after="100" w:line="288" w:lineRule="auto"/>
        <w:ind w:left="432" w:hanging="432"/>
        <w:jc w:val="both"/>
      </w:pPr>
      <w:r>
        <w:rPr>
          <w:rFonts w:ascii="Times New Roman" w:hAnsi="Times New Roman"/>
          <w:sz w:val="20"/>
        </w:rPr>
        <w:t>[23] J. O. Awoyemi, A. O. Adetunmbi, and S. A. Oluwadare, 'Credit card fraud detection using machine learning techniques: A comparative analysis,' in International Conference on Computing Networking and Informatics (ICCNI), 2017, pp. 1-9.</w:t>
      </w:r>
    </w:p>
    <w:p>
      <w:pPr>
        <w:spacing w:before="40" w:after="100" w:line="288" w:lineRule="auto"/>
        <w:ind w:left="432" w:hanging="432"/>
        <w:jc w:val="both"/>
      </w:pPr>
      <w:r>
        <w:rPr>
          <w:rFonts w:ascii="Times New Roman" w:hAnsi="Times New Roman"/>
          <w:sz w:val="20"/>
        </w:rPr>
        <w:t>[24] E. FastAPI, 'FastAPI framework, high performance, easy to learn, fast to code, ready for production,' Online: https://fastapi.tiangolo.com, 2024.</w:t>
      </w:r>
    </w:p>
    <w:p>
      <w:pPr>
        <w:spacing w:before="40" w:after="100" w:line="288" w:lineRule="auto"/>
        <w:ind w:left="432" w:hanging="432"/>
        <w:jc w:val="both"/>
      </w:pPr>
      <w:r>
        <w:rPr>
          <w:rFonts w:ascii="Times New Roman" w:hAnsi="Times New Roman"/>
          <w:sz w:val="20"/>
        </w:rPr>
        <w:t>[25] React Core Team, 'React: A JavaScript library for building user interfaces,' Meta Platforms, Inc., Online: https://react.dev, 2024.</w:t>
      </w:r>
    </w:p>
    <w:sectPr w:rsidR="00FC693F" w:rsidRPr="0006063C" w:rsidSect="00034616">
      <w:headerReference w:type="default" r:id="rId10"/>
      <w:footerReference w:type="default" r:id="rId11"/>
      <w:pgSz w:w="11909" w:h="16834"/>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FraudLens AI: Explainable AI-Based Financial Fraud &amp; Risk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