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sz w:val="38"/>
        </w:rPr>
        <w:t>FraudLens AI: Explainable AI-Based Financial Fraud and Risk Detection System</w:t>
      </w:r>
    </w:p>
    <w:tbl>
      <w:tblPr>
        <w:tblW w:type="auto" w:w="0"/>
        <w:jc w:val="center"/>
        <w:tblLayout w:type="fixed"/>
        <w:tblLook w:firstColumn="1" w:firstRow="1" w:lastColumn="0" w:lastRow="0" w:noHBand="0" w:noVBand="1" w:val="04A0"/>
      </w:tblPr>
      <w:tblGrid>
        <w:gridCol w:w="5162"/>
        <w:gridCol w:w="5162"/>
      </w:tblGrid>
      <w:tr>
        <w:tc>
          <w:tcPr>
            <w:tcW w:type="dxa" w:w="4896"/>
          </w:tcPr>
          <w:p>
            <w:pPr>
              <w:spacing w:after="40" w:line="276" w:lineRule="auto"/>
              <w:jc w:val="center"/>
            </w:pPr>
            <w:r>
              <w:rPr>
                <w:b/>
                <w:sz w:val="20"/>
              </w:rPr>
              <w:t>Mohana Priya S</w:t>
              <w:br/>
            </w:r>
            <w:r>
              <w:rPr>
                <w:sz w:val="17"/>
              </w:rPr>
              <w:t>Department of Computer Science and Engineering</w:t>
              <w:br/>
              <w:t>Sona College of Technology (Autonomous)</w:t>
              <w:br/>
              <w:t>(Affiliated to Anna University, Chennai)</w:t>
              <w:br/>
              <w:t>Salem, Tamil Nadu, India</w:t>
              <w:br/>
            </w:r>
            <w:r>
              <w:rPr>
                <w:rFonts w:ascii="Courier New" w:hAnsi="Courier New"/>
                <w:sz w:val="15"/>
              </w:rPr>
              <w:t>mohanapriya.s@sonatech.ac.in</w:t>
            </w:r>
          </w:p>
        </w:tc>
        <w:tc>
          <w:tcPr>
            <w:tcW w:type="dxa" w:w="4896"/>
          </w:tcPr>
          <w:p>
            <w:pPr>
              <w:spacing w:after="40" w:line="276" w:lineRule="auto"/>
              <w:jc w:val="center"/>
            </w:pPr>
            <w:r>
              <w:rPr>
                <w:b/>
                <w:sz w:val="20"/>
              </w:rPr>
              <w:t>Monisha S</w:t>
              <w:br/>
            </w:r>
            <w:r>
              <w:rPr>
                <w:sz w:val="17"/>
              </w:rPr>
              <w:t>Department of Computer Science and Engineering</w:t>
              <w:br/>
              <w:t>Sona College of Technology (Autonomous)</w:t>
              <w:br/>
              <w:t>(Affiliated to Anna University, Chennai)</w:t>
              <w:br/>
              <w:t>Salem, Tamil Nadu, India</w:t>
              <w:br/>
            </w:r>
            <w:r>
              <w:rPr>
                <w:rFonts w:ascii="Courier New" w:hAnsi="Courier New"/>
                <w:sz w:val="15"/>
              </w:rPr>
              <w:t>monisha.s@sonatech.ac.in</w:t>
            </w:r>
          </w:p>
        </w:tc>
      </w:tr>
    </w:tbl>
    <w:p>
      <w:pPr>
        <w:spacing w:before="160" w:after="160"/>
        <w:ind w:left="288" w:right="288"/>
        <w:jc w:val="both"/>
      </w:pPr>
      <w:r>
        <w:rPr>
          <w:b/>
          <w:i/>
          <w:sz w:val="17"/>
        </w:rPr>
        <w:t>Abstract—</w:t>
      </w:r>
      <w:r>
        <w:rPr>
          <w:sz w:val="17"/>
        </w:rPr>
        <w:t>In modern digital payment infrastructures, real-time clearing networks and distributed merchant endpoints process transactions within sub-second latencies. This velocity has empowered automated cyber-adversarial syndicates deploying distributed credential attacks, velocity burst evasion, and synthetic identity fraud. Conventional financial fraud defenses suffer from an acute systemic dilemma: deterministic rule-based heuristics generate excessive false-positive declines that alienate legitimate consumers, while opaque black-box machine learning ensembles obscure the causal mechanisms underlying high-risk predictions, violating regulatory transparency mandates such as Article 22 of the European Union General Data Protection Regulation (GDPR). This paper introduces FraudLens AI, an enterprise-grade, explainable artificial intelligence (XAI) financial fraud detection and risk intelligence platform engineered for sub-5 millisecond pre-authorization decisioning. FraudLens AI implements an 11-stage, data-leakage audited feature pipeline transforming raw payment parameters into a 63-dimensional signal space. A classifier tournament benchmarks regularized Logistic Regression, Random Forests, and Extreme Gradient Boosting (XGBoost) calibrated with cost-sensitive class balancing, alongside a soft-voting stacking ensemble. Evaluated on a 20,000-transaction financial benchmark spanning 30 merchants under a 5.46% fraud prevalence, the champion XGBoost model achieves 1.000 Recall, 0.750 Precision, 1.000 ROC-AUC, and 1.000 PR-AUC, intercepting all fraudulent attempts while maintaining low false-alarm friction. Crucially, FraudLens AI decouples statistical model probabilities from an independent, deterministic 0–100 multi-factor risk score evaluating spending surge z-scores, velocity decay bursts, beneficiary integrity, and environmental hardware novelties. Exact polynomial-time Shapley attributions are computed via TreeSHAP in 1.1 ms, rendering interactive waterfall decompositions and customer-accessible natural language rationales. Operational safety is reinforced by a context-aware conversational security assistant enforcing deterministic action barriers, strict read-only data isolation, and customer-scoped authorization. Rigorous empirical verification across 385 automated test cases validates sub-5ms pre-authorization throughput, zero data leakage, and cryptographic tenant boundary integrity.</w:t>
        <w:br/>
      </w:r>
      <w:r>
        <w:rPr>
          <w:b/>
          <w:i/>
          <w:sz w:val="17"/>
        </w:rPr>
        <w:t>Index Terms—</w:t>
      </w:r>
      <w:r>
        <w:rPr>
          <w:sz w:val="17"/>
        </w:rPr>
        <w:t>Financial fraud detection, explainable artificial intelligence (XAI), TreeSHAP, gradient boosting, risk assessment, context-aware conversational assistant, class imbalance, pre-authorization security, model governance.</w:t>
      </w:r>
    </w:p>
    <w:p>
      <w:pPr>
        <w:sectPr>
          <w:pgSz w:w="11909" w:h="16834"/>
          <w:pgMar w:top="936" w:right="792" w:bottom="936" w:left="792" w:header="720" w:footer="720" w:gutter="0"/>
          <w:cols w:space="720"/>
          <w:docGrid w:linePitch="360"/>
        </w:sectPr>
      </w:pPr>
    </w:p>
    <w:p>
      <w:pPr>
        <w:spacing w:before="160" w:after="60"/>
        <w:jc w:val="center"/>
      </w:pPr>
      <w:r>
        <w:rPr>
          <w:b/>
          <w:sz w:val="19"/>
        </w:rPr>
        <w:t>I. INTRODUCTION</w:t>
      </w:r>
    </w:p>
    <w:p>
      <w:pPr>
        <w:spacing w:line="272" w:lineRule="auto" w:after="70"/>
        <w:ind w:firstLine="259"/>
        <w:jc w:val="both"/>
      </w:pPr>
      <w:r>
        <w:rPr>
          <w:sz w:val="18"/>
        </w:rPr>
        <w:t>The rapid expansion of digital payment ecosystems has transformed global commercial transactions. Real-time settlement rails, card-not-present merchant payment gateways, and instant electronic funds transfer protocols conforming to ISO 20022 have compressed transaction clearing windows to sub-second durations. However, this acceleration has expanded systemic exposure to automated cyber-adversarial campaigns [1], [2]. Organized fraud syndicates deploy credential-stuffing engines, automated distributed botnets, and coordinated account takeover (ATO) attacks capable of executing high-velocity transaction bursts across disparate merchant endpoints [3].</w:t>
      </w:r>
    </w:p>
    <w:p>
      <w:pPr>
        <w:spacing w:line="272" w:lineRule="auto" w:after="70"/>
        <w:ind w:firstLine="259"/>
        <w:jc w:val="both"/>
      </w:pPr>
      <w:r>
        <w:rPr>
          <w:sz w:val="18"/>
        </w:rPr>
        <w:t>Conventional institutional defenses face severe operational trade-offs. Rule-based heuristic filters—relying on rigid boolean thresholds for transaction amount ceilings, velocity counts, and geographic boundaries—suffer from inflexibility [4]. Because fraud techniques continually evolve, static rules cause high false-positive decline rates, alienating legitimate customers and causing shopping cart abandonment [5]. Conversely, relaxing rule parameters allows subtle fraud patterns to proceed undetected, triggering chargeback penalties and interchange fees [2].</w:t>
      </w:r>
    </w:p>
    <w:p>
      <w:pPr>
        <w:spacing w:line="272" w:lineRule="auto" w:after="70"/>
        <w:ind w:firstLine="259"/>
        <w:jc w:val="both"/>
      </w:pPr>
      <w:r>
        <w:rPr>
          <w:sz w:val="18"/>
        </w:rPr>
        <w:t>To resolve these limitations, financial institutions deploy supervised machine learning models, including ensemble architectures such as Random Forests [6], [7] and Extreme Gradient Boosting (XGBoost) [8]. Although gradient-boosted trees capture intricate non-linear interactions across tabular features, their production deployment in banking clearinghouses is impeded by three major challenges: (1) Extreme class imbalance (under 5% fraud) [9], [10], [11], (2) The black-box interpretability deficit [12], [13], and (3) Strict regulatory compliance mandates under GDPR Article 22 [14] and Model Risk Management SR 11-7 [15].</w:t>
      </w:r>
    </w:p>
    <w:p>
      <w:pPr>
        <w:spacing w:before="110" w:after="40"/>
        <w:jc w:val="left"/>
      </w:pPr>
      <w:r>
        <w:rPr>
          <w:b/>
          <w:i/>
          <w:sz w:val="18"/>
        </w:rPr>
        <w:t>A. Formal Problem Formulation</w:t>
      </w:r>
    </w:p>
    <w:p>
      <w:pPr>
        <w:spacing w:line="272" w:lineRule="auto" w:after="70"/>
        <w:ind w:firstLine="259"/>
        <w:jc w:val="both"/>
      </w:pPr>
      <w:r>
        <w:rPr>
          <w:sz w:val="18"/>
        </w:rPr>
        <w:t>Let a transaction stream be denoted as T = {(x_t, y_t)}, where x_t in R^M is a multi-dimensional feature vector captured at timestamp tau_t, and y_t in {0, 1} denotes the true latent state (0 = legitimate, 1 = fraudulent). The class distribution exhibits extreme imbalance P(y_t = 1) = rho &lt;&lt; 0.1. The task requires learning an inference mapping f: X -&gt; [0, 1] estimating fraud probability P_t = f(x_t), alongside an attribution vector phi_t in R^M and an independent risk score R_t in [0, 100], subject to strict latency constraint:</w:t>
      </w:r>
    </w:p>
    <w:p>
      <w:pPr>
        <w:spacing w:before="70" w:after="70"/>
        <w:jc w:val="right"/>
      </w:pPr>
      <w:r>
        <w:rPr>
          <w:i/>
          <w:sz w:val="17"/>
        </w:rPr>
        <w:tab/>
        <w:t>T_latency(f(x_t) + phi_t + R_t) &lt;= 10 ms,  forall t in T</w:t>
        <w:tab/>
      </w:r>
      <w:r>
        <w:rPr>
          <w:b/>
          <w:sz w:val="17"/>
        </w:rPr>
        <w:t>(1)</w:t>
      </w:r>
    </w:p>
    <w:p>
      <w:pPr>
        <w:spacing w:line="272" w:lineRule="auto" w:after="70"/>
        <w:ind w:firstLine="259"/>
        <w:jc w:val="both"/>
      </w:pPr>
      <w:r>
        <w:rPr>
          <w:sz w:val="18"/>
        </w:rPr>
        <w:t>Furthermore, the loss function optimizes an asymmetric cost matrix where False Negative cost C_FN substantially exceeds False Positive cost C_FP: C_FN / C_FP &gt;&gt; 10.</w:t>
      </w:r>
    </w:p>
    <w:p>
      <w:pPr>
        <w:spacing w:before="110" w:after="40"/>
        <w:jc w:val="left"/>
      </w:pPr>
      <w:r>
        <w:rPr>
          <w:b/>
          <w:i/>
          <w:sz w:val="18"/>
        </w:rPr>
        <w:t>B. Technical Contributions</w:t>
      </w:r>
    </w:p>
    <w:p>
      <w:pPr>
        <w:spacing w:line="272" w:lineRule="auto" w:after="70"/>
        <w:ind w:firstLine="259"/>
        <w:jc w:val="both"/>
      </w:pPr>
      <w:r>
        <w:rPr>
          <w:sz w:val="18"/>
        </w:rPr>
        <w:t>To resolve this dilemma, this paper presents FraudLens AI, an enterprise-grade explainable AI financial fraud detection platform. Primary contributions include: (1) An 11-step leakage-audited feature pipeline yielding 63 encoded dimensions, (2) A cost-sensitive classifier tournament benchmarking LogReg, Random Forest, and XGBoost champion (scale_pos_weight = 17.315), (3) Decoupled 0-100 multi-factor risk assessment, (4) Sub-2ms TreeSHAP game-theoretic explainability, and (5) A context-aware conversational security assistant enforcing deterministic action barriers, validated across 385 automated software test cases.</w:t>
      </w:r>
    </w:p>
    <w:p>
      <w:pPr>
        <w:spacing w:before="160" w:after="60"/>
        <w:jc w:val="center"/>
      </w:pPr>
      <w:r>
        <w:rPr>
          <w:b/>
          <w:sz w:val="19"/>
        </w:rPr>
        <w:t>II. RELATED WORK</w:t>
      </w:r>
    </w:p>
    <w:p>
      <w:pPr>
        <w:spacing w:line="272" w:lineRule="auto" w:after="70"/>
        <w:ind w:firstLine="259"/>
        <w:jc w:val="both"/>
      </w:pPr>
      <w:r>
        <w:rPr>
          <w:sz w:val="18"/>
        </w:rPr>
        <w:t>Financial fraud detection literature spans anomaly detection, supervised ensembles, graph networks, explainable AI, and conversational interfaces.</w:t>
      </w:r>
    </w:p>
    <w:p>
      <w:pPr>
        <w:spacing w:before="110" w:after="40"/>
        <w:jc w:val="left"/>
      </w:pPr>
      <w:r>
        <w:rPr>
          <w:b/>
          <w:i/>
          <w:sz w:val="18"/>
        </w:rPr>
        <w:t>A. Unsupervised Anomaly Detection</w:t>
      </w:r>
    </w:p>
    <w:p>
      <w:pPr>
        <w:spacing w:line="272" w:lineRule="auto" w:after="70"/>
        <w:ind w:firstLine="259"/>
        <w:jc w:val="both"/>
      </w:pPr>
      <w:r>
        <w:rPr>
          <w:sz w:val="18"/>
        </w:rPr>
        <w:t>Early systems relied on Isolation Forests [16]. Isolation Forests isolate anomalies by randomly partitioning feature spaces using binary search trees. However, unsupervised methods exhibit high false-positive rates due to volatile legitimate spending patterns (e.g., holiday shopping or travel) that deviate statistically from baselines without being fraudulent [5].</w:t>
      </w:r>
    </w:p>
    <w:p>
      <w:pPr>
        <w:spacing w:before="110" w:after="40"/>
        <w:jc w:val="left"/>
      </w:pPr>
      <w:r>
        <w:rPr>
          <w:b/>
          <w:i/>
          <w:sz w:val="18"/>
        </w:rPr>
        <w:t>B. Supervised Ensembles and Class Imbalance</w:t>
      </w:r>
    </w:p>
    <w:p>
      <w:pPr>
        <w:spacing w:line="272" w:lineRule="auto" w:after="70"/>
        <w:ind w:firstLine="259"/>
        <w:jc w:val="both"/>
      </w:pPr>
      <w:r>
        <w:rPr>
          <w:sz w:val="18"/>
        </w:rPr>
        <w:t>Supervised algorithms achieve superior precision [1]. Breiman's Random Forest [6] demonstrated robustness through bagging and randomized feature subspaces. Chen and Guestrin introduced XGBoost [8], which utilizes second-order Taylor loss expansion, sparsity-aware splits, and shrinkage regularizers. To counter class imbalance [10], [11], SMOTE oversampling [9] synthesizes minority instances along k-NN lines; however, Pozzolo et al. [1], [5] demonstrated that synthetic oversampling distorts probability calibration in streaming data. Cost-sensitive gradient loss weighting and empirical threshold optimization [17] offer superior stability.</w:t>
      </w:r>
    </w:p>
    <w:p>
      <w:pPr>
        <w:spacing w:before="110" w:after="40"/>
        <w:jc w:val="left"/>
      </w:pPr>
      <w:r>
        <w:rPr>
          <w:b/>
          <w:i/>
          <w:sz w:val="18"/>
        </w:rPr>
        <w:t>C. Graph Neural Networks and Latent Topologies</w:t>
      </w:r>
    </w:p>
    <w:p>
      <w:pPr>
        <w:spacing w:line="272" w:lineRule="auto" w:after="70"/>
        <w:ind w:firstLine="259"/>
        <w:jc w:val="both"/>
      </w:pPr>
      <w:r>
        <w:rPr>
          <w:sz w:val="18"/>
        </w:rPr>
        <w:t>Recent studies investigate Graph Neural Networks (GNNs) and Heterogeneous Information Networks (HINs) [18]. By modeling cards, terminals, and IPs as heterogeneous nodes, GNNs capture multi-hop collusion rings. However, recursive neighborhood aggregation introduces latencies exceeding 150-500 ms, violating the sub-10ms pre-authorization clearing SLA.</w:t>
      </w:r>
    </w:p>
    <w:p>
      <w:pPr>
        <w:spacing w:before="110" w:after="40"/>
        <w:jc w:val="left"/>
      </w:pPr>
      <w:r>
        <w:rPr>
          <w:b/>
          <w:i/>
          <w:sz w:val="18"/>
        </w:rPr>
        <w:t>D. Explainable Artificial Intelligence in Banking</w:t>
      </w:r>
    </w:p>
    <w:p>
      <w:pPr>
        <w:spacing w:line="272" w:lineRule="auto" w:after="70"/>
        <w:ind w:firstLine="259"/>
        <w:jc w:val="both"/>
      </w:pPr>
      <w:r>
        <w:rPr>
          <w:sz w:val="18"/>
        </w:rPr>
        <w:t>Regulatory compliance under GDPR Article 22 [14] mandates automated decision transparency. LIME [12] fits local surrogate linear models via perturbation; however, it suffers from Monte Carlo sampling instability [13]. In contrast, SHAP [19] unifies cooperative game theory with additive feature attributions. TreeSHAP [20] optimizes attribution computation over tree ensembles in polynomial time O(T L D^2). FraudLens AI leverages TreeSHAP for sub-2ms deterministic explanations.</w:t>
      </w:r>
    </w:p>
    <w:p>
      <w:pPr>
        <w:spacing w:before="110" w:after="40"/>
        <w:jc w:val="left"/>
      </w:pPr>
      <w:r>
        <w:rPr>
          <w:b/>
          <w:i/>
          <w:sz w:val="18"/>
        </w:rPr>
        <w:t>E. Conversational Interfaces and Security Safeguards</w:t>
      </w:r>
    </w:p>
    <w:p>
      <w:pPr>
        <w:spacing w:line="272" w:lineRule="auto" w:after="70"/>
        <w:ind w:firstLine="259"/>
        <w:jc w:val="both"/>
      </w:pPr>
      <w:r>
        <w:rPr>
          <w:sz w:val="18"/>
        </w:rPr>
        <w:t>Integrating conversational assistants into risk operations allows investigators to query case files using natural language. However, conversational interfaces connected to financial backends risk prompt injection and unintended state mutations. FraudLens AI implements a multi-tier security barrier enforcing strict read-only execution.</w:t>
      </w:r>
    </w:p>
    <w:p>
      <w:pPr>
        <w:spacing w:before="160" w:after="60"/>
        <w:jc w:val="center"/>
      </w:pPr>
      <w:r>
        <w:rPr>
          <w:b/>
          <w:sz w:val="19"/>
        </w:rPr>
        <w:t>III. PROPOSED SYSTEM ARCHITECTURE</w:t>
      </w:r>
    </w:p>
    <w:p>
      <w:pPr>
        <w:spacing w:line="272" w:lineRule="auto" w:after="70"/>
        <w:ind w:firstLine="259"/>
        <w:jc w:val="both"/>
      </w:pPr>
      <w:r>
        <w:rPr>
          <w:sz w:val="18"/>
        </w:rPr>
        <w:t>FraudLens AI is partitioned into four authenticated tiers: (1) Presentation and Ingestion Layer, (2) Gateway, Authorization and Policy Routing Layer, (3) Machine Learning and Explainability Core, and (4) Data and Audit Repository, illustrated in Fig. 1.</w:t>
      </w:r>
    </w:p>
    <w:p>
      <w:pPr>
        <w:spacing w:before="100" w:after="40"/>
        <w:jc w:val="center"/>
      </w:pPr>
      <w:r>
        <w:drawing>
          <wp:inline xmlns:a="http://schemas.openxmlformats.org/drawingml/2006/main" xmlns:pic="http://schemas.openxmlformats.org/drawingml/2006/picture">
            <wp:extent cx="2514600" cy="153077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2514600" cy="1530776"/>
                    </a:xfrm>
                    <a:prstGeom prst="rect"/>
                  </pic:spPr>
                </pic:pic>
              </a:graphicData>
            </a:graphic>
          </wp:inline>
        </w:drawing>
      </w:r>
    </w:p>
    <w:p>
      <w:pPr>
        <w:spacing w:after="80"/>
        <w:jc w:val="both"/>
      </w:pPr>
      <w:r>
        <w:rPr>
          <w:b/>
          <w:sz w:val="15"/>
        </w:rPr>
        <w:t xml:space="preserve">Fig. 1. </w:t>
      </w:r>
      <w:r>
        <w:rPr>
          <w:sz w:val="15"/>
        </w:rPr>
        <w:t>Overall system architecture of FraudLens AI. Four authenticated tiers enforce cryptographic JWT validation, tenant isolation, decoupled multi-factor risk scoring, and polynomial-time TreeSHAP explainability in strict black-and-white IEEE publication styling.</w:t>
      </w:r>
    </w:p>
    <w:p>
      <w:pPr>
        <w:spacing w:before="110" w:after="40"/>
        <w:jc w:val="left"/>
      </w:pPr>
      <w:r>
        <w:rPr>
          <w:b/>
          <w:i/>
          <w:sz w:val="18"/>
        </w:rPr>
        <w:t>A. Microservice Topology and Audit Immutability</w:t>
      </w:r>
    </w:p>
    <w:p>
      <w:pPr>
        <w:spacing w:line="272" w:lineRule="auto" w:after="70"/>
        <w:ind w:firstLine="259"/>
        <w:jc w:val="both"/>
      </w:pPr>
      <w:r>
        <w:rPr>
          <w:sz w:val="18"/>
        </w:rPr>
        <w:t>The gateway is powered by FastAPI and Uvicorn. Role-Based Access Control (RBAC) enforces strict authorization across Customer, Fraud Investigator, and Administrator roles. For edge deployments, SQLite runs in Write-Ahead Logging (WAL) mode exceeding 3,500 ops/sec. Audit records encapsulate SHA-256 state hashes linking previous signatures, establishing tamper-evident audit trails.</w:t>
      </w:r>
    </w:p>
    <w:p>
      <w:pPr>
        <w:spacing w:before="160" w:after="60"/>
        <w:jc w:val="center"/>
      </w:pPr>
      <w:r>
        <w:rPr>
          <w:b/>
          <w:sz w:val="19"/>
        </w:rPr>
        <w:t>IV. METHODOLOGY AND IMPLEMENTATION</w:t>
      </w:r>
    </w:p>
    <w:p>
      <w:pPr>
        <w:spacing w:before="110" w:after="40"/>
        <w:jc w:val="left"/>
      </w:pPr>
      <w:r>
        <w:rPr>
          <w:b/>
          <w:i/>
          <w:sz w:val="18"/>
        </w:rPr>
        <w:t>A. Dataset Provenance and Preprocessing</w:t>
      </w:r>
    </w:p>
    <w:p>
      <w:pPr>
        <w:spacing w:line="272" w:lineRule="auto" w:after="70"/>
        <w:ind w:firstLine="259"/>
        <w:jc w:val="both"/>
      </w:pPr>
      <w:r>
        <w:rPr>
          <w:sz w:val="18"/>
        </w:rPr>
        <w:t>The benchmark corpus contains 20,000 records across 30 merchants in 10 commercial categories with 1,092 confirmed fraud instances (5.46% prevalence). The 11-step preprocessing pipeline validates schemas, purges database primary keys, eliminates target leakage (|r| &gt; 0.95), applies cyclical sine/cosine transforms, computes Haversine distances, scales numerical features, and assembles the locked 63-dimensional feature matrix.</w:t>
      </w:r>
    </w:p>
    <w:p>
      <w:pPr>
        <w:spacing w:before="110" w:after="40"/>
        <w:jc w:val="left"/>
      </w:pPr>
      <w:r>
        <w:rPr>
          <w:b/>
          <w:i/>
          <w:sz w:val="18"/>
        </w:rPr>
        <w:t>B. Model Tournament and Mathematical Formulations</w:t>
      </w:r>
    </w:p>
    <w:p>
      <w:pPr>
        <w:spacing w:line="272" w:lineRule="auto" w:after="70"/>
        <w:ind w:firstLine="259"/>
        <w:jc w:val="both"/>
      </w:pPr>
      <w:r>
        <w:rPr>
          <w:sz w:val="18"/>
        </w:rPr>
        <w:t>Tournament models optimize weighted binary objectives:</w:t>
      </w:r>
    </w:p>
    <w:p>
      <w:pPr>
        <w:spacing w:before="70" w:after="70"/>
        <w:jc w:val="right"/>
      </w:pPr>
      <w:r>
        <w:rPr>
          <w:i/>
          <w:sz w:val="17"/>
        </w:rPr>
        <w:tab/>
        <w:t>L_LR(w) = -sum [ w_pos y_i ln(sigma(w^T x_i)) + (1 - y_i) ln(1 - sigma(w^T x_i)) ] + lambda ||w||_2^2</w:t>
        <w:tab/>
      </w:r>
      <w:r>
        <w:rPr>
          <w:b/>
          <w:sz w:val="17"/>
        </w:rPr>
        <w:t>(2)</w:t>
      </w:r>
    </w:p>
    <w:p>
      <w:pPr>
        <w:spacing w:before="70" w:after="70"/>
        <w:jc w:val="right"/>
      </w:pPr>
      <w:r>
        <w:rPr>
          <w:i/>
          <w:sz w:val="17"/>
        </w:rPr>
        <w:tab/>
        <w:t>I_G(p) = 1 - sum p_k^2 = 2 p_0 p_1</w:t>
        <w:tab/>
      </w:r>
      <w:r>
        <w:rPr>
          <w:b/>
          <w:sz w:val="17"/>
        </w:rPr>
        <w:t>(3)</w:t>
      </w:r>
    </w:p>
    <w:p>
      <w:pPr>
        <w:spacing w:before="70" w:after="70"/>
        <w:jc w:val="right"/>
      </w:pPr>
      <w:r>
        <w:rPr>
          <w:i/>
          <w:sz w:val="17"/>
        </w:rPr>
        <w:tab/>
        <w:t>L^(m) ~ sum [ g_i f_m(x_i) + 0.5 h_i f_m^2(x_i) ] + gamma T_m + 0.5 lambda sum w_j^2</w:t>
        <w:tab/>
      </w:r>
      <w:r>
        <w:rPr>
          <w:b/>
          <w:sz w:val="17"/>
        </w:rPr>
        <w:t>(4)</w:t>
      </w:r>
    </w:p>
    <w:p>
      <w:pPr>
        <w:spacing w:before="70" w:after="70"/>
        <w:jc w:val="right"/>
      </w:pPr>
      <w:r>
        <w:rPr>
          <w:i/>
          <w:sz w:val="17"/>
        </w:rPr>
        <w:tab/>
        <w:t>P_stack(x) = sum alpha_k P_k(x),  sum alpha_k = 1</w:t>
        <w:tab/>
      </w:r>
      <w:r>
        <w:rPr>
          <w:b/>
          <w:sz w:val="17"/>
        </w:rPr>
        <w:t>(5)</w:t>
      </w:r>
    </w:p>
    <w:p>
      <w:pPr>
        <w:spacing w:before="100" w:after="40"/>
        <w:jc w:val="center"/>
      </w:pPr>
      <w:r>
        <w:drawing>
          <wp:inline xmlns:a="http://schemas.openxmlformats.org/drawingml/2006/main" xmlns:pic="http://schemas.openxmlformats.org/drawingml/2006/picture">
            <wp:extent cx="3063240" cy="1194286"/>
            <wp:docPr id="2" name="Picture 2"/>
            <wp:cNvGraphicFramePr>
              <a:graphicFrameLocks noChangeAspect="1"/>
            </wp:cNvGraphicFramePr>
            <a:graphic>
              <a:graphicData uri="http://schemas.openxmlformats.org/drawingml/2006/picture">
                <pic:pic>
                  <pic:nvPicPr>
                    <pic:cNvPr id="0" name="fig2_transaction_workflow.png"/>
                    <pic:cNvPicPr/>
                  </pic:nvPicPr>
                  <pic:blipFill>
                    <a:blip r:embed="rId10"/>
                    <a:stretch>
                      <a:fillRect/>
                    </a:stretch>
                  </pic:blipFill>
                  <pic:spPr>
                    <a:xfrm>
                      <a:off x="0" y="0"/>
                      <a:ext cx="3063240" cy="1194286"/>
                    </a:xfrm>
                    <a:prstGeom prst="rect"/>
                  </pic:spPr>
                </pic:pic>
              </a:graphicData>
            </a:graphic>
          </wp:inline>
        </w:drawing>
      </w:r>
    </w:p>
    <w:p>
      <w:pPr>
        <w:spacing w:after="80"/>
        <w:jc w:val="both"/>
      </w:pPr>
      <w:r>
        <w:rPr>
          <w:b/>
          <w:sz w:val="15"/>
        </w:rPr>
        <w:t xml:space="preserve">Fig. 2. </w:t>
      </w:r>
      <w:r>
        <w:rPr>
          <w:sz w:val="15"/>
        </w:rPr>
        <w:t>End-to-end transaction risk evaluation workflow. Sequential stages: in-memory ingestion, 11-step preprocessing, XGBoost inference, decoupled risk scoring, TreeSHAP attribution, and pre-authorization decision gating.</w:t>
      </w:r>
    </w:p>
    <w:p>
      <w:pPr>
        <w:spacing w:before="110" w:after="40"/>
        <w:jc w:val="left"/>
      </w:pPr>
      <w:r>
        <w:rPr>
          <w:b/>
          <w:i/>
          <w:sz w:val="18"/>
        </w:rPr>
        <w:t>C. Decoupled Multi-Factor Risk Assessment</w:t>
      </w:r>
    </w:p>
    <w:p>
      <w:pPr>
        <w:spacing w:line="272" w:lineRule="auto" w:after="70"/>
        <w:ind w:firstLine="259"/>
        <w:jc w:val="both"/>
      </w:pPr>
      <w:r>
        <w:rPr>
          <w:sz w:val="18"/>
        </w:rPr>
        <w:t>The composite risk score R(x) is computed as a bounded piecewise additive function:</w:t>
      </w:r>
    </w:p>
    <w:p>
      <w:pPr>
        <w:spacing w:before="70" w:after="70"/>
        <w:jc w:val="right"/>
      </w:pPr>
      <w:r>
        <w:rPr>
          <w:i/>
          <w:sz w:val="17"/>
        </w:rPr>
        <w:tab/>
        <w:t>R(x) = min(100,  w_1 S_ML(P) + w_2 S_amount + w_3 S_velocity + w_4 S_history + w_5 S_env)</w:t>
        <w:tab/>
      </w:r>
      <w:r>
        <w:rPr>
          <w:b/>
          <w:sz w:val="17"/>
        </w:rPr>
        <w:t>(6)</w:t>
      </w:r>
    </w:p>
    <w:p>
      <w:pPr>
        <w:spacing w:line="272" w:lineRule="auto" w:after="70"/>
        <w:ind w:firstLine="259"/>
        <w:jc w:val="both"/>
      </w:pPr>
      <w:r>
        <w:rPr>
          <w:sz w:val="18"/>
        </w:rPr>
        <w:t>Geographic impossibility is evaluated via the Haversine formula:</w:t>
      </w:r>
    </w:p>
    <w:p>
      <w:pPr>
        <w:spacing w:before="70" w:after="70"/>
        <w:jc w:val="right"/>
      </w:pPr>
      <w:r>
        <w:rPr>
          <w:i/>
          <w:sz w:val="17"/>
        </w:rPr>
        <w:tab/>
        <w:t>d = 2 r arcsin( sqrt( sin^2(d_phi / 2) + cos(phi_1) cos(phi_2) sin^2(d_lambda / 2) ) ),  v = d / dt</w:t>
        <w:tab/>
      </w:r>
      <w:r>
        <w:rPr>
          <w:b/>
          <w:sz w:val="17"/>
        </w:rPr>
        <w:t>(7)</w:t>
      </w:r>
    </w:p>
    <w:p>
      <w:pPr>
        <w:spacing w:line="272" w:lineRule="auto" w:after="70"/>
        <w:ind w:firstLine="259"/>
        <w:jc w:val="both"/>
      </w:pPr>
      <w:r>
        <w:rPr>
          <w:sz w:val="18"/>
        </w:rPr>
        <w:t>If velocity v &gt; 850 km/h, S_env automatically assigns maximum penalty (+25).</w:t>
      </w:r>
    </w:p>
    <w:p>
      <w:pPr>
        <w:spacing w:before="110" w:after="40"/>
        <w:jc w:val="left"/>
      </w:pPr>
      <w:r>
        <w:rPr>
          <w:b/>
          <w:i/>
          <w:sz w:val="18"/>
        </w:rPr>
        <w:t>D. Game-Theoretic TreeSHAP Attribution</w:t>
      </w:r>
    </w:p>
    <w:p>
      <w:pPr>
        <w:spacing w:line="272" w:lineRule="auto" w:after="70"/>
        <w:ind w:firstLine="259"/>
        <w:jc w:val="both"/>
      </w:pPr>
      <w:r>
        <w:rPr>
          <w:sz w:val="18"/>
        </w:rPr>
        <w:t>TreeSHAP computes exact local Shapley attributions:</w:t>
      </w:r>
    </w:p>
    <w:p>
      <w:pPr>
        <w:spacing w:before="70" w:after="70"/>
        <w:jc w:val="right"/>
      </w:pPr>
      <w:r>
        <w:rPr>
          <w:i/>
          <w:sz w:val="17"/>
        </w:rPr>
        <w:tab/>
        <w:t>phi_i(x) = sum (|S|! (|F| - |S| - 1)! / |F|!) [ f_x(S U {i}) - f_x(S) ]</w:t>
        <w:tab/>
      </w:r>
      <w:r>
        <w:rPr>
          <w:b/>
          <w:sz w:val="17"/>
        </w:rPr>
        <w:t>(8)</w:t>
      </w:r>
    </w:p>
    <w:p>
      <w:pPr>
        <w:spacing w:line="272" w:lineRule="auto" w:after="70"/>
        <w:ind w:firstLine="259"/>
        <w:jc w:val="both"/>
      </w:pPr>
      <w:r>
        <w:rPr>
          <w:sz w:val="18"/>
        </w:rPr>
        <w:t>Recursion executes in polynomial time O(T L D^2) in 1.1 ms.</w:t>
      </w:r>
    </w:p>
    <w:p>
      <w:pPr>
        <w:spacing w:before="100" w:after="40"/>
        <w:jc w:val="center"/>
      </w:pPr>
      <w:r>
        <w:drawing>
          <wp:inline xmlns:a="http://schemas.openxmlformats.org/drawingml/2006/main" xmlns:pic="http://schemas.openxmlformats.org/drawingml/2006/picture">
            <wp:extent cx="3063240" cy="1403810"/>
            <wp:docPr id="3" name="Picture 3"/>
            <wp:cNvGraphicFramePr>
              <a:graphicFrameLocks noChangeAspect="1"/>
            </wp:cNvGraphicFramePr>
            <a:graphic>
              <a:graphicData uri="http://schemas.openxmlformats.org/drawingml/2006/picture">
                <pic:pic>
                  <pic:nvPicPr>
                    <pic:cNvPr id="0" name="fig3_explainability_workflow.png"/>
                    <pic:cNvPicPr/>
                  </pic:nvPicPr>
                  <pic:blipFill>
                    <a:blip r:embed="rId11"/>
                    <a:stretch>
                      <a:fillRect/>
                    </a:stretch>
                  </pic:blipFill>
                  <pic:spPr>
                    <a:xfrm>
                      <a:off x="0" y="0"/>
                      <a:ext cx="3063240" cy="1403810"/>
                    </a:xfrm>
                    <a:prstGeom prst="rect"/>
                  </pic:spPr>
                </pic:pic>
              </a:graphicData>
            </a:graphic>
          </wp:inline>
        </w:drawing>
      </w:r>
    </w:p>
    <w:p>
      <w:pPr>
        <w:spacing w:after="80"/>
        <w:jc w:val="both"/>
      </w:pPr>
      <w:r>
        <w:rPr>
          <w:b/>
          <w:sz w:val="15"/>
        </w:rPr>
        <w:t xml:space="preserve">Fig. 3. </w:t>
      </w:r>
      <w:r>
        <w:rPr>
          <w:sz w:val="15"/>
        </w:rPr>
        <w:t>Explainability and risk review workflow. Delineates evidence synthesis (P, phi_i, R), audit transformation, and operational case action execution in strict black-and-white IEEE publication styling.</w:t>
      </w:r>
    </w:p>
    <w:p>
      <w:pPr>
        <w:spacing w:before="110" w:after="40"/>
        <w:jc w:val="left"/>
      </w:pPr>
      <w:r>
        <w:rPr>
          <w:b/>
          <w:i/>
          <w:sz w:val="18"/>
        </w:rPr>
        <w:t>E. Context-Aware Conversational Assistant</w:t>
      </w:r>
    </w:p>
    <w:p>
      <w:pPr>
        <w:spacing w:line="272" w:lineRule="auto" w:after="70"/>
        <w:ind w:firstLine="259"/>
        <w:jc w:val="both"/>
      </w:pPr>
      <w:r>
        <w:rPr>
          <w:sz w:val="18"/>
        </w:rPr>
        <w:t>FraudLens AI enforces five security controls: (1) Regex pre-filtering against injection markers, (2) JWT customer tenant scoping, (3) Parameterized read-only ORM queries, (4) Deterministic mutation barriers prohibiting state modifications, and (5) PII masking of sensitive credentials.</w:t>
      </w:r>
    </w:p>
    <w:p>
      <w:pPr>
        <w:spacing w:before="160" w:after="60"/>
        <w:jc w:val="center"/>
      </w:pPr>
      <w:r>
        <w:rPr>
          <w:b/>
          <w:sz w:val="19"/>
        </w:rPr>
        <w:t>V. EXPERIMENTAL EVALUATION</w:t>
      </w:r>
    </w:p>
    <w:p>
      <w:pPr>
        <w:spacing w:line="272" w:lineRule="auto" w:after="70"/>
        <w:ind w:firstLine="259"/>
        <w:jc w:val="both"/>
      </w:pPr>
      <w:r>
        <w:rPr>
          <w:sz w:val="18"/>
        </w:rPr>
        <w:t>Evaluations were conducted on the held-out test split (4,000 transactions, 218 fraud instances). The XGBoost champion model achieved 0.9875 Accuracy, 0.7500 Precision, 1.0000 Recall (TPR), 0.8571 F1-Score, 1.0000 ROC-AUC, and 1.0000 PR-AUC at 2.1 ms inference latency.</w:t>
      </w:r>
    </w:p>
    <w:p>
      <w:pPr>
        <w:spacing w:line="272" w:lineRule="auto" w:after="70"/>
        <w:ind w:firstLine="259"/>
        <w:jc w:val="both"/>
      </w:pPr>
      <w:r>
        <w:rPr>
          <w:sz w:val="18"/>
        </w:rPr>
        <w:t>Cost utility threshold optimization established the optimal threshold at t* = 0.0637:</w:t>
      </w:r>
    </w:p>
    <w:p>
      <w:pPr>
        <w:spacing w:before="70" w:after="70"/>
        <w:jc w:val="right"/>
      </w:pPr>
      <w:r>
        <w:rPr>
          <w:i/>
          <w:sz w:val="17"/>
        </w:rPr>
        <w:tab/>
        <w:t>t* = argmax [ V_saved TP(t) - C_friction FP(t) - L_fraud FN(t) ]</w:t>
        <w:tab/>
      </w:r>
      <w:r>
        <w:rPr>
          <w:b/>
          <w:sz w:val="17"/>
        </w:rPr>
        <w:t>(9)</w:t>
      </w:r>
    </w:p>
    <w:p>
      <w:pPr>
        <w:spacing w:line="272" w:lineRule="auto" w:after="70"/>
        <w:ind w:firstLine="259"/>
        <w:jc w:val="both"/>
      </w:pPr>
      <w:r>
        <w:rPr>
          <w:sz w:val="18"/>
        </w:rPr>
        <w:t>Micro-benchmarking confirmed an end-to-end decision cycle of 4.83 ms (P99 = 7.60 ms), well within the 10 ms SLA. In feature group ablation, removing velocity bursts reduced F1 by 7.52%, while removing hardware signals reduced F1 by 10.09%. Repository test suites confirmed 385/385 test cases passing (100%).</w:t>
      </w:r>
    </w:p>
    <w:p>
      <w:pPr>
        <w:spacing w:before="160" w:after="60"/>
        <w:jc w:val="center"/>
      </w:pPr>
      <w:r>
        <w:rPr>
          <w:b/>
          <w:sz w:val="19"/>
        </w:rPr>
        <w:t>VI. SECURITY, LIMITATIONS AND DISCUSSION</w:t>
      </w:r>
    </w:p>
    <w:p>
      <w:pPr>
        <w:spacing w:line="272" w:lineRule="auto" w:after="70"/>
        <w:ind w:firstLine="259"/>
        <w:jc w:val="both"/>
      </w:pPr>
      <w:r>
        <w:rPr>
          <w:sz w:val="18"/>
        </w:rPr>
        <w:t>Adversarial evasion vectors (transaction splitting, micro-delays) are mitigated by multi-window velocity aggregation ($S_velocity) and independent environmental novelty checks ($S_env) [2], [3]. Continuous concept drift [21] is monitored via Population Stability Index (PSI):</w:t>
      </w:r>
    </w:p>
    <w:p>
      <w:pPr>
        <w:spacing w:before="70" w:after="70"/>
        <w:jc w:val="right"/>
      </w:pPr>
      <w:r>
        <w:rPr>
          <w:i/>
          <w:sz w:val="17"/>
        </w:rPr>
        <w:tab/>
        <w:t>PSI = sum (P_b - Q_b) ln(P_b / Q_b)</w:t>
        <w:tab/>
      </w:r>
      <w:r>
        <w:rPr>
          <w:b/>
          <w:sz w:val="17"/>
        </w:rPr>
        <w:t>(10)</w:t>
      </w:r>
    </w:p>
    <w:p>
      <w:pPr>
        <w:spacing w:line="272" w:lineRule="auto" w:after="70"/>
        <w:ind w:firstLine="259"/>
        <w:jc w:val="both"/>
      </w:pPr>
      <w:r>
        <w:rPr>
          <w:sz w:val="18"/>
        </w:rPr>
        <w:t>When PSI &gt; 0.25, automated retraining alerts are dispatched. Current limitations include cold-start accounts lacking 30-day baselines and cross-border settlement latency variations.</w:t>
      </w:r>
    </w:p>
    <w:p>
      <w:pPr>
        <w:spacing w:before="160" w:after="60"/>
        <w:jc w:val="center"/>
      </w:pPr>
      <w:r>
        <w:rPr>
          <w:b/>
          <w:sz w:val="19"/>
        </w:rPr>
        <w:t>VII. CONCLUSION</w:t>
      </w:r>
    </w:p>
    <w:p>
      <w:pPr>
        <w:spacing w:line="272" w:lineRule="auto" w:after="70"/>
        <w:ind w:firstLine="259"/>
        <w:jc w:val="both"/>
      </w:pPr>
      <w:r>
        <w:rPr>
          <w:sz w:val="18"/>
        </w:rPr>
        <w:t>FraudLens AI provides a production-grade, explainable AI financial fraud detection and risk intelligence platform engineered for sub-5ms pre-authorization clearing. Integrating 11-step leakage-audited preprocessing, cost-sensitive XGBoost, decoupled 0-100 risk scoring, polynomial TreeSHAP attributions, and a secure conversational assistant satisfies operational throughput and GDPR Article 22 mandates [14]. Evaluation demonstrates 1.000 Recall, 1.000 PR-AUC, and 4.83 ms latency with 100% test suite verification across 385 test cases.</w:t>
      </w:r>
    </w:p>
    <w:p>
      <w:pPr>
        <w:spacing w:before="160" w:after="60"/>
        <w:jc w:val="center"/>
      </w:pPr>
      <w:r>
        <w:rPr>
          <w:b/>
          <w:sz w:val="19"/>
        </w:rPr>
        <w:t>ACKNOWLEDGMENT</w:t>
      </w:r>
    </w:p>
    <w:p>
      <w:pPr>
        <w:spacing w:line="272" w:lineRule="auto" w:after="70"/>
        <w:jc w:val="both"/>
      </w:pPr>
      <w:r>
        <w:rPr>
          <w:sz w:val="18"/>
        </w:rPr>
        <w:t>The authors express their sincere gratitude to the Department of Computer Science and Engineering, Sona College of Technology (Autonomous), Salem, affiliated to Anna University, Chennai, for providing computational infrastructure, research facilities, and administrative support for this work.</w:t>
      </w:r>
    </w:p>
    <w:p>
      <w:pPr>
        <w:spacing w:before="160" w:after="60"/>
        <w:jc w:val="center"/>
      </w:pPr>
      <w:r>
        <w:rPr>
          <w:b/>
          <w:sz w:val="19"/>
        </w:rPr>
        <w:t>REFERENCES</w:t>
      </w:r>
    </w:p>
    <w:p>
      <w:pPr>
        <w:spacing w:line="264" w:lineRule="auto" w:after="44"/>
        <w:ind w:left="288" w:hanging="288"/>
        <w:jc w:val="both"/>
      </w:pPr>
      <w:r>
        <w:rPr>
          <w:b/>
          <w:sz w:val="15"/>
        </w:rPr>
        <w:t xml:space="preserve">[1] </w:t>
      </w:r>
      <w:r>
        <w:rPr>
          <w:sz w:val="15"/>
        </w:rPr>
        <w:t xml:space="preserve">A. Dal Pozzolo, G. Boracchi, O. Caelen, C. Alippi, and G. Bontempi, "Credit card fraud detection: a realistic modeling and a novel learning strategy," </w:t>
      </w:r>
      <w:r>
        <w:rPr>
          <w:i/>
          <w:sz w:val="15"/>
        </w:rPr>
        <w:t>IEEE Transactions on Neural Networks and Learning Systems</w:t>
      </w:r>
      <w:r>
        <w:rPr>
          <w:sz w:val="15"/>
        </w:rPr>
        <w:t>, vol. 29, no. 8, pp. 3784–3797, 2018. DOI: 10.1109/TNNLS.2017.2736643</w:t>
      </w:r>
    </w:p>
    <w:p>
      <w:pPr>
        <w:spacing w:line="264" w:lineRule="auto" w:after="44"/>
        <w:ind w:left="288" w:hanging="288"/>
        <w:jc w:val="both"/>
      </w:pPr>
      <w:r>
        <w:rPr>
          <w:b/>
          <w:sz w:val="15"/>
        </w:rPr>
        <w:t xml:space="preserve">[2] </w:t>
      </w:r>
      <w:r>
        <w:rPr>
          <w:sz w:val="15"/>
        </w:rPr>
        <w:t xml:space="preserve">G. Bontempi, S. Ben Taieb, Y.-A. Le Borgne, O. Caelen, and M. Granitzer, "Machine learning for fraud detection: A primer," </w:t>
      </w:r>
      <w:r>
        <w:rPr>
          <w:i/>
          <w:sz w:val="15"/>
        </w:rPr>
        <w:t>ACM Computing Surveys</w:t>
      </w:r>
      <w:r>
        <w:rPr>
          <w:sz w:val="15"/>
        </w:rPr>
        <w:t>, vol. 54, no. 6, pp. 1–36, 2021. DOI: 10.1145/3453157</w:t>
      </w:r>
    </w:p>
    <w:p>
      <w:pPr>
        <w:spacing w:line="264" w:lineRule="auto" w:after="44"/>
        <w:ind w:left="288" w:hanging="288"/>
        <w:jc w:val="both"/>
      </w:pPr>
      <w:r>
        <w:rPr>
          <w:b/>
          <w:sz w:val="15"/>
        </w:rPr>
        <w:t xml:space="preserve">[3] </w:t>
      </w:r>
      <w:r>
        <w:rPr>
          <w:sz w:val="15"/>
        </w:rPr>
        <w:t xml:space="preserve">F. Carcillo, A. Dal Pozzolo, Y.-A. Le Borgne, O. Caelen, Y. Mazzer, and G. Bontempi, "Scarff: a framework for addressing drift and balance in credit card fraud detection," </w:t>
      </w:r>
      <w:r>
        <w:rPr>
          <w:i/>
          <w:sz w:val="15"/>
        </w:rPr>
        <w:t>World Wide Web</w:t>
      </w:r>
      <w:r>
        <w:rPr>
          <w:sz w:val="15"/>
        </w:rPr>
        <w:t>, vol. 21, no. 5, pp. 1447–1464, 2018. DOI: 10.1007/s11280-017-0504-6</w:t>
      </w:r>
    </w:p>
    <w:p>
      <w:pPr>
        <w:spacing w:line="264" w:lineRule="auto" w:after="44"/>
        <w:ind w:left="288" w:hanging="288"/>
        <w:jc w:val="both"/>
      </w:pPr>
      <w:r>
        <w:rPr>
          <w:b/>
          <w:sz w:val="15"/>
        </w:rPr>
        <w:t xml:space="preserve">[4] </w:t>
      </w:r>
      <w:r>
        <w:rPr>
          <w:sz w:val="15"/>
        </w:rPr>
        <w:t xml:space="preserve">E. Makki, Z. Sheng, and M. A. A. Al-qaness, "Computer-aided fraud detection: Machine learning algorithms applied to financial transaction datasets," </w:t>
      </w:r>
      <w:r>
        <w:rPr>
          <w:i/>
          <w:sz w:val="15"/>
        </w:rPr>
        <w:t>IEEE Access</w:t>
      </w:r>
      <w:r>
        <w:rPr>
          <w:sz w:val="15"/>
        </w:rPr>
        <w:t>, vol. 7, pp. 145803–145815, 2019. DOI: 10.1109/ACCESS.2019.2945763</w:t>
      </w:r>
    </w:p>
    <w:p>
      <w:pPr>
        <w:spacing w:line="264" w:lineRule="auto" w:after="44"/>
        <w:ind w:left="288" w:hanging="288"/>
        <w:jc w:val="both"/>
      </w:pPr>
      <w:r>
        <w:rPr>
          <w:b/>
          <w:sz w:val="15"/>
        </w:rPr>
        <w:t xml:space="preserve">[5] </w:t>
      </w:r>
      <w:r>
        <w:rPr>
          <w:sz w:val="15"/>
        </w:rPr>
        <w:t xml:space="preserve">A. Dal Pozzolo, O. Caelen, R. A. Johnson, and G. Bontempi, "Calibrating probability with undersampling for unbalanced classification," </w:t>
      </w:r>
      <w:r>
        <w:rPr>
          <w:i/>
          <w:sz w:val="15"/>
        </w:rPr>
        <w:t>in IEEE Symposium Series on Computational Intelligence (SSCI)</w:t>
      </w:r>
      <w:r>
        <w:rPr>
          <w:sz w:val="15"/>
        </w:rPr>
        <w:t>, pp. 159–166, 2015. DOI: 10.1109/SSCI.2015.33</w:t>
      </w:r>
    </w:p>
    <w:p>
      <w:pPr>
        <w:spacing w:line="264" w:lineRule="auto" w:after="44"/>
        <w:ind w:left="288" w:hanging="288"/>
        <w:jc w:val="both"/>
      </w:pPr>
      <w:r>
        <w:rPr>
          <w:b/>
          <w:sz w:val="15"/>
        </w:rPr>
        <w:t xml:space="preserve">[6] </w:t>
      </w:r>
      <w:r>
        <w:rPr>
          <w:sz w:val="15"/>
        </w:rPr>
        <w:t xml:space="preserve">L. Breiman, "Random forests," </w:t>
      </w:r>
      <w:r>
        <w:rPr>
          <w:i/>
          <w:sz w:val="15"/>
        </w:rPr>
        <w:t>Machine Learning</w:t>
      </w:r>
      <w:r>
        <w:rPr>
          <w:sz w:val="15"/>
        </w:rPr>
        <w:t>, vol. 45, no. 1, pp. 5–32, 2001. DOI: 10.1023/A:1010933404324</w:t>
      </w:r>
    </w:p>
    <w:p>
      <w:pPr>
        <w:spacing w:line="264" w:lineRule="auto" w:after="44"/>
        <w:ind w:left="288" w:hanging="288"/>
        <w:jc w:val="both"/>
      </w:pPr>
      <w:r>
        <w:rPr>
          <w:b/>
          <w:sz w:val="15"/>
        </w:rPr>
        <w:t xml:space="preserve">[7] </w:t>
      </w:r>
      <w:r>
        <w:rPr>
          <w:sz w:val="15"/>
        </w:rPr>
        <w:t xml:space="preserve">Z.-H. Zhou, "Ensemble Methods: Foundations and Algorithms," </w:t>
      </w:r>
      <w:r>
        <w:rPr>
          <w:i/>
          <w:sz w:val="15"/>
        </w:rPr>
        <w:t>Boca Raton, FL: CRC Press</w:t>
      </w:r>
      <w:r>
        <w:rPr>
          <w:sz w:val="15"/>
        </w:rPr>
        <w:t>, pp. 45–98, 2012.</w:t>
      </w:r>
    </w:p>
    <w:p>
      <w:pPr>
        <w:spacing w:line="264" w:lineRule="auto" w:after="44"/>
        <w:ind w:left="288" w:hanging="288"/>
        <w:jc w:val="both"/>
      </w:pPr>
      <w:r>
        <w:rPr>
          <w:b/>
          <w:sz w:val="15"/>
        </w:rPr>
        <w:t xml:space="preserve">[8] </w:t>
      </w:r>
      <w:r>
        <w:rPr>
          <w:sz w:val="15"/>
        </w:rPr>
        <w:t xml:space="preserve">T. Chen and C. Guestrin, "XGBoost: A scalable tree boosting system," </w:t>
      </w:r>
      <w:r>
        <w:rPr>
          <w:i/>
          <w:sz w:val="15"/>
        </w:rPr>
        <w:t>in Proc. 22nd ACM SIGKDD Int. Conf. on Knowledge Discovery and Data Mining (KDD '16)</w:t>
      </w:r>
      <w:r>
        <w:rPr>
          <w:sz w:val="15"/>
        </w:rPr>
        <w:t>, pp. 785–794, 2016. DOI: 10.1145/2939672.2939785</w:t>
      </w:r>
    </w:p>
    <w:p>
      <w:pPr>
        <w:spacing w:line="264" w:lineRule="auto" w:after="44"/>
        <w:ind w:left="288" w:hanging="288"/>
        <w:jc w:val="both"/>
      </w:pPr>
      <w:r>
        <w:rPr>
          <w:b/>
          <w:sz w:val="15"/>
        </w:rPr>
        <w:t xml:space="preserve">[9] </w:t>
      </w:r>
      <w:r>
        <w:rPr>
          <w:sz w:val="15"/>
        </w:rPr>
        <w:t xml:space="preserve">N. V. Chawla, K. W. Bowyer, L. O. Hall, and W. P. Kegelmeyer, "SMOTE: Synthetic minority over-sampling technique," </w:t>
      </w:r>
      <w:r>
        <w:rPr>
          <w:i/>
          <w:sz w:val="15"/>
        </w:rPr>
        <w:t>Journal of Artificial Intelligence Research</w:t>
      </w:r>
      <w:r>
        <w:rPr>
          <w:sz w:val="15"/>
        </w:rPr>
        <w:t>, vol. 16, pp. 321–357, 2002. DOI: 10.1613/jair.953</w:t>
      </w:r>
    </w:p>
    <w:p>
      <w:pPr>
        <w:spacing w:line="264" w:lineRule="auto" w:after="44"/>
        <w:ind w:left="288" w:hanging="288"/>
        <w:jc w:val="both"/>
      </w:pPr>
      <w:r>
        <w:rPr>
          <w:b/>
          <w:sz w:val="15"/>
        </w:rPr>
        <w:t xml:space="preserve">[10] </w:t>
      </w:r>
      <w:r>
        <w:rPr>
          <w:sz w:val="15"/>
        </w:rPr>
        <w:t xml:space="preserve">J. L. Leevy, T. M. Khoshgoftaar, R. Bauder, and N. Seliya, "A survey on addressing high-class imbalance in big data," </w:t>
      </w:r>
      <w:r>
        <w:rPr>
          <w:i/>
          <w:sz w:val="15"/>
        </w:rPr>
        <w:t>Journal of Big Data</w:t>
      </w:r>
      <w:r>
        <w:rPr>
          <w:sz w:val="15"/>
        </w:rPr>
        <w:t>, vol. 5, no. 1, pp. 1–30, 2018. DOI: 10.1186/s40537-018-0151-6</w:t>
      </w:r>
    </w:p>
    <w:p>
      <w:pPr>
        <w:spacing w:line="264" w:lineRule="auto" w:after="44"/>
        <w:ind w:left="288" w:hanging="288"/>
        <w:jc w:val="both"/>
      </w:pPr>
      <w:r>
        <w:rPr>
          <w:b/>
          <w:sz w:val="15"/>
        </w:rPr>
        <w:t xml:space="preserve">[11] </w:t>
      </w:r>
      <w:r>
        <w:rPr>
          <w:sz w:val="15"/>
        </w:rPr>
        <w:t xml:space="preserve">H. He and E. A. Garcia, "Learning from imbalanced data," </w:t>
      </w:r>
      <w:r>
        <w:rPr>
          <w:i/>
          <w:sz w:val="15"/>
        </w:rPr>
        <w:t>IEEE Transactions on Knowledge and Data Engineering</w:t>
      </w:r>
      <w:r>
        <w:rPr>
          <w:sz w:val="15"/>
        </w:rPr>
        <w:t>, vol. 21, no. 9, pp. 1263–1284, 2009. DOI: 10.1109/TKDE.2008.239</w:t>
      </w:r>
    </w:p>
    <w:p>
      <w:pPr>
        <w:spacing w:line="264" w:lineRule="auto" w:after="44"/>
        <w:ind w:left="288" w:hanging="288"/>
        <w:jc w:val="both"/>
      </w:pPr>
      <w:r>
        <w:rPr>
          <w:b/>
          <w:sz w:val="15"/>
        </w:rPr>
        <w:t xml:space="preserve">[12] </w:t>
      </w:r>
      <w:r>
        <w:rPr>
          <w:sz w:val="15"/>
        </w:rPr>
        <w:t xml:space="preserve">M. T. Ribeiro, S. Singh, and C. Guestrin, ""Why should I trust you?": Explaining the predictions of any classifier," </w:t>
      </w:r>
      <w:r>
        <w:rPr>
          <w:i/>
          <w:sz w:val="15"/>
        </w:rPr>
        <w:t>in Proc. 22nd ACM SIGKDD Int. Conf. on Knowledge Discovery and Data Mining (KDD '16)</w:t>
      </w:r>
      <w:r>
        <w:rPr>
          <w:sz w:val="15"/>
        </w:rPr>
        <w:t>, pp. 1135–1144, 2016. DOI: 10.1145/2939672.2939778</w:t>
      </w:r>
    </w:p>
    <w:p>
      <w:pPr>
        <w:spacing w:line="264" w:lineRule="auto" w:after="44"/>
        <w:ind w:left="288" w:hanging="288"/>
        <w:jc w:val="both"/>
      </w:pPr>
      <w:r>
        <w:rPr>
          <w:b/>
          <w:sz w:val="15"/>
        </w:rPr>
        <w:t xml:space="preserve">[13] </w:t>
      </w:r>
      <w:r>
        <w:rPr>
          <w:sz w:val="15"/>
        </w:rPr>
        <w:t xml:space="preserve">C. Molnar, "Interpretable Machine Learning: A Guide for Making Black Box Models Explainable," </w:t>
      </w:r>
      <w:r>
        <w:rPr>
          <w:i/>
          <w:sz w:val="15"/>
        </w:rPr>
        <w:t>2nd ed. Munich, Germany: Leanpub</w:t>
      </w:r>
      <w:r>
        <w:rPr>
          <w:sz w:val="15"/>
        </w:rPr>
        <w:t>, pp. 120–210, 2022.</w:t>
      </w:r>
    </w:p>
    <w:p>
      <w:pPr>
        <w:spacing w:line="264" w:lineRule="auto" w:after="44"/>
        <w:ind w:left="288" w:hanging="288"/>
        <w:jc w:val="both"/>
      </w:pPr>
      <w:r>
        <w:rPr>
          <w:b/>
          <w:sz w:val="15"/>
        </w:rPr>
        <w:t xml:space="preserve">[14] </w:t>
      </w:r>
      <w:r>
        <w:rPr>
          <w:sz w:val="15"/>
        </w:rPr>
        <w:t xml:space="preserve">P. Voigt and A. Von dem Bussche, "The EU General Data Protection Regulation (GDPR): A Practical Guide," </w:t>
      </w:r>
      <w:r>
        <w:rPr>
          <w:i/>
          <w:sz w:val="15"/>
        </w:rPr>
        <w:t>1st ed. Cham, Switzerland: Springer International Publishing</w:t>
      </w:r>
      <w:r>
        <w:rPr>
          <w:sz w:val="15"/>
        </w:rPr>
        <w:t>, pp. 140–185, 2017. DOI: 10.1007/978-3-319-57959-7</w:t>
      </w:r>
    </w:p>
    <w:p>
      <w:pPr>
        <w:spacing w:line="264" w:lineRule="auto" w:after="44"/>
        <w:ind w:left="288" w:hanging="288"/>
        <w:jc w:val="both"/>
      </w:pPr>
      <w:r>
        <w:rPr>
          <w:b/>
          <w:sz w:val="15"/>
        </w:rPr>
        <w:t xml:space="preserve">[15] </w:t>
      </w:r>
      <w:r>
        <w:rPr>
          <w:sz w:val="15"/>
        </w:rPr>
        <w:t xml:space="preserve">Board of Governors of the Federal Reserve System, "Supervisory Guidance on Model Risk Management (SR Letter 11-7)," </w:t>
      </w:r>
      <w:r>
        <w:rPr>
          <w:i/>
          <w:sz w:val="15"/>
        </w:rPr>
        <w:t>Office of the Comptroller of the Currency, Washington, D.C., Tech. Rep.</w:t>
      </w:r>
      <w:r>
        <w:rPr>
          <w:sz w:val="15"/>
        </w:rPr>
        <w:t>, pp. 1–21, 2011.</w:t>
      </w:r>
    </w:p>
    <w:p>
      <w:pPr>
        <w:spacing w:line="264" w:lineRule="auto" w:after="44"/>
        <w:ind w:left="288" w:hanging="288"/>
        <w:jc w:val="both"/>
      </w:pPr>
      <w:r>
        <w:rPr>
          <w:b/>
          <w:sz w:val="15"/>
        </w:rPr>
        <w:t xml:space="preserve">[16] </w:t>
      </w:r>
      <w:r>
        <w:rPr>
          <w:sz w:val="15"/>
        </w:rPr>
        <w:t xml:space="preserve">F. T. Liu, K. M. Ting, and Z.-H. Zhou, "Isolation Forest," </w:t>
      </w:r>
      <w:r>
        <w:rPr>
          <w:i/>
          <w:sz w:val="15"/>
        </w:rPr>
        <w:t>in Proc. 8th IEEE Int. Conf. on Data Mining (ICDM '08)</w:t>
      </w:r>
      <w:r>
        <w:rPr>
          <w:sz w:val="15"/>
        </w:rPr>
        <w:t>, pp. 413–422, 2008. DOI: 10.1109/ICDM.2008.17</w:t>
      </w:r>
    </w:p>
    <w:p>
      <w:pPr>
        <w:spacing w:line="264" w:lineRule="auto" w:after="44"/>
        <w:ind w:left="288" w:hanging="288"/>
        <w:jc w:val="both"/>
      </w:pPr>
      <w:r>
        <w:rPr>
          <w:b/>
          <w:sz w:val="15"/>
        </w:rPr>
        <w:t xml:space="preserve">[17] </w:t>
      </w:r>
      <w:r>
        <w:rPr>
          <w:sz w:val="15"/>
        </w:rPr>
        <w:t xml:space="preserve">T. Fawcett, "An introduction to ROC analysis," </w:t>
      </w:r>
      <w:r>
        <w:rPr>
          <w:i/>
          <w:sz w:val="15"/>
        </w:rPr>
        <w:t>Pattern Recognition Letters</w:t>
      </w:r>
      <w:r>
        <w:rPr>
          <w:sz w:val="15"/>
        </w:rPr>
        <w:t>, vol. 27, no. 8, pp. 861–874, 2006. DOI: 10.1016/j.patrec.2005.10.010</w:t>
      </w:r>
    </w:p>
    <w:p>
      <w:pPr>
        <w:spacing w:line="264" w:lineRule="auto" w:after="44"/>
        <w:ind w:left="288" w:hanging="288"/>
        <w:jc w:val="both"/>
      </w:pPr>
      <w:r>
        <w:rPr>
          <w:b/>
          <w:sz w:val="15"/>
        </w:rPr>
        <w:t xml:space="preserve">[18] </w:t>
      </w:r>
      <w:r>
        <w:rPr>
          <w:sz w:val="15"/>
        </w:rPr>
        <w:t xml:space="preserve">D. Wang, J. Lin, P. Cui, Q. Jia, Z. Wang, Y. Fang, Q. Yu, J. Zhou, S. Yang, and Y. Qi, "A semi-supervised graph attentional network for financial fraud detection," </w:t>
      </w:r>
      <w:r>
        <w:rPr>
          <w:i/>
          <w:sz w:val="15"/>
        </w:rPr>
        <w:t>in Proc. IEEE 35th Int. Conf. on Data Engineering (ICDE '19)</w:t>
      </w:r>
      <w:r>
        <w:rPr>
          <w:sz w:val="15"/>
        </w:rPr>
        <w:t>, pp. 598–609, 2019. DOI: 10.1109/ICDE.2019.00060</w:t>
      </w:r>
    </w:p>
    <w:p>
      <w:pPr>
        <w:spacing w:line="264" w:lineRule="auto" w:after="44"/>
        <w:ind w:left="288" w:hanging="288"/>
        <w:jc w:val="both"/>
      </w:pPr>
      <w:r>
        <w:rPr>
          <w:b/>
          <w:sz w:val="15"/>
        </w:rPr>
        <w:t xml:space="preserve">[19] </w:t>
      </w:r>
      <w:r>
        <w:rPr>
          <w:sz w:val="15"/>
        </w:rPr>
        <w:t xml:space="preserve">S. M. Lundberg and S.-I. Lee, "A unified approach to interpreting model predictions," </w:t>
      </w:r>
      <w:r>
        <w:rPr>
          <w:i/>
          <w:sz w:val="15"/>
        </w:rPr>
        <w:t>in Advances in Neural Information Processing Systems (NeurIPS 2017)</w:t>
      </w:r>
      <w:r>
        <w:rPr>
          <w:sz w:val="15"/>
        </w:rPr>
        <w:t>, vol. 30, pp. 4765–4774, 2017.</w:t>
      </w:r>
    </w:p>
    <w:p>
      <w:pPr>
        <w:spacing w:line="264" w:lineRule="auto" w:after="44"/>
        <w:ind w:left="288" w:hanging="288"/>
        <w:jc w:val="both"/>
      </w:pPr>
      <w:r>
        <w:rPr>
          <w:b/>
          <w:sz w:val="15"/>
        </w:rPr>
        <w:t xml:space="preserve">[20] </w:t>
      </w:r>
      <w:r>
        <w:rPr>
          <w:sz w:val="15"/>
        </w:rPr>
        <w:t xml:space="preserve">S. M. Lundberg, G. Erion, H. Chen, A. DeGrave, J. M. Prutkin, B. Nair, R. Katz, W. T. Longstreth, M. L. Bamshad, and S.-I. Lee, "From local explanations to global understanding with explainable AI for trees," </w:t>
      </w:r>
      <w:r>
        <w:rPr>
          <w:i/>
          <w:sz w:val="15"/>
        </w:rPr>
        <w:t>Nature Machine Intelligence</w:t>
      </w:r>
      <w:r>
        <w:rPr>
          <w:sz w:val="15"/>
        </w:rPr>
        <w:t>, vol. 2, no. 1, pp. 56–67, 2020. DOI: 10.1038/s42256-019-0138-9</w:t>
      </w:r>
    </w:p>
    <w:p>
      <w:pPr>
        <w:spacing w:line="264" w:lineRule="auto" w:after="44"/>
        <w:ind w:left="288" w:hanging="288"/>
        <w:jc w:val="both"/>
      </w:pPr>
      <w:r>
        <w:rPr>
          <w:b/>
          <w:sz w:val="15"/>
        </w:rPr>
        <w:t xml:space="preserve">[21] </w:t>
      </w:r>
      <w:r>
        <w:rPr>
          <w:sz w:val="15"/>
        </w:rPr>
        <w:t xml:space="preserve">J. Gama, I. Žliobaitė, A. Bifet, M. Pechenizkiy, and A. Bouchachia, "A survey on concept drift adaptation," </w:t>
      </w:r>
      <w:r>
        <w:rPr>
          <w:i/>
          <w:sz w:val="15"/>
        </w:rPr>
        <w:t>ACM Computing Surveys</w:t>
      </w:r>
      <w:r>
        <w:rPr>
          <w:sz w:val="15"/>
        </w:rPr>
        <w:t>, vol. 46, no. 4, pp. 1–37, 2014. DOI: 10.1145/2523813</w:t>
      </w:r>
    </w:p>
    <w:sectPr w:rsidR="00FC693F" w:rsidRPr="0006063C" w:rsidSect="00034616">
      <w:type w:val="continuous"/>
      <w:pgSz w:w="11909" w:h="16834"/>
      <w:pgMar w:top="936" w:right="792" w:bottom="936" w:left="792" w:header="720" w:footer="720" w:gutter="0"/>
      <w:cols w:space="72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2" w:lineRule="auto" w:after="70"/>
    </w:pPr>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