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A53" w:rsidRPr="00036D6A" w:rsidRDefault="00473A53" w:rsidP="00473A53">
      <w:pPr>
        <w:spacing w:after="0"/>
        <w:jc w:val="center"/>
        <w:rPr>
          <w:rFonts w:cstheme="minorHAnsi"/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4984115</wp:posOffset>
            </wp:positionH>
            <wp:positionV relativeFrom="margin">
              <wp:posOffset>41275</wp:posOffset>
            </wp:positionV>
            <wp:extent cx="1228725" cy="242570"/>
            <wp:effectExtent l="0" t="0" r="9525" b="5080"/>
            <wp:wrapSquare wrapText="bothSides"/>
            <wp:docPr id="1" name="Picture 1" descr="http://careereco.net/files/2010/06/mathwork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areereco.net/files/2010/06/mathworks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60325</wp:posOffset>
            </wp:positionH>
            <wp:positionV relativeFrom="margin">
              <wp:posOffset>-60960</wp:posOffset>
            </wp:positionV>
            <wp:extent cx="465455" cy="344805"/>
            <wp:effectExtent l="0" t="0" r="0" b="0"/>
            <wp:wrapSquare wrapText="bothSides"/>
            <wp:docPr id="2" name="Picture 2" descr="http://www.guidestar.org/ViewEdoc.aspx?eDocId=986232&amp;approved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guidestar.org/ViewEdoc.aspx?eDocId=986232&amp;approved=Tru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6D6A">
        <w:rPr>
          <w:rFonts w:cstheme="minorHAnsi"/>
          <w:b/>
          <w:sz w:val="36"/>
          <w:szCs w:val="36"/>
        </w:rPr>
        <w:t>BEST Simulink Design Award</w:t>
      </w:r>
      <w:r w:rsidR="008830A2">
        <w:rPr>
          <w:rFonts w:cstheme="minorHAnsi"/>
          <w:b/>
          <w:sz w:val="36"/>
          <w:szCs w:val="36"/>
        </w:rPr>
        <w:t xml:space="preserve"> (2014</w:t>
      </w:r>
      <w:r>
        <w:rPr>
          <w:rFonts w:cstheme="minorHAnsi"/>
          <w:b/>
          <w:sz w:val="36"/>
          <w:szCs w:val="36"/>
        </w:rPr>
        <w:t>)</w:t>
      </w:r>
      <w:r w:rsidRPr="00E57F52">
        <w:rPr>
          <w:noProof/>
        </w:rPr>
        <w:t xml:space="preserve"> </w:t>
      </w:r>
    </w:p>
    <w:p w:rsidR="00473A53" w:rsidRDefault="00473A53" w:rsidP="00473A53">
      <w:pPr>
        <w:spacing w:after="0"/>
        <w:rPr>
          <w:rFonts w:cstheme="minorHAnsi"/>
          <w:b/>
          <w:sz w:val="28"/>
          <w:szCs w:val="36"/>
        </w:rPr>
      </w:pPr>
      <w:r>
        <w:rPr>
          <w:rFonts w:cstheme="minorHAnsi"/>
          <w:b/>
          <w:sz w:val="28"/>
          <w:szCs w:val="36"/>
        </w:rPr>
        <w:t xml:space="preserve">                                          Judging and Scoring </w:t>
      </w:r>
      <w:r w:rsidR="00505CAF">
        <w:rPr>
          <w:rFonts w:cstheme="minorHAnsi"/>
          <w:b/>
          <w:sz w:val="28"/>
          <w:szCs w:val="36"/>
        </w:rPr>
        <w:t xml:space="preserve">Instructions </w:t>
      </w:r>
    </w:p>
    <w:p w:rsidR="00473A53" w:rsidRPr="00610038" w:rsidRDefault="00473A53" w:rsidP="00473A53">
      <w:pPr>
        <w:spacing w:after="0"/>
        <w:rPr>
          <w:rFonts w:cstheme="minorHAnsi"/>
          <w:color w:val="FF0000"/>
          <w:sz w:val="28"/>
          <w:szCs w:val="36"/>
          <w:u w:val="single"/>
        </w:rPr>
      </w:pPr>
      <w:r w:rsidRPr="00473A53">
        <w:rPr>
          <w:rFonts w:cstheme="minorHAnsi"/>
          <w:b/>
          <w:sz w:val="28"/>
          <w:szCs w:val="36"/>
        </w:rPr>
        <w:t xml:space="preserve">                                    </w:t>
      </w:r>
      <w:r w:rsidRPr="00610038">
        <w:rPr>
          <w:rFonts w:cstheme="minorHAnsi"/>
          <w:color w:val="FF0000"/>
          <w:sz w:val="28"/>
          <w:szCs w:val="36"/>
        </w:rPr>
        <w:t>(</w:t>
      </w:r>
      <w:r w:rsidRPr="00610038">
        <w:rPr>
          <w:rFonts w:cstheme="minorHAnsi"/>
          <w:color w:val="FF0000"/>
          <w:sz w:val="28"/>
          <w:szCs w:val="36"/>
          <w:u w:val="single"/>
        </w:rPr>
        <w:t>For judges and regional reps only</w:t>
      </w:r>
      <w:r w:rsidRPr="00610038">
        <w:rPr>
          <w:rFonts w:cstheme="minorHAnsi"/>
          <w:color w:val="FF0000"/>
          <w:sz w:val="28"/>
          <w:szCs w:val="36"/>
        </w:rPr>
        <w:t>)</w:t>
      </w:r>
    </w:p>
    <w:p w:rsidR="00654A25" w:rsidRDefault="00A93DA5"/>
    <w:p w:rsidR="00473A53" w:rsidRPr="00505CAF" w:rsidRDefault="00473A53">
      <w:pPr>
        <w:rPr>
          <w:b/>
          <w:sz w:val="24"/>
        </w:rPr>
      </w:pPr>
      <w:r w:rsidRPr="00505CAF">
        <w:rPr>
          <w:b/>
          <w:sz w:val="24"/>
        </w:rPr>
        <w:t>Judge Recruitment</w:t>
      </w:r>
    </w:p>
    <w:p w:rsidR="00473A53" w:rsidRDefault="00473A53" w:rsidP="00473A53">
      <w:pPr>
        <w:pStyle w:val="ListParagraph"/>
        <w:numPr>
          <w:ilvl w:val="0"/>
          <w:numId w:val="1"/>
        </w:numPr>
      </w:pPr>
      <w:r>
        <w:t xml:space="preserve">Each region will recruit </w:t>
      </w:r>
      <w:r w:rsidR="00506D3C">
        <w:t xml:space="preserve">a minimum of </w:t>
      </w:r>
      <w:r>
        <w:t xml:space="preserve">3 judges by </w:t>
      </w:r>
      <w:r w:rsidR="00654134" w:rsidRPr="00654134">
        <w:rPr>
          <w:b/>
          <w:color w:val="FF0000"/>
        </w:rPr>
        <w:t>October 1</w:t>
      </w:r>
      <w:r w:rsidR="00654134" w:rsidRPr="000D7649">
        <w:rPr>
          <w:b/>
          <w:color w:val="FF0000"/>
          <w:vertAlign w:val="superscript"/>
        </w:rPr>
        <w:t>st</w:t>
      </w:r>
      <w:r>
        <w:t xml:space="preserve">. The recruitment will be done by the </w:t>
      </w:r>
      <w:r w:rsidR="00654134">
        <w:t>Regional Judging</w:t>
      </w:r>
      <w:r w:rsidR="00506D3C">
        <w:t xml:space="preserve"> Coordinator</w:t>
      </w:r>
      <w:r>
        <w:t xml:space="preserve"> with assistance from </w:t>
      </w:r>
      <w:r w:rsidR="004A7D9F">
        <w:t>BRI Director of Operations</w:t>
      </w:r>
      <w:r>
        <w:t xml:space="preserve"> and </w:t>
      </w:r>
      <w:proofErr w:type="spellStart"/>
      <w:r>
        <w:t>MathWorks</w:t>
      </w:r>
      <w:proofErr w:type="spellEnd"/>
      <w:r>
        <w:t>.</w:t>
      </w:r>
    </w:p>
    <w:p w:rsidR="00473A53" w:rsidRDefault="004B073B" w:rsidP="00473A53">
      <w:pPr>
        <w:pStyle w:val="ListParagraph"/>
        <w:numPr>
          <w:ilvl w:val="0"/>
          <w:numId w:val="1"/>
        </w:numPr>
      </w:pPr>
      <w:r>
        <w:t>The background requirements for judges are:</w:t>
      </w:r>
    </w:p>
    <w:p w:rsidR="004B073B" w:rsidRDefault="004B073B" w:rsidP="004B073B">
      <w:pPr>
        <w:pStyle w:val="ListParagraph"/>
        <w:numPr>
          <w:ilvl w:val="1"/>
          <w:numId w:val="1"/>
        </w:numPr>
      </w:pPr>
      <w:r>
        <w:t>Basic working knowledge of MATLAB and Simulink</w:t>
      </w:r>
    </w:p>
    <w:p w:rsidR="004B073B" w:rsidRDefault="004B073B" w:rsidP="004B073B">
      <w:pPr>
        <w:pStyle w:val="ListParagraph"/>
        <w:numPr>
          <w:ilvl w:val="1"/>
          <w:numId w:val="1"/>
        </w:numPr>
      </w:pPr>
      <w:r>
        <w:t xml:space="preserve">Understanding of the </w:t>
      </w:r>
      <w:r w:rsidR="008830A2">
        <w:t>2014</w:t>
      </w:r>
      <w:r>
        <w:t xml:space="preserve"> game concept and tasks</w:t>
      </w:r>
    </w:p>
    <w:p w:rsidR="004B073B" w:rsidRPr="00F4702D" w:rsidRDefault="004B073B" w:rsidP="004B073B">
      <w:pPr>
        <w:pStyle w:val="ListParagraph"/>
        <w:numPr>
          <w:ilvl w:val="0"/>
          <w:numId w:val="1"/>
        </w:numPr>
        <w:rPr>
          <w:rFonts w:cstheme="minorHAnsi"/>
        </w:rPr>
      </w:pPr>
      <w:r w:rsidRPr="00F4702D">
        <w:rPr>
          <w:rFonts w:cstheme="minorHAnsi"/>
        </w:rPr>
        <w:t xml:space="preserve">Use the table below to capture information about the judges for your region. 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3150"/>
        <w:gridCol w:w="1800"/>
        <w:gridCol w:w="2160"/>
      </w:tblGrid>
      <w:tr w:rsidR="004B073B" w:rsidRPr="00E972E8" w:rsidTr="00FB4F27">
        <w:trPr>
          <w:trHeight w:val="440"/>
          <w:tblHeader/>
        </w:trPr>
        <w:tc>
          <w:tcPr>
            <w:tcW w:w="2448" w:type="dxa"/>
          </w:tcPr>
          <w:p w:rsidR="004B073B" w:rsidRPr="00E972E8" w:rsidRDefault="004B073B" w:rsidP="00FB4F27">
            <w:pPr>
              <w:jc w:val="center"/>
              <w:rPr>
                <w:rFonts w:cstheme="minorHAnsi"/>
                <w:b/>
                <w:bCs/>
                <w:sz w:val="20"/>
                <w:lang w:val="fr-FR"/>
              </w:rPr>
            </w:pPr>
            <w:r w:rsidRPr="00E972E8">
              <w:rPr>
                <w:rFonts w:cstheme="minorHAnsi"/>
                <w:b/>
                <w:bCs/>
                <w:sz w:val="20"/>
                <w:lang w:val="fr-FR"/>
              </w:rPr>
              <w:t>Name</w:t>
            </w:r>
          </w:p>
        </w:tc>
        <w:tc>
          <w:tcPr>
            <w:tcW w:w="3150" w:type="dxa"/>
          </w:tcPr>
          <w:p w:rsidR="004B073B" w:rsidRPr="00E972E8" w:rsidRDefault="004B073B" w:rsidP="00FB4F27">
            <w:pPr>
              <w:jc w:val="center"/>
              <w:rPr>
                <w:rFonts w:cstheme="minorHAnsi"/>
                <w:b/>
                <w:bCs/>
                <w:sz w:val="20"/>
                <w:lang w:val="fr-FR"/>
              </w:rPr>
            </w:pPr>
            <w:r w:rsidRPr="00E972E8">
              <w:rPr>
                <w:rFonts w:cstheme="minorHAnsi"/>
                <w:b/>
                <w:bCs/>
                <w:sz w:val="20"/>
                <w:lang w:val="fr-FR"/>
              </w:rPr>
              <w:t>Affiliation</w:t>
            </w:r>
          </w:p>
          <w:p w:rsidR="004B073B" w:rsidRPr="00E972E8" w:rsidRDefault="004B073B" w:rsidP="00FB4F27">
            <w:pPr>
              <w:jc w:val="center"/>
              <w:rPr>
                <w:rFonts w:cstheme="minorHAnsi"/>
                <w:b/>
                <w:bCs/>
                <w:sz w:val="20"/>
                <w:lang w:val="fr-FR"/>
              </w:rPr>
            </w:pPr>
          </w:p>
        </w:tc>
        <w:tc>
          <w:tcPr>
            <w:tcW w:w="1800" w:type="dxa"/>
          </w:tcPr>
          <w:p w:rsidR="004B073B" w:rsidRPr="00E972E8" w:rsidRDefault="004B073B" w:rsidP="00FB4F27">
            <w:pPr>
              <w:jc w:val="center"/>
              <w:rPr>
                <w:rFonts w:cstheme="minorHAnsi"/>
                <w:b/>
                <w:bCs/>
                <w:sz w:val="20"/>
                <w:lang w:val="fr-FR"/>
              </w:rPr>
            </w:pPr>
            <w:r w:rsidRPr="00E972E8">
              <w:rPr>
                <w:rFonts w:cstheme="minorHAnsi"/>
                <w:b/>
                <w:bCs/>
                <w:sz w:val="20"/>
                <w:lang w:val="fr-FR"/>
              </w:rPr>
              <w:t>Phone</w:t>
            </w:r>
          </w:p>
        </w:tc>
        <w:tc>
          <w:tcPr>
            <w:tcW w:w="2160" w:type="dxa"/>
          </w:tcPr>
          <w:p w:rsidR="004B073B" w:rsidRPr="00E972E8" w:rsidRDefault="004B073B" w:rsidP="00FB4F27">
            <w:pPr>
              <w:jc w:val="center"/>
              <w:rPr>
                <w:rFonts w:cstheme="minorHAnsi"/>
                <w:b/>
                <w:bCs/>
                <w:sz w:val="20"/>
                <w:lang w:val="fr-FR"/>
              </w:rPr>
            </w:pPr>
            <w:r w:rsidRPr="00E972E8">
              <w:rPr>
                <w:rFonts w:cstheme="minorHAnsi"/>
                <w:b/>
                <w:bCs/>
                <w:sz w:val="20"/>
                <w:lang w:val="fr-FR"/>
              </w:rPr>
              <w:t>E-mail</w:t>
            </w:r>
          </w:p>
        </w:tc>
      </w:tr>
      <w:tr w:rsidR="004B073B" w:rsidRPr="00E972E8" w:rsidTr="00FB4F27">
        <w:tc>
          <w:tcPr>
            <w:tcW w:w="2448" w:type="dxa"/>
          </w:tcPr>
          <w:p w:rsidR="004B073B" w:rsidRPr="0030691F" w:rsidRDefault="004B073B" w:rsidP="00FB4F27">
            <w:pPr>
              <w:jc w:val="center"/>
              <w:rPr>
                <w:rFonts w:cstheme="minorHAnsi"/>
                <w:sz w:val="16"/>
                <w:szCs w:val="16"/>
                <w:lang w:val="fr-FR"/>
              </w:rPr>
            </w:pPr>
            <w:r w:rsidRPr="0030691F">
              <w:rPr>
                <w:rFonts w:cstheme="minorHAnsi"/>
                <w:sz w:val="16"/>
                <w:szCs w:val="16"/>
                <w:lang w:val="fr-FR"/>
              </w:rPr>
              <w:t>&lt;</w:t>
            </w:r>
            <w:proofErr w:type="spellStart"/>
            <w:r w:rsidRPr="0030691F">
              <w:rPr>
                <w:rFonts w:cstheme="minorHAnsi"/>
                <w:sz w:val="16"/>
                <w:szCs w:val="16"/>
                <w:lang w:val="fr-FR"/>
              </w:rPr>
              <w:t>Each</w:t>
            </w:r>
            <w:proofErr w:type="spellEnd"/>
            <w:r w:rsidRPr="0030691F">
              <w:rPr>
                <w:rFonts w:cstheme="minorHAnsi"/>
                <w:sz w:val="16"/>
                <w:szCs w:val="16"/>
                <w:lang w:val="fr-FR"/>
              </w:rPr>
              <w:t xml:space="preserve"> </w:t>
            </w:r>
            <w:proofErr w:type="spellStart"/>
            <w:r>
              <w:rPr>
                <w:rFonts w:cstheme="minorHAnsi"/>
                <w:sz w:val="16"/>
                <w:szCs w:val="16"/>
                <w:lang w:val="fr-FR"/>
              </w:rPr>
              <w:t>Regional</w:t>
            </w:r>
            <w:proofErr w:type="spellEnd"/>
            <w:r w:rsidRPr="0030691F">
              <w:rPr>
                <w:rFonts w:cstheme="minorHAnsi"/>
                <w:sz w:val="16"/>
                <w:szCs w:val="16"/>
                <w:lang w:val="fr-FR"/>
              </w:rPr>
              <w:t xml:space="preserve"> has 3 </w:t>
            </w:r>
            <w:proofErr w:type="spellStart"/>
            <w:r w:rsidRPr="0030691F">
              <w:rPr>
                <w:rFonts w:cstheme="minorHAnsi"/>
                <w:sz w:val="16"/>
                <w:szCs w:val="16"/>
                <w:lang w:val="fr-FR"/>
              </w:rPr>
              <w:t>volunteers</w:t>
            </w:r>
            <w:proofErr w:type="spellEnd"/>
            <w:r w:rsidRPr="0030691F">
              <w:rPr>
                <w:rFonts w:cstheme="minorHAnsi"/>
                <w:sz w:val="16"/>
                <w:szCs w:val="16"/>
                <w:lang w:val="fr-FR"/>
              </w:rPr>
              <w:t>&gt;</w:t>
            </w:r>
          </w:p>
        </w:tc>
        <w:tc>
          <w:tcPr>
            <w:tcW w:w="3150" w:type="dxa"/>
          </w:tcPr>
          <w:p w:rsidR="004B073B" w:rsidRPr="00E972E8" w:rsidRDefault="00A93DA5" w:rsidP="00FB4F27">
            <w:pPr>
              <w:rPr>
                <w:rFonts w:cstheme="minorHAnsi"/>
                <w:sz w:val="20"/>
                <w:lang w:val="fr-FR"/>
              </w:rPr>
            </w:pPr>
            <w:hyperlink r:id="rId7" w:history="1">
              <w:r w:rsidR="004B073B" w:rsidRPr="003F4CEE">
                <w:rPr>
                  <w:rFonts w:cs="Calibri"/>
                  <w:sz w:val="20"/>
                </w:rPr>
                <w:t>Texas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color w:val="000000"/>
                <w:sz w:val="20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E972E8" w:rsidRDefault="00A93DA5" w:rsidP="00FB4F27">
            <w:pPr>
              <w:rPr>
                <w:rFonts w:cstheme="minorHAnsi"/>
                <w:sz w:val="20"/>
                <w:lang w:val="fr-FR"/>
              </w:rPr>
            </w:pPr>
            <w:hyperlink r:id="rId8" w:history="1">
              <w:r w:rsidR="004B073B" w:rsidRPr="003F4CEE">
                <w:rPr>
                  <w:rFonts w:cs="Calibri"/>
                  <w:sz w:val="20"/>
                </w:rPr>
                <w:t>Texas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E972E8" w:rsidRDefault="00A93DA5" w:rsidP="00FB4F27">
            <w:pPr>
              <w:rPr>
                <w:rFonts w:cstheme="minorHAnsi"/>
                <w:sz w:val="20"/>
                <w:lang w:val="fr-FR"/>
              </w:rPr>
            </w:pPr>
            <w:hyperlink r:id="rId9" w:history="1">
              <w:r w:rsidR="004B073B" w:rsidRPr="003F4CEE">
                <w:rPr>
                  <w:rFonts w:cs="Calibri"/>
                  <w:sz w:val="20"/>
                </w:rPr>
                <w:t>Texas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color w:val="000000"/>
                <w:sz w:val="20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E972E8" w:rsidRDefault="00A93DA5" w:rsidP="00FB4F27">
            <w:pPr>
              <w:rPr>
                <w:rFonts w:cstheme="minorHAnsi"/>
                <w:sz w:val="20"/>
                <w:lang w:val="fr-FR"/>
              </w:rPr>
            </w:pPr>
            <w:hyperlink r:id="rId10" w:history="1">
              <w:r w:rsidR="004B073B" w:rsidRPr="0072006C">
                <w:rPr>
                  <w:rFonts w:cs="Calibri"/>
                  <w:sz w:val="20"/>
                </w:rPr>
                <w:t>South’s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color w:val="000000"/>
                <w:sz w:val="20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color w:val="000000"/>
                <w:sz w:val="20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E972E8" w:rsidRDefault="00A93DA5" w:rsidP="00FB4F27">
            <w:pPr>
              <w:rPr>
                <w:rFonts w:cstheme="minorHAnsi"/>
                <w:sz w:val="20"/>
                <w:lang w:val="fr-FR"/>
              </w:rPr>
            </w:pPr>
            <w:hyperlink r:id="rId11" w:history="1">
              <w:r w:rsidR="004B073B" w:rsidRPr="0072006C">
                <w:rPr>
                  <w:rFonts w:cs="Calibri"/>
                  <w:sz w:val="20"/>
                </w:rPr>
                <w:t>South’s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72006C" w:rsidRDefault="00A93DA5" w:rsidP="00FB4F27">
            <w:pPr>
              <w:rPr>
                <w:rFonts w:cs="Calibri"/>
                <w:sz w:val="20"/>
              </w:rPr>
            </w:pPr>
            <w:hyperlink r:id="rId12" w:history="1">
              <w:r w:rsidR="004B073B" w:rsidRPr="0072006C">
                <w:rPr>
                  <w:rFonts w:cs="Calibri"/>
                  <w:sz w:val="20"/>
                </w:rPr>
                <w:t>South’s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72006C" w:rsidRDefault="00A93DA5" w:rsidP="00FB4F27">
            <w:pPr>
              <w:rPr>
                <w:rFonts w:cs="Calibri"/>
                <w:sz w:val="20"/>
              </w:rPr>
            </w:pPr>
            <w:hyperlink r:id="rId13" w:history="1">
              <w:r w:rsidR="004B073B" w:rsidRPr="0072006C">
                <w:rPr>
                  <w:rFonts w:cs="Calibri"/>
                  <w:sz w:val="20"/>
                </w:rPr>
                <w:t>Northern Plains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72006C" w:rsidRDefault="00A93DA5" w:rsidP="00FB4F27">
            <w:pPr>
              <w:rPr>
                <w:rFonts w:cs="Calibri"/>
                <w:sz w:val="20"/>
              </w:rPr>
            </w:pPr>
            <w:hyperlink r:id="rId14" w:history="1">
              <w:r w:rsidR="004B073B" w:rsidRPr="0072006C">
                <w:rPr>
                  <w:rFonts w:cs="Calibri"/>
                  <w:sz w:val="20"/>
                </w:rPr>
                <w:t>Northern Plains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72006C" w:rsidRDefault="00A93DA5" w:rsidP="00FB4F27">
            <w:pPr>
              <w:rPr>
                <w:rFonts w:cs="Calibri"/>
                <w:sz w:val="20"/>
              </w:rPr>
            </w:pPr>
            <w:hyperlink r:id="rId15" w:history="1">
              <w:r w:rsidR="004B073B" w:rsidRPr="0072006C">
                <w:rPr>
                  <w:rFonts w:cs="Calibri"/>
                  <w:sz w:val="20"/>
                </w:rPr>
                <w:t>Northern Plains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72006C" w:rsidRDefault="00A93DA5" w:rsidP="00FB4F27">
            <w:pPr>
              <w:rPr>
                <w:rFonts w:cs="Calibri"/>
                <w:sz w:val="20"/>
              </w:rPr>
            </w:pPr>
            <w:hyperlink r:id="rId16" w:history="1">
              <w:r w:rsidR="004B073B" w:rsidRPr="0072006C">
                <w:rPr>
                  <w:rFonts w:cs="Calibri"/>
                  <w:sz w:val="20"/>
                </w:rPr>
                <w:t>Frontier Trails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72006C" w:rsidRDefault="00A93DA5" w:rsidP="00FB4F27">
            <w:pPr>
              <w:rPr>
                <w:rFonts w:cs="Calibri"/>
                <w:sz w:val="20"/>
              </w:rPr>
            </w:pPr>
            <w:hyperlink r:id="rId17" w:history="1">
              <w:r w:rsidR="004B073B" w:rsidRPr="0072006C">
                <w:rPr>
                  <w:rFonts w:cs="Calibri"/>
                  <w:sz w:val="20"/>
                </w:rPr>
                <w:t>Frontier Trails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  <w:tr w:rsidR="004B073B" w:rsidRPr="00E972E8" w:rsidTr="00FB4F27">
        <w:tc>
          <w:tcPr>
            <w:tcW w:w="2448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3150" w:type="dxa"/>
          </w:tcPr>
          <w:p w:rsidR="004B073B" w:rsidRPr="0072006C" w:rsidRDefault="00A93DA5" w:rsidP="00FB4F27">
            <w:pPr>
              <w:rPr>
                <w:rFonts w:cs="Calibri"/>
                <w:sz w:val="20"/>
              </w:rPr>
            </w:pPr>
            <w:hyperlink r:id="rId18" w:history="1">
              <w:r w:rsidR="004B073B" w:rsidRPr="0072006C">
                <w:rPr>
                  <w:rFonts w:cs="Calibri"/>
                  <w:sz w:val="20"/>
                </w:rPr>
                <w:t>Frontier Trails BEST Championship</w:t>
              </w:r>
            </w:hyperlink>
          </w:p>
        </w:tc>
        <w:tc>
          <w:tcPr>
            <w:tcW w:w="180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  <w:tc>
          <w:tcPr>
            <w:tcW w:w="2160" w:type="dxa"/>
          </w:tcPr>
          <w:p w:rsidR="004B073B" w:rsidRPr="00E972E8" w:rsidRDefault="004B073B" w:rsidP="00FB4F27">
            <w:pPr>
              <w:rPr>
                <w:rFonts w:cstheme="minorHAnsi"/>
                <w:sz w:val="20"/>
                <w:lang w:val="fr-FR"/>
              </w:rPr>
            </w:pPr>
          </w:p>
        </w:tc>
      </w:tr>
    </w:tbl>
    <w:p w:rsidR="004B073B" w:rsidRDefault="004B073B" w:rsidP="004B073B"/>
    <w:p w:rsidR="002A3646" w:rsidRDefault="002A3646" w:rsidP="004B073B"/>
    <w:p w:rsidR="002A3646" w:rsidRDefault="002A3646" w:rsidP="004B073B"/>
    <w:p w:rsidR="002A3646" w:rsidRDefault="002A3646" w:rsidP="004B073B"/>
    <w:p w:rsidR="00ED01EF" w:rsidRDefault="00ED01EF" w:rsidP="004B073B"/>
    <w:p w:rsidR="002A3646" w:rsidRDefault="002A3646" w:rsidP="004B073B"/>
    <w:p w:rsidR="00473A53" w:rsidRPr="00505CAF" w:rsidRDefault="00FC7B84">
      <w:pPr>
        <w:rPr>
          <w:b/>
          <w:sz w:val="24"/>
        </w:rPr>
      </w:pPr>
      <w:r w:rsidRPr="00505CAF">
        <w:rPr>
          <w:b/>
          <w:sz w:val="24"/>
        </w:rPr>
        <w:t xml:space="preserve">Judging </w:t>
      </w:r>
      <w:r w:rsidR="00F4702D">
        <w:rPr>
          <w:b/>
          <w:sz w:val="24"/>
        </w:rPr>
        <w:t>I</w:t>
      </w:r>
      <w:r w:rsidR="00505CAF" w:rsidRPr="00505CAF">
        <w:rPr>
          <w:b/>
          <w:sz w:val="24"/>
        </w:rPr>
        <w:t>nstructions</w:t>
      </w:r>
    </w:p>
    <w:p w:rsidR="004B073B" w:rsidRPr="000D7649" w:rsidRDefault="002A3646" w:rsidP="00ED01EF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The </w:t>
      </w:r>
      <w:r w:rsidR="004B073B" w:rsidRPr="002A3646">
        <w:t>submission</w:t>
      </w:r>
      <w:r>
        <w:t xml:space="preserve"> deadline</w:t>
      </w:r>
      <w:r w:rsidR="004B073B" w:rsidRPr="002A3646">
        <w:t xml:space="preserve"> for </w:t>
      </w:r>
      <w:r>
        <w:t>team</w:t>
      </w:r>
      <w:r w:rsidR="004A7D9F">
        <w:t>s</w:t>
      </w:r>
      <w:r>
        <w:t xml:space="preserve"> </w:t>
      </w:r>
      <w:r w:rsidR="004B073B" w:rsidRPr="002A3646">
        <w:t xml:space="preserve">is </w:t>
      </w:r>
      <w:r w:rsidR="000D7649" w:rsidRPr="000D7649">
        <w:t xml:space="preserve">the following for each region </w:t>
      </w:r>
      <w:r w:rsidR="000D7649">
        <w:rPr>
          <w:b/>
          <w:color w:val="FF0000"/>
        </w:rPr>
        <w:t>before 11 PM local time:</w:t>
      </w:r>
    </w:p>
    <w:p w:rsidR="000D7649" w:rsidRPr="000D7649" w:rsidRDefault="000D7649" w:rsidP="000D7649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sz w:val="20"/>
          <w:szCs w:val="20"/>
        </w:rPr>
      </w:pPr>
      <w:r w:rsidRPr="000D7649">
        <w:rPr>
          <w:rFonts w:cstheme="minorHAnsi"/>
          <w:b/>
          <w:sz w:val="20"/>
          <w:szCs w:val="20"/>
        </w:rPr>
        <w:t xml:space="preserve">Texas BEST– 11/02/2014 </w:t>
      </w:r>
    </w:p>
    <w:p w:rsidR="000D7649" w:rsidRPr="000D7649" w:rsidRDefault="000D7649" w:rsidP="000D7649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sz w:val="20"/>
          <w:szCs w:val="20"/>
        </w:rPr>
      </w:pPr>
      <w:r w:rsidRPr="000D7649">
        <w:rPr>
          <w:rFonts w:cstheme="minorHAnsi"/>
          <w:b/>
          <w:sz w:val="20"/>
          <w:szCs w:val="20"/>
        </w:rPr>
        <w:t>Frontier Trails BEST– 1</w:t>
      </w:r>
      <w:r w:rsidR="00227705">
        <w:rPr>
          <w:rFonts w:cstheme="minorHAnsi"/>
          <w:b/>
          <w:sz w:val="20"/>
          <w:szCs w:val="20"/>
        </w:rPr>
        <w:t>1</w:t>
      </w:r>
      <w:r w:rsidRPr="000D7649">
        <w:rPr>
          <w:rFonts w:cstheme="minorHAnsi"/>
          <w:b/>
          <w:sz w:val="20"/>
          <w:szCs w:val="20"/>
        </w:rPr>
        <w:t>/</w:t>
      </w:r>
      <w:r w:rsidR="00227705">
        <w:rPr>
          <w:rFonts w:cstheme="minorHAnsi"/>
          <w:b/>
          <w:sz w:val="20"/>
          <w:szCs w:val="20"/>
        </w:rPr>
        <w:t>30</w:t>
      </w:r>
      <w:r w:rsidRPr="000D7649">
        <w:rPr>
          <w:rFonts w:cstheme="minorHAnsi"/>
          <w:b/>
          <w:sz w:val="20"/>
          <w:szCs w:val="20"/>
        </w:rPr>
        <w:t>/2014</w:t>
      </w:r>
    </w:p>
    <w:p w:rsidR="000D7649" w:rsidRPr="000D7649" w:rsidRDefault="000D7649" w:rsidP="000D7649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sz w:val="20"/>
          <w:szCs w:val="20"/>
        </w:rPr>
      </w:pPr>
      <w:r w:rsidRPr="000D7649">
        <w:rPr>
          <w:rFonts w:cstheme="minorHAnsi"/>
          <w:b/>
          <w:sz w:val="20"/>
          <w:szCs w:val="20"/>
        </w:rPr>
        <w:t>Northern Plains BEST -   </w:t>
      </w:r>
      <w:r w:rsidR="00227705" w:rsidRPr="000D7649">
        <w:rPr>
          <w:rFonts w:cstheme="minorHAnsi"/>
          <w:b/>
          <w:sz w:val="20"/>
          <w:szCs w:val="20"/>
        </w:rPr>
        <w:t>1</w:t>
      </w:r>
      <w:r w:rsidR="00227705">
        <w:rPr>
          <w:rFonts w:cstheme="minorHAnsi"/>
          <w:b/>
          <w:sz w:val="20"/>
          <w:szCs w:val="20"/>
        </w:rPr>
        <w:t>1</w:t>
      </w:r>
      <w:r w:rsidR="00227705" w:rsidRPr="000D7649">
        <w:rPr>
          <w:rFonts w:cstheme="minorHAnsi"/>
          <w:b/>
          <w:sz w:val="20"/>
          <w:szCs w:val="20"/>
        </w:rPr>
        <w:t>/</w:t>
      </w:r>
      <w:r w:rsidR="00227705">
        <w:rPr>
          <w:rFonts w:cstheme="minorHAnsi"/>
          <w:b/>
          <w:sz w:val="20"/>
          <w:szCs w:val="20"/>
        </w:rPr>
        <w:t>30</w:t>
      </w:r>
      <w:r w:rsidR="00227705" w:rsidRPr="000D7649">
        <w:rPr>
          <w:rFonts w:cstheme="minorHAnsi"/>
          <w:b/>
          <w:sz w:val="20"/>
          <w:szCs w:val="20"/>
        </w:rPr>
        <w:t>/2014</w:t>
      </w:r>
    </w:p>
    <w:p w:rsidR="000D7649" w:rsidRPr="000D7649" w:rsidRDefault="000D7649" w:rsidP="000D7649">
      <w:pPr>
        <w:pStyle w:val="ListParagraph"/>
        <w:numPr>
          <w:ilvl w:val="1"/>
          <w:numId w:val="1"/>
        </w:numPr>
        <w:spacing w:after="0"/>
        <w:jc w:val="both"/>
        <w:rPr>
          <w:rFonts w:cstheme="minorHAnsi"/>
          <w:b/>
          <w:sz w:val="20"/>
          <w:szCs w:val="20"/>
        </w:rPr>
      </w:pPr>
      <w:r w:rsidRPr="000D7649">
        <w:rPr>
          <w:rFonts w:cstheme="minorHAnsi"/>
          <w:b/>
          <w:sz w:val="20"/>
          <w:szCs w:val="20"/>
        </w:rPr>
        <w:t>South’s BEST –</w:t>
      </w:r>
      <w:r w:rsidR="00227705">
        <w:rPr>
          <w:rFonts w:cstheme="minorHAnsi"/>
          <w:b/>
          <w:sz w:val="20"/>
          <w:szCs w:val="20"/>
        </w:rPr>
        <w:t xml:space="preserve"> </w:t>
      </w:r>
      <w:r w:rsidR="00227705" w:rsidRPr="000D7649">
        <w:rPr>
          <w:rFonts w:cstheme="minorHAnsi"/>
          <w:b/>
          <w:sz w:val="20"/>
          <w:szCs w:val="20"/>
        </w:rPr>
        <w:t>1</w:t>
      </w:r>
      <w:r w:rsidR="00227705">
        <w:rPr>
          <w:rFonts w:cstheme="minorHAnsi"/>
          <w:b/>
          <w:sz w:val="20"/>
          <w:szCs w:val="20"/>
        </w:rPr>
        <w:t>1</w:t>
      </w:r>
      <w:r w:rsidR="00227705" w:rsidRPr="000D7649">
        <w:rPr>
          <w:rFonts w:cstheme="minorHAnsi"/>
          <w:b/>
          <w:sz w:val="20"/>
          <w:szCs w:val="20"/>
        </w:rPr>
        <w:t>/</w:t>
      </w:r>
      <w:r w:rsidR="00227705">
        <w:rPr>
          <w:rFonts w:cstheme="minorHAnsi"/>
          <w:b/>
          <w:sz w:val="20"/>
          <w:szCs w:val="20"/>
        </w:rPr>
        <w:t>30</w:t>
      </w:r>
      <w:r w:rsidR="00227705" w:rsidRPr="000D7649">
        <w:rPr>
          <w:rFonts w:cstheme="minorHAnsi"/>
          <w:b/>
          <w:sz w:val="20"/>
          <w:szCs w:val="20"/>
        </w:rPr>
        <w:t>/2014</w:t>
      </w:r>
    </w:p>
    <w:p w:rsidR="004B073B" w:rsidRPr="002A3646" w:rsidRDefault="004B073B" w:rsidP="00ED01EF">
      <w:pPr>
        <w:pStyle w:val="ListParagraph"/>
        <w:numPr>
          <w:ilvl w:val="0"/>
          <w:numId w:val="1"/>
        </w:numPr>
        <w:spacing w:after="0"/>
        <w:ind w:left="360"/>
      </w:pPr>
      <w:r w:rsidRPr="002A3646">
        <w:t>Entries from all teams will be available</w:t>
      </w:r>
      <w:r w:rsidR="004A7D9F">
        <w:t xml:space="preserve"> online</w:t>
      </w:r>
      <w:r w:rsidRPr="002A3646">
        <w:t xml:space="preserve"> </w:t>
      </w:r>
      <w:r w:rsidR="004A7D9F">
        <w:t xml:space="preserve">at </w:t>
      </w:r>
      <w:hyperlink r:id="rId19" w:history="1">
        <w:r w:rsidR="00F4702D" w:rsidRPr="00AA0239">
          <w:rPr>
            <w:rStyle w:val="Hyperlink"/>
          </w:rPr>
          <w:t>http://www.bestinc.org/simulink_judging.php</w:t>
        </w:r>
      </w:hyperlink>
      <w:r w:rsidR="00F4702D">
        <w:t xml:space="preserve">. </w:t>
      </w:r>
      <w:r w:rsidR="00654134">
        <w:t>The Regional Judging C</w:t>
      </w:r>
      <w:r w:rsidRPr="002A3646">
        <w:t xml:space="preserve">oordinator will </w:t>
      </w:r>
      <w:r w:rsidR="00F4702D">
        <w:t xml:space="preserve">provide </w:t>
      </w:r>
      <w:r w:rsidRPr="002A3646">
        <w:t xml:space="preserve">judges with </w:t>
      </w:r>
      <w:r w:rsidR="00F4702D">
        <w:t xml:space="preserve">the necessary credentials to </w:t>
      </w:r>
      <w:r w:rsidRPr="002A3646">
        <w:t xml:space="preserve">access </w:t>
      </w:r>
      <w:r w:rsidR="00654134">
        <w:t xml:space="preserve">and score </w:t>
      </w:r>
      <w:r w:rsidR="00F4702D">
        <w:t xml:space="preserve">the </w:t>
      </w:r>
      <w:r w:rsidRPr="002A3646">
        <w:t xml:space="preserve">entries for their respective regions. </w:t>
      </w:r>
    </w:p>
    <w:p w:rsidR="009A5771" w:rsidRDefault="004B073B" w:rsidP="00ED01EF">
      <w:pPr>
        <w:pStyle w:val="ListParagraph"/>
        <w:numPr>
          <w:ilvl w:val="0"/>
          <w:numId w:val="1"/>
        </w:numPr>
        <w:spacing w:after="0"/>
        <w:ind w:left="360"/>
      </w:pPr>
      <w:r w:rsidRPr="002A3646">
        <w:t xml:space="preserve">Judges will be provided with an online presentation on Simulink basics by Sandeep Hiremath from MathWorks before starting the judging </w:t>
      </w:r>
      <w:r w:rsidRPr="00505CAF">
        <w:t>process</w:t>
      </w:r>
      <w:r w:rsidR="009A5771" w:rsidRPr="00505CAF">
        <w:t xml:space="preserve"> around </w:t>
      </w:r>
      <w:r w:rsidR="009A5771" w:rsidRPr="00654134">
        <w:rPr>
          <w:b/>
          <w:color w:val="FF0000"/>
        </w:rPr>
        <w:t>mid-October</w:t>
      </w:r>
      <w:r w:rsidR="00505CAF" w:rsidRPr="00654134">
        <w:rPr>
          <w:b/>
          <w:color w:val="FF0000"/>
        </w:rPr>
        <w:t xml:space="preserve"> (the </w:t>
      </w:r>
      <w:r w:rsidR="00506D3C">
        <w:rPr>
          <w:b/>
          <w:color w:val="FF0000"/>
        </w:rPr>
        <w:t xml:space="preserve">exact </w:t>
      </w:r>
      <w:r w:rsidR="00505CAF" w:rsidRPr="00654134">
        <w:rPr>
          <w:b/>
          <w:color w:val="FF0000"/>
        </w:rPr>
        <w:t>date will be announced</w:t>
      </w:r>
      <w:r w:rsidR="00506D3C">
        <w:rPr>
          <w:b/>
          <w:color w:val="FF0000"/>
        </w:rPr>
        <w:t xml:space="preserve"> no later than Oct 1st</w:t>
      </w:r>
      <w:r w:rsidR="00505CAF" w:rsidRPr="00654134">
        <w:rPr>
          <w:b/>
          <w:color w:val="FF0000"/>
        </w:rPr>
        <w:t>)</w:t>
      </w:r>
      <w:r w:rsidRPr="002A3646">
        <w:t xml:space="preserve">. </w:t>
      </w:r>
      <w:r w:rsidR="002A3646" w:rsidRPr="002A3646">
        <w:t>You can also contact Sandeep</w:t>
      </w:r>
      <w:r w:rsidR="00506D3C">
        <w:t xml:space="preserve"> Hiremath</w:t>
      </w:r>
      <w:r w:rsidR="002A3646" w:rsidRPr="002A3646">
        <w:t xml:space="preserve"> </w:t>
      </w:r>
      <w:r w:rsidR="004A7D9F">
        <w:t>(</w:t>
      </w:r>
      <w:hyperlink r:id="rId20" w:history="1">
        <w:r w:rsidR="004A7D9F" w:rsidRPr="00AE1ECF">
          <w:rPr>
            <w:rStyle w:val="Hyperlink"/>
          </w:rPr>
          <w:t>sandeep.hiremath@mathworks.com</w:t>
        </w:r>
      </w:hyperlink>
      <w:r w:rsidR="004A7D9F">
        <w:t>)</w:t>
      </w:r>
      <w:r w:rsidR="00506D3C">
        <w:t xml:space="preserve"> </w:t>
      </w:r>
      <w:r w:rsidR="002A3646" w:rsidRPr="002A3646">
        <w:t>with any questions or concerns during the judging process.</w:t>
      </w:r>
      <w:r w:rsidR="009A5771">
        <w:t xml:space="preserve"> </w:t>
      </w:r>
    </w:p>
    <w:p w:rsidR="00FC7B84" w:rsidRPr="002A3646" w:rsidRDefault="009A5771" w:rsidP="00ED01EF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Judges are required to install Simulink on a personal machine and have it ready </w:t>
      </w:r>
      <w:r w:rsidRPr="00654134">
        <w:rPr>
          <w:b/>
          <w:color w:val="FF0000"/>
        </w:rPr>
        <w:t xml:space="preserve">before Nov </w:t>
      </w:r>
      <w:r w:rsidR="000D7649">
        <w:rPr>
          <w:b/>
          <w:color w:val="FF0000"/>
        </w:rPr>
        <w:t>1</w:t>
      </w:r>
      <w:r w:rsidR="000D7649" w:rsidRPr="000D7649">
        <w:rPr>
          <w:b/>
          <w:color w:val="FF0000"/>
          <w:vertAlign w:val="superscript"/>
        </w:rPr>
        <w:t>st</w:t>
      </w:r>
      <w:r w:rsidR="000D7649">
        <w:rPr>
          <w:b/>
          <w:color w:val="FF0000"/>
        </w:rPr>
        <w:t xml:space="preserve"> </w:t>
      </w:r>
      <w:r w:rsidRPr="00654134">
        <w:rPr>
          <w:b/>
          <w:color w:val="FF0000"/>
        </w:rPr>
        <w:t>201</w:t>
      </w:r>
      <w:r w:rsidR="008830A2">
        <w:rPr>
          <w:b/>
          <w:color w:val="FF0000"/>
        </w:rPr>
        <w:t>4</w:t>
      </w:r>
      <w:r>
        <w:t xml:space="preserve">. </w:t>
      </w:r>
    </w:p>
    <w:p w:rsidR="004B073B" w:rsidRDefault="002A3646" w:rsidP="00ED01EF">
      <w:pPr>
        <w:pStyle w:val="ListParagraph"/>
        <w:numPr>
          <w:ilvl w:val="0"/>
          <w:numId w:val="1"/>
        </w:numPr>
        <w:spacing w:after="0"/>
        <w:ind w:left="360"/>
      </w:pPr>
      <w:r w:rsidRPr="00FC7B84">
        <w:t>For each entry, judges should use the judging guidelines and criteria as provided below</w:t>
      </w:r>
      <w:r w:rsidR="00FC7B84">
        <w:t>:</w:t>
      </w:r>
      <w:r w:rsidRPr="00FC7B84">
        <w:t xml:space="preserve">  </w:t>
      </w:r>
    </w:p>
    <w:p w:rsidR="00505CAF" w:rsidRPr="00FC7B84" w:rsidRDefault="00505CAF" w:rsidP="00505CAF">
      <w:pPr>
        <w:spacing w:after="0"/>
      </w:pPr>
    </w:p>
    <w:p w:rsidR="002A3646" w:rsidRPr="00505CAF" w:rsidRDefault="009A5771" w:rsidP="009A5771">
      <w:pPr>
        <w:spacing w:after="0"/>
        <w:jc w:val="both"/>
        <w:rPr>
          <w:rFonts w:cstheme="minorHAnsi"/>
          <w:b/>
          <w:sz w:val="24"/>
          <w:szCs w:val="20"/>
        </w:rPr>
      </w:pPr>
      <w:r w:rsidRPr="00505CAF">
        <w:rPr>
          <w:rFonts w:cstheme="minorHAnsi"/>
          <w:b/>
          <w:sz w:val="24"/>
          <w:szCs w:val="20"/>
        </w:rPr>
        <w:t xml:space="preserve">    </w:t>
      </w:r>
      <w:r w:rsidR="00F4702D">
        <w:rPr>
          <w:rFonts w:cstheme="minorHAnsi"/>
          <w:b/>
          <w:sz w:val="24"/>
          <w:szCs w:val="20"/>
        </w:rPr>
        <w:t>Entry</w:t>
      </w:r>
      <w:r w:rsidR="002A3646" w:rsidRPr="00505CAF">
        <w:rPr>
          <w:rFonts w:cstheme="minorHAnsi"/>
          <w:b/>
          <w:sz w:val="24"/>
          <w:szCs w:val="20"/>
        </w:rPr>
        <w:t xml:space="preserve"> Guidelines</w:t>
      </w:r>
    </w:p>
    <w:p w:rsidR="002A3646" w:rsidRPr="00505CAF" w:rsidRDefault="009A5771" w:rsidP="002A3646">
      <w:p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 xml:space="preserve">    </w:t>
      </w:r>
      <w:r w:rsidR="002A3646" w:rsidRPr="00505CAF">
        <w:rPr>
          <w:rFonts w:cstheme="minorHAnsi"/>
          <w:szCs w:val="20"/>
        </w:rPr>
        <w:t>Ensure that each entry meets these guidelines:</w:t>
      </w:r>
    </w:p>
    <w:p w:rsidR="002A3646" w:rsidRPr="00505CAF" w:rsidRDefault="002A3646" w:rsidP="002A364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 xml:space="preserve">One entry per team is allowed. </w:t>
      </w:r>
    </w:p>
    <w:p w:rsidR="002A3646" w:rsidRPr="00505CAF" w:rsidRDefault="002A3646" w:rsidP="002A364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 xml:space="preserve">All teams can participate for the award within their region. There will 1 winner per region. </w:t>
      </w:r>
    </w:p>
    <w:p w:rsidR="002A3646" w:rsidRPr="00505CAF" w:rsidRDefault="002A3646" w:rsidP="002A364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>Every entry should include the following:</w:t>
      </w:r>
    </w:p>
    <w:p w:rsidR="002A3646" w:rsidRPr="00505CAF" w:rsidRDefault="002A3646" w:rsidP="002A3646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>1 Simulink model file</w:t>
      </w:r>
    </w:p>
    <w:p w:rsidR="002A3646" w:rsidRPr="00505CAF" w:rsidRDefault="002A3646" w:rsidP="002A3646">
      <w:pPr>
        <w:pStyle w:val="ListParagraph"/>
        <w:numPr>
          <w:ilvl w:val="1"/>
          <w:numId w:val="2"/>
        </w:num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>1 video link (use YouTube only</w:t>
      </w:r>
      <w:r w:rsidR="00505CAF" w:rsidRPr="00505CAF">
        <w:rPr>
          <w:rFonts w:cstheme="minorHAnsi"/>
          <w:szCs w:val="20"/>
        </w:rPr>
        <w:t xml:space="preserve"> [3 minutes max]</w:t>
      </w:r>
    </w:p>
    <w:p w:rsidR="002A3646" w:rsidRPr="00505CAF" w:rsidRDefault="002A3646" w:rsidP="002A364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>Robot program design should be in Simulink</w:t>
      </w:r>
      <w:r w:rsidR="004A7D9F" w:rsidRPr="00505CAF">
        <w:rPr>
          <w:rFonts w:cstheme="minorHAnsi"/>
          <w:szCs w:val="20"/>
        </w:rPr>
        <w:t xml:space="preserve"> (*</w:t>
      </w:r>
      <w:r w:rsidR="00654134">
        <w:rPr>
          <w:rFonts w:cstheme="minorHAnsi"/>
          <w:szCs w:val="20"/>
        </w:rPr>
        <w:t>.</w:t>
      </w:r>
      <w:proofErr w:type="spellStart"/>
      <w:r w:rsidR="00654134">
        <w:rPr>
          <w:rFonts w:cstheme="minorHAnsi"/>
          <w:szCs w:val="20"/>
        </w:rPr>
        <w:t>slx</w:t>
      </w:r>
      <w:proofErr w:type="spellEnd"/>
      <w:r w:rsidR="00654134">
        <w:rPr>
          <w:rFonts w:cstheme="minorHAnsi"/>
          <w:szCs w:val="20"/>
        </w:rPr>
        <w:t xml:space="preserve"> or *</w:t>
      </w:r>
      <w:r w:rsidR="004A7D9F" w:rsidRPr="00505CAF">
        <w:rPr>
          <w:rFonts w:cstheme="minorHAnsi"/>
          <w:szCs w:val="20"/>
        </w:rPr>
        <w:t>.mdl)</w:t>
      </w:r>
      <w:r w:rsidRPr="00505CAF">
        <w:rPr>
          <w:rFonts w:cstheme="minorHAnsi"/>
          <w:szCs w:val="20"/>
        </w:rPr>
        <w:t xml:space="preserve">. Submissions of programs designed using other software </w:t>
      </w:r>
      <w:r w:rsidRPr="00654134">
        <w:rPr>
          <w:rFonts w:cstheme="minorHAnsi"/>
          <w:szCs w:val="20"/>
        </w:rPr>
        <w:t>will not be accepted</w:t>
      </w:r>
      <w:r w:rsidRPr="00505CAF">
        <w:rPr>
          <w:rFonts w:cstheme="minorHAnsi"/>
          <w:szCs w:val="20"/>
        </w:rPr>
        <w:t xml:space="preserve">. The submitted Simulink file should not be a pre-built example model or the default program. It should be </w:t>
      </w:r>
      <w:r w:rsidR="00654134">
        <w:rPr>
          <w:rFonts w:cstheme="minorHAnsi"/>
          <w:szCs w:val="20"/>
        </w:rPr>
        <w:t xml:space="preserve">a unique </w:t>
      </w:r>
      <w:r w:rsidRPr="00505CAF">
        <w:rPr>
          <w:rFonts w:cstheme="minorHAnsi"/>
          <w:szCs w:val="20"/>
        </w:rPr>
        <w:t>program or a modification of the existing examples or default program.</w:t>
      </w:r>
    </w:p>
    <w:p w:rsidR="002A3646" w:rsidRPr="00505CAF" w:rsidRDefault="002A3646" w:rsidP="002A3646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 xml:space="preserve">The video should be no </w:t>
      </w:r>
      <w:r w:rsidR="004A7D9F" w:rsidRPr="00505CAF">
        <w:rPr>
          <w:rFonts w:cstheme="minorHAnsi"/>
          <w:szCs w:val="20"/>
        </w:rPr>
        <w:t xml:space="preserve">more </w:t>
      </w:r>
      <w:r w:rsidRPr="00505CAF">
        <w:rPr>
          <w:rFonts w:cstheme="minorHAnsi"/>
          <w:szCs w:val="20"/>
        </w:rPr>
        <w:t>than 3 min</w:t>
      </w:r>
      <w:r w:rsidR="004A7D9F" w:rsidRPr="00505CAF">
        <w:rPr>
          <w:rFonts w:cstheme="minorHAnsi"/>
          <w:szCs w:val="20"/>
        </w:rPr>
        <w:t>ute</w:t>
      </w:r>
      <w:r w:rsidRPr="00505CAF">
        <w:rPr>
          <w:rFonts w:cstheme="minorHAnsi"/>
          <w:szCs w:val="20"/>
        </w:rPr>
        <w:t xml:space="preserve">s </w:t>
      </w:r>
      <w:r w:rsidR="004A7D9F" w:rsidRPr="00505CAF">
        <w:rPr>
          <w:rFonts w:cstheme="minorHAnsi"/>
          <w:szCs w:val="20"/>
        </w:rPr>
        <w:t xml:space="preserve">in length </w:t>
      </w:r>
      <w:r w:rsidRPr="00505CAF">
        <w:rPr>
          <w:rFonts w:cstheme="minorHAnsi"/>
          <w:szCs w:val="20"/>
        </w:rPr>
        <w:t>and include at least a 1.5 min</w:t>
      </w:r>
      <w:r w:rsidR="004A7D9F" w:rsidRPr="00505CAF">
        <w:rPr>
          <w:rFonts w:cstheme="minorHAnsi"/>
          <w:szCs w:val="20"/>
        </w:rPr>
        <w:t>ute</w:t>
      </w:r>
      <w:r w:rsidRPr="00505CAF">
        <w:rPr>
          <w:rFonts w:cstheme="minorHAnsi"/>
          <w:szCs w:val="20"/>
        </w:rPr>
        <w:t xml:space="preserve"> overview about the program design (</w:t>
      </w:r>
      <w:r w:rsidR="004A7D9F" w:rsidRPr="00505CAF">
        <w:rPr>
          <w:rFonts w:cstheme="minorHAnsi"/>
          <w:szCs w:val="20"/>
        </w:rPr>
        <w:t>e</w:t>
      </w:r>
      <w:r w:rsidRPr="00505CAF">
        <w:rPr>
          <w:rFonts w:cstheme="minorHAnsi"/>
          <w:szCs w:val="20"/>
        </w:rPr>
        <w:t>.g. a screencast of the Simulink model with voice over).</w:t>
      </w:r>
    </w:p>
    <w:p w:rsidR="002A3646" w:rsidRPr="00505CAF" w:rsidRDefault="002A3646" w:rsidP="002A3646">
      <w:pPr>
        <w:spacing w:after="0"/>
        <w:jc w:val="both"/>
        <w:rPr>
          <w:rFonts w:cstheme="minorHAnsi"/>
          <w:b/>
          <w:sz w:val="20"/>
          <w:szCs w:val="20"/>
        </w:rPr>
      </w:pPr>
    </w:p>
    <w:p w:rsidR="002A3646" w:rsidRPr="00505CAF" w:rsidRDefault="009A5771" w:rsidP="002A3646">
      <w:pPr>
        <w:spacing w:after="0"/>
        <w:jc w:val="both"/>
        <w:rPr>
          <w:rFonts w:cstheme="minorHAnsi"/>
          <w:b/>
          <w:sz w:val="24"/>
          <w:szCs w:val="20"/>
        </w:rPr>
      </w:pPr>
      <w:r w:rsidRPr="00505CAF">
        <w:rPr>
          <w:rFonts w:cstheme="minorHAnsi"/>
          <w:b/>
          <w:sz w:val="24"/>
          <w:szCs w:val="20"/>
        </w:rPr>
        <w:t xml:space="preserve">     </w:t>
      </w:r>
      <w:r w:rsidR="002A3646" w:rsidRPr="00505CAF">
        <w:rPr>
          <w:rFonts w:cstheme="minorHAnsi"/>
          <w:b/>
          <w:sz w:val="24"/>
          <w:szCs w:val="20"/>
        </w:rPr>
        <w:t>Judging Criteria</w:t>
      </w:r>
    </w:p>
    <w:p w:rsidR="002A3646" w:rsidRPr="00505CAF" w:rsidRDefault="009A5771" w:rsidP="002A3646">
      <w:pPr>
        <w:spacing w:after="0"/>
        <w:jc w:val="both"/>
        <w:rPr>
          <w:rFonts w:cstheme="minorHAnsi"/>
          <w:szCs w:val="20"/>
        </w:rPr>
      </w:pPr>
      <w:r w:rsidRPr="00505CAF">
        <w:rPr>
          <w:rFonts w:cstheme="minorHAnsi"/>
          <w:szCs w:val="20"/>
        </w:rPr>
        <w:t xml:space="preserve">     </w:t>
      </w:r>
      <w:r w:rsidR="002A3646" w:rsidRPr="00505CAF">
        <w:rPr>
          <w:rFonts w:cstheme="minorHAnsi"/>
          <w:szCs w:val="20"/>
        </w:rPr>
        <w:t xml:space="preserve">The award will be given to </w:t>
      </w:r>
      <w:r w:rsidR="00186E89" w:rsidRPr="00505CAF">
        <w:rPr>
          <w:rFonts w:cstheme="minorHAnsi"/>
          <w:szCs w:val="20"/>
        </w:rPr>
        <w:t xml:space="preserve">one </w:t>
      </w:r>
      <w:r w:rsidR="002A3646" w:rsidRPr="00505CAF">
        <w:rPr>
          <w:rFonts w:cstheme="minorHAnsi"/>
          <w:szCs w:val="20"/>
        </w:rPr>
        <w:t xml:space="preserve">team from each region </w:t>
      </w:r>
      <w:r w:rsidR="00186E89" w:rsidRPr="00505CAF">
        <w:rPr>
          <w:rFonts w:cstheme="minorHAnsi"/>
          <w:szCs w:val="20"/>
        </w:rPr>
        <w:t xml:space="preserve">and </w:t>
      </w:r>
      <w:r w:rsidR="00654134">
        <w:rPr>
          <w:rFonts w:cstheme="minorHAnsi"/>
          <w:szCs w:val="20"/>
        </w:rPr>
        <w:t xml:space="preserve">will </w:t>
      </w:r>
      <w:r w:rsidR="00186E89" w:rsidRPr="00505CAF">
        <w:rPr>
          <w:rFonts w:cstheme="minorHAnsi"/>
          <w:szCs w:val="20"/>
        </w:rPr>
        <w:t xml:space="preserve">be </w:t>
      </w:r>
      <w:r w:rsidR="002A3646" w:rsidRPr="00505CAF">
        <w:rPr>
          <w:rFonts w:cstheme="minorHAnsi"/>
          <w:szCs w:val="20"/>
        </w:rPr>
        <w:t>based on the judging</w:t>
      </w:r>
      <w:r w:rsidR="00F4702D">
        <w:rPr>
          <w:rFonts w:cstheme="minorHAnsi"/>
          <w:szCs w:val="20"/>
        </w:rPr>
        <w:t xml:space="preserve"> criteria and robot performance</w:t>
      </w:r>
      <w:r w:rsidRPr="00505CAF">
        <w:rPr>
          <w:rFonts w:cstheme="minorHAnsi"/>
          <w:szCs w:val="20"/>
        </w:rPr>
        <w:t xml:space="preserve"> </w:t>
      </w:r>
      <w:r w:rsidR="002A3646" w:rsidRPr="00505CAF">
        <w:rPr>
          <w:rFonts w:cstheme="minorHAnsi"/>
          <w:szCs w:val="20"/>
        </w:rPr>
        <w:t>in the competition. The following criteria will be used for judging each entry:</w:t>
      </w:r>
    </w:p>
    <w:p w:rsidR="002A3646" w:rsidRPr="00505CAF" w:rsidRDefault="002A3646" w:rsidP="002A3646">
      <w:pPr>
        <w:spacing w:after="0"/>
        <w:jc w:val="both"/>
        <w:rPr>
          <w:rFonts w:cstheme="minorHAnsi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7200"/>
        <w:gridCol w:w="1620"/>
      </w:tblGrid>
      <w:tr w:rsidR="002A3646" w:rsidRPr="00505CAF" w:rsidTr="009A5771">
        <w:trPr>
          <w:trHeight w:val="332"/>
        </w:trPr>
        <w:tc>
          <w:tcPr>
            <w:tcW w:w="7200" w:type="dxa"/>
          </w:tcPr>
          <w:p w:rsidR="002A3646" w:rsidRPr="00505CAF" w:rsidRDefault="002A3646" w:rsidP="002A3646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sz w:val="20"/>
                <w:szCs w:val="20"/>
              </w:rPr>
              <w:t>Simulink Model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A3646" w:rsidRPr="00505CAF" w:rsidTr="009A5771">
        <w:trPr>
          <w:trHeight w:val="368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Creativity- 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>Innovative, creative and original work</w:t>
            </w: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                                                  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5 pts.</w:t>
            </w:r>
          </w:p>
        </w:tc>
      </w:tr>
      <w:tr w:rsidR="002A3646" w:rsidRPr="00505CAF" w:rsidTr="009A5771">
        <w:trPr>
          <w:trHeight w:val="350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 xml:space="preserve">Functionality – 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>Error-free and adheres to the Gatekeeper game tasks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10 pts.</w:t>
            </w:r>
          </w:p>
        </w:tc>
      </w:tr>
      <w:tr w:rsidR="002A3646" w:rsidRPr="00505CAF" w:rsidTr="009A5771">
        <w:trPr>
          <w:trHeight w:val="341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Software Design Practices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– Best practices like commenting, block naming etc.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5 pts.</w:t>
            </w:r>
          </w:p>
        </w:tc>
      </w:tr>
      <w:tr w:rsidR="002A3646" w:rsidRPr="00505CAF" w:rsidTr="009A5771">
        <w:trPr>
          <w:trHeight w:val="539"/>
        </w:trPr>
        <w:tc>
          <w:tcPr>
            <w:tcW w:w="7200" w:type="dxa"/>
          </w:tcPr>
          <w:p w:rsidR="002A3646" w:rsidRPr="00505CAF" w:rsidRDefault="002A3646" w:rsidP="00FB4F27">
            <w:pPr>
              <w:rPr>
                <w:rFonts w:cstheme="minorHAnsi"/>
                <w:color w:val="000000" w:themeColor="text1"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Difficulty and Mastery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– Level of Simulink knowledge demonstrated in executing the tasks                                              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15 pts.</w:t>
            </w:r>
          </w:p>
        </w:tc>
      </w:tr>
      <w:tr w:rsidR="002A3646" w:rsidRPr="00505CAF" w:rsidTr="009A5771"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lastRenderedPageBreak/>
              <w:t xml:space="preserve">Readability  - 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Clean, organized and easy to comprehend                                        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15 pts.</w:t>
            </w:r>
          </w:p>
        </w:tc>
      </w:tr>
      <w:tr w:rsidR="002A3646" w:rsidRPr="00505CAF" w:rsidTr="009A5771">
        <w:tc>
          <w:tcPr>
            <w:tcW w:w="7200" w:type="dxa"/>
          </w:tcPr>
          <w:p w:rsidR="002A3646" w:rsidRPr="00505CAF" w:rsidRDefault="002A3646" w:rsidP="00FB4F27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A3646" w:rsidRPr="00505CAF" w:rsidTr="009A5771">
        <w:trPr>
          <w:trHeight w:val="395"/>
        </w:trPr>
        <w:tc>
          <w:tcPr>
            <w:tcW w:w="7200" w:type="dxa"/>
          </w:tcPr>
          <w:p w:rsidR="002A3646" w:rsidRPr="00505CAF" w:rsidRDefault="002A3646" w:rsidP="002A3646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sz w:val="20"/>
                <w:szCs w:val="20"/>
              </w:rPr>
              <w:t>Short Video (YouTube)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A3646" w:rsidRPr="00505CAF" w:rsidTr="009A5771">
        <w:trPr>
          <w:trHeight w:val="359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Creativity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 - Interesting, innovative and informative                                                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10 pts.</w:t>
            </w:r>
          </w:p>
        </w:tc>
      </w:tr>
      <w:tr w:rsidR="002A3646" w:rsidRPr="00505CAF" w:rsidTr="009A5771">
        <w:trPr>
          <w:trHeight w:val="332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Quality of the video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– Video making process and technical execution                  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5 pts.</w:t>
            </w:r>
          </w:p>
        </w:tc>
      </w:tr>
      <w:tr w:rsidR="002A3646" w:rsidRPr="00505CAF" w:rsidTr="009A5771">
        <w:trPr>
          <w:trHeight w:val="359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Concept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– Engaging, coherent and appropriate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15 pts.</w:t>
            </w:r>
          </w:p>
        </w:tc>
      </w:tr>
      <w:tr w:rsidR="002A3646" w:rsidRPr="00505CAF" w:rsidTr="009A5771">
        <w:trPr>
          <w:trHeight w:val="350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Clarity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– Message is clear and well-communicated                                                  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15 pts.</w:t>
            </w:r>
          </w:p>
        </w:tc>
      </w:tr>
      <w:tr w:rsidR="002A3646" w:rsidRPr="00505CAF" w:rsidTr="009A5771">
        <w:trPr>
          <w:trHeight w:val="359"/>
        </w:trPr>
        <w:tc>
          <w:tcPr>
            <w:tcW w:w="7200" w:type="dxa"/>
          </w:tcPr>
          <w:p w:rsidR="002A3646" w:rsidRPr="00505CAF" w:rsidRDefault="002A3646" w:rsidP="00FB4F27">
            <w:pPr>
              <w:spacing w:line="360" w:lineRule="auto"/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Adherence to Guidelines</w:t>
            </w:r>
            <w:r w:rsidRPr="00505CAF">
              <w:rPr>
                <w:rFonts w:cstheme="minorHAnsi"/>
                <w:color w:val="000000" w:themeColor="text1"/>
                <w:sz w:val="20"/>
                <w:szCs w:val="20"/>
              </w:rPr>
              <w:t xml:space="preserve">  - Video length and content on Simulink usage                  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sz w:val="20"/>
                <w:szCs w:val="20"/>
              </w:rPr>
              <w:t>5 pts.</w:t>
            </w:r>
          </w:p>
        </w:tc>
      </w:tr>
      <w:tr w:rsidR="002A3646" w:rsidRPr="00505CAF" w:rsidTr="009A5771">
        <w:tc>
          <w:tcPr>
            <w:tcW w:w="7200" w:type="dxa"/>
          </w:tcPr>
          <w:p w:rsidR="002A3646" w:rsidRPr="00505CAF" w:rsidRDefault="002A3646" w:rsidP="00FB4F27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</w:p>
        </w:tc>
      </w:tr>
      <w:tr w:rsidR="002A3646" w:rsidRPr="00505CAF" w:rsidTr="009A5771">
        <w:tc>
          <w:tcPr>
            <w:tcW w:w="7200" w:type="dxa"/>
          </w:tcPr>
          <w:p w:rsidR="002A3646" w:rsidRPr="00505CAF" w:rsidRDefault="002A3646" w:rsidP="00FB4F27">
            <w:pPr>
              <w:jc w:val="both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505CAF">
              <w:rPr>
                <w:rFonts w:cstheme="minorHAnsi"/>
                <w:b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620" w:type="dxa"/>
          </w:tcPr>
          <w:p w:rsidR="002A3646" w:rsidRPr="00505CAF" w:rsidRDefault="002A3646" w:rsidP="00FB4F27">
            <w:pPr>
              <w:jc w:val="right"/>
              <w:rPr>
                <w:rFonts w:cstheme="minorHAnsi"/>
                <w:sz w:val="20"/>
                <w:szCs w:val="20"/>
              </w:rPr>
            </w:pPr>
            <w:r w:rsidRPr="00505CAF">
              <w:rPr>
                <w:rFonts w:cstheme="minorHAnsi"/>
                <w:b/>
                <w:sz w:val="20"/>
                <w:szCs w:val="20"/>
              </w:rPr>
              <w:t>100 pts</w:t>
            </w:r>
            <w:r w:rsidRPr="00505CAF">
              <w:rPr>
                <w:rFonts w:cstheme="minorHAnsi"/>
                <w:sz w:val="20"/>
                <w:szCs w:val="20"/>
              </w:rPr>
              <w:t>.</w:t>
            </w:r>
          </w:p>
        </w:tc>
      </w:tr>
    </w:tbl>
    <w:p w:rsidR="00505CAF" w:rsidRDefault="00505CAF">
      <w:pPr>
        <w:rPr>
          <w:b/>
        </w:rPr>
      </w:pPr>
    </w:p>
    <w:p w:rsidR="00FC7B84" w:rsidRPr="00505CAF" w:rsidRDefault="009A5771">
      <w:pPr>
        <w:rPr>
          <w:b/>
          <w:sz w:val="24"/>
        </w:rPr>
      </w:pPr>
      <w:r w:rsidRPr="00505CAF">
        <w:rPr>
          <w:b/>
          <w:sz w:val="24"/>
        </w:rPr>
        <w:t>Scoring Details</w:t>
      </w:r>
    </w:p>
    <w:p w:rsidR="00654134" w:rsidRDefault="00654134" w:rsidP="00ED01EF">
      <w:pPr>
        <w:pStyle w:val="ListParagraph"/>
        <w:numPr>
          <w:ilvl w:val="0"/>
          <w:numId w:val="1"/>
        </w:numPr>
        <w:spacing w:after="0"/>
        <w:ind w:left="360"/>
      </w:pPr>
      <w:r>
        <w:t>Each Judge will assess all entries within their region, unless otherwise instructed by the Regional Judging Coordinator.</w:t>
      </w:r>
    </w:p>
    <w:p w:rsidR="00FC7B84" w:rsidRDefault="00FC7B84" w:rsidP="00ED01EF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Judges will use the official </w:t>
      </w:r>
      <w:r w:rsidR="004016FE">
        <w:t xml:space="preserve">SIMULINK Design </w:t>
      </w:r>
      <w:r>
        <w:t>Scor</w:t>
      </w:r>
      <w:r w:rsidR="004016FE">
        <w:t xml:space="preserve">e </w:t>
      </w:r>
      <w:r>
        <w:t xml:space="preserve">Sheet to record </w:t>
      </w:r>
      <w:r w:rsidR="00186E89">
        <w:t xml:space="preserve">a </w:t>
      </w:r>
      <w:r>
        <w:t>score for every entry in their region</w:t>
      </w:r>
      <w:r w:rsidR="00506D3C">
        <w:t>. The Score</w:t>
      </w:r>
      <w:r w:rsidR="0045609D">
        <w:t xml:space="preserve"> Sheet template is available </w:t>
      </w:r>
      <w:r w:rsidR="008830A2">
        <w:t>along with the 2014</w:t>
      </w:r>
      <w:r w:rsidR="00505CAF">
        <w:t xml:space="preserve"> Awards &amp; Judging documents.</w:t>
      </w:r>
      <w:r w:rsidR="0054565A">
        <w:t xml:space="preserve"> Additionally, scoring through the online Judges portal at </w:t>
      </w:r>
      <w:hyperlink r:id="rId21" w:history="1">
        <w:r w:rsidR="0054565A" w:rsidRPr="00AA0239">
          <w:rPr>
            <w:rStyle w:val="Hyperlink"/>
          </w:rPr>
          <w:t>http://www.bestinc.org/simulink_judging.php</w:t>
        </w:r>
      </w:hyperlink>
      <w:r w:rsidR="0054565A">
        <w:t xml:space="preserve"> may</w:t>
      </w:r>
      <w:r w:rsidR="00654134">
        <w:t xml:space="preserve"> be available (</w:t>
      </w:r>
      <w:r w:rsidR="00654134" w:rsidRPr="00654134">
        <w:rPr>
          <w:b/>
        </w:rPr>
        <w:t>check with your R</w:t>
      </w:r>
      <w:r w:rsidR="0054565A" w:rsidRPr="00654134">
        <w:rPr>
          <w:b/>
        </w:rPr>
        <w:t>egional</w:t>
      </w:r>
      <w:r w:rsidR="00654134" w:rsidRPr="00654134">
        <w:rPr>
          <w:b/>
        </w:rPr>
        <w:t xml:space="preserve"> Judging C</w:t>
      </w:r>
      <w:r w:rsidR="0054565A" w:rsidRPr="00654134">
        <w:rPr>
          <w:b/>
        </w:rPr>
        <w:t>oordinator</w:t>
      </w:r>
      <w:r w:rsidR="0054565A">
        <w:t>).</w:t>
      </w:r>
    </w:p>
    <w:p w:rsidR="009A5771" w:rsidRDefault="00FC7B84" w:rsidP="00ED01EF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Judges will get access to the </w:t>
      </w:r>
      <w:r w:rsidR="0054565A">
        <w:t xml:space="preserve">online </w:t>
      </w:r>
      <w:r w:rsidR="009A5771">
        <w:t xml:space="preserve">submissions </w:t>
      </w:r>
      <w:r w:rsidR="009A5771" w:rsidRPr="00654134">
        <w:rPr>
          <w:b/>
          <w:color w:val="FF0000"/>
        </w:rPr>
        <w:t xml:space="preserve">on </w:t>
      </w:r>
      <w:r w:rsidR="00186E89" w:rsidRPr="00654134">
        <w:rPr>
          <w:b/>
          <w:color w:val="FF0000"/>
        </w:rPr>
        <w:t xml:space="preserve">Nov </w:t>
      </w:r>
      <w:r w:rsidR="000D7649">
        <w:rPr>
          <w:b/>
          <w:color w:val="FF0000"/>
        </w:rPr>
        <w:t>3</w:t>
      </w:r>
      <w:r w:rsidR="000D7649" w:rsidRPr="000D7649">
        <w:rPr>
          <w:b/>
          <w:color w:val="FF0000"/>
          <w:vertAlign w:val="superscript"/>
        </w:rPr>
        <w:t>rd</w:t>
      </w:r>
      <w:r w:rsidR="000D7649">
        <w:rPr>
          <w:b/>
          <w:color w:val="FF0000"/>
        </w:rPr>
        <w:t xml:space="preserve"> (for Texas), and Dec </w:t>
      </w:r>
      <w:r w:rsidR="00A93DA5">
        <w:rPr>
          <w:b/>
          <w:color w:val="FF0000"/>
        </w:rPr>
        <w:t>1</w:t>
      </w:r>
      <w:r w:rsidR="00A93DA5" w:rsidRPr="00A93DA5">
        <w:rPr>
          <w:b/>
          <w:color w:val="FF0000"/>
          <w:vertAlign w:val="superscript"/>
        </w:rPr>
        <w:t>st</w:t>
      </w:r>
      <w:r w:rsidR="00A93DA5">
        <w:rPr>
          <w:b/>
          <w:color w:val="FF0000"/>
        </w:rPr>
        <w:t xml:space="preserve"> </w:t>
      </w:r>
      <w:bookmarkStart w:id="0" w:name="_GoBack"/>
      <w:bookmarkEnd w:id="0"/>
      <w:r w:rsidR="000D7649">
        <w:rPr>
          <w:b/>
          <w:color w:val="FF0000"/>
        </w:rPr>
        <w:t>(for other 3 regions)</w:t>
      </w:r>
      <w:r w:rsidR="009A5771" w:rsidRPr="00505CAF">
        <w:t>.</w:t>
      </w:r>
      <w:r w:rsidR="009A5771">
        <w:t xml:space="preserve"> </w:t>
      </w:r>
      <w:r w:rsidR="00505CAF">
        <w:t xml:space="preserve">The </w:t>
      </w:r>
      <w:r w:rsidR="00654134">
        <w:t>Regional Judge C</w:t>
      </w:r>
      <w:r w:rsidR="00505CAF">
        <w:t xml:space="preserve">oordinator will determine when all score sheets should be completed. </w:t>
      </w:r>
    </w:p>
    <w:p w:rsidR="00FC7B84" w:rsidRDefault="00654134" w:rsidP="00ED01EF">
      <w:pPr>
        <w:pStyle w:val="ListParagraph"/>
        <w:numPr>
          <w:ilvl w:val="0"/>
          <w:numId w:val="1"/>
        </w:numPr>
        <w:spacing w:after="0"/>
        <w:ind w:left="360"/>
      </w:pPr>
      <w:r>
        <w:t>For every region, all</w:t>
      </w:r>
      <w:r w:rsidR="00FC7B84">
        <w:t xml:space="preserve"> judg</w:t>
      </w:r>
      <w:r w:rsidR="009A5771">
        <w:t xml:space="preserve">es are required </w:t>
      </w:r>
      <w:r w:rsidR="00506D3C">
        <w:t xml:space="preserve">to submit their own score </w:t>
      </w:r>
      <w:r w:rsidR="009A5771">
        <w:t xml:space="preserve">sheets. </w:t>
      </w:r>
    </w:p>
    <w:p w:rsidR="009A5771" w:rsidRDefault="009A5771" w:rsidP="00ED01EF">
      <w:pPr>
        <w:pStyle w:val="ListParagraph"/>
        <w:numPr>
          <w:ilvl w:val="0"/>
          <w:numId w:val="1"/>
        </w:numPr>
        <w:spacing w:after="0"/>
        <w:ind w:left="360"/>
      </w:pPr>
      <w:r>
        <w:t>The final decision of the winner will be made based on the average of judges’ scores.</w:t>
      </w:r>
    </w:p>
    <w:p w:rsidR="009A5771" w:rsidRPr="009A5771" w:rsidRDefault="009A5771">
      <w:pPr>
        <w:rPr>
          <w:b/>
        </w:rPr>
      </w:pPr>
    </w:p>
    <w:p w:rsidR="009A5771" w:rsidRPr="00505CAF" w:rsidRDefault="009A5771">
      <w:pPr>
        <w:rPr>
          <w:b/>
          <w:sz w:val="24"/>
        </w:rPr>
      </w:pPr>
      <w:r w:rsidRPr="00505CAF">
        <w:rPr>
          <w:b/>
          <w:sz w:val="24"/>
        </w:rPr>
        <w:t>Contact Details</w:t>
      </w:r>
    </w:p>
    <w:p w:rsidR="009A5771" w:rsidRDefault="009A5771">
      <w:r>
        <w:t>Sandeep Hiremath (</w:t>
      </w:r>
      <w:hyperlink r:id="rId22" w:history="1">
        <w:r w:rsidR="00DE64A5" w:rsidRPr="00AE1ECF">
          <w:rPr>
            <w:rStyle w:val="Hyperlink"/>
          </w:rPr>
          <w:t>s</w:t>
        </w:r>
        <w:r w:rsidR="00A2602B">
          <w:rPr>
            <w:rStyle w:val="Hyperlink"/>
          </w:rPr>
          <w:t>andeep.hiremath@mathworks.com</w:t>
        </w:r>
      </w:hyperlink>
      <w:r>
        <w:t>)</w:t>
      </w:r>
    </w:p>
    <w:p w:rsidR="009A5771" w:rsidRDefault="009A5771">
      <w:r>
        <w:t>Greg Young (</w:t>
      </w:r>
      <w:hyperlink r:id="rId23" w:history="1">
        <w:r w:rsidR="00186E89" w:rsidRPr="00AE1ECF">
          <w:rPr>
            <w:rStyle w:val="Hyperlink"/>
          </w:rPr>
          <w:t>greg.young@bestinc.org</w:t>
        </w:r>
      </w:hyperlink>
      <w:r>
        <w:t>)</w:t>
      </w:r>
    </w:p>
    <w:sectPr w:rsidR="009A5771" w:rsidSect="00ED01EF"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21CB2"/>
    <w:multiLevelType w:val="hybridMultilevel"/>
    <w:tmpl w:val="370AEF1C"/>
    <w:lvl w:ilvl="0" w:tplc="2A2E8FC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4C4190"/>
    <w:multiLevelType w:val="hybridMultilevel"/>
    <w:tmpl w:val="F572DFC0"/>
    <w:lvl w:ilvl="0" w:tplc="2A2E8FC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E74EC"/>
    <w:multiLevelType w:val="hybridMultilevel"/>
    <w:tmpl w:val="BED23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E90ED2"/>
    <w:multiLevelType w:val="hybridMultilevel"/>
    <w:tmpl w:val="03005F1E"/>
    <w:lvl w:ilvl="0" w:tplc="2A2E8FCC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747F06"/>
    <w:multiLevelType w:val="hybridMultilevel"/>
    <w:tmpl w:val="77F21D22"/>
    <w:lvl w:ilvl="0" w:tplc="4210DB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A53"/>
    <w:rsid w:val="000D7649"/>
    <w:rsid w:val="00186E89"/>
    <w:rsid w:val="00227705"/>
    <w:rsid w:val="002A3646"/>
    <w:rsid w:val="00382E01"/>
    <w:rsid w:val="004016FE"/>
    <w:rsid w:val="0045609D"/>
    <w:rsid w:val="00473A53"/>
    <w:rsid w:val="004A7D9F"/>
    <w:rsid w:val="004B073B"/>
    <w:rsid w:val="00505CAF"/>
    <w:rsid w:val="00506D3C"/>
    <w:rsid w:val="00542D62"/>
    <w:rsid w:val="0054565A"/>
    <w:rsid w:val="00610038"/>
    <w:rsid w:val="0062240C"/>
    <w:rsid w:val="00654134"/>
    <w:rsid w:val="008830A2"/>
    <w:rsid w:val="009A5771"/>
    <w:rsid w:val="00A2602B"/>
    <w:rsid w:val="00A60764"/>
    <w:rsid w:val="00A93DA5"/>
    <w:rsid w:val="00C335C4"/>
    <w:rsid w:val="00DE64A5"/>
    <w:rsid w:val="00DF36A3"/>
    <w:rsid w:val="00ED01EF"/>
    <w:rsid w:val="00F4702D"/>
    <w:rsid w:val="00FC7B84"/>
    <w:rsid w:val="00FE6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F9A7598-8126-4479-99AA-A840F7E8D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3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A53"/>
    <w:pPr>
      <w:ind w:left="720"/>
      <w:contextualSpacing/>
    </w:pPr>
  </w:style>
  <w:style w:type="table" w:styleId="TableGrid">
    <w:name w:val="Table Grid"/>
    <w:basedOn w:val="TableNormal"/>
    <w:uiPriority w:val="59"/>
    <w:rsid w:val="002A36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A577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A7D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7D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7D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7D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7D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dallas.edu/best/" TargetMode="External"/><Relationship Id="rId13" Type="http://schemas.openxmlformats.org/officeDocument/2006/relationships/hyperlink" Target="http://www.bestinc.org/b_best_regions.php" TargetMode="External"/><Relationship Id="rId18" Type="http://schemas.openxmlformats.org/officeDocument/2006/relationships/hyperlink" Target="http://uafs.edu/ftbest/ft-best-ho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bestinc.org/simulink_judging.php" TargetMode="External"/><Relationship Id="rId7" Type="http://schemas.openxmlformats.org/officeDocument/2006/relationships/hyperlink" Target="http://utdallas.edu/best/" TargetMode="External"/><Relationship Id="rId12" Type="http://schemas.openxmlformats.org/officeDocument/2006/relationships/hyperlink" Target="http://www.southsbest.org/" TargetMode="External"/><Relationship Id="rId17" Type="http://schemas.openxmlformats.org/officeDocument/2006/relationships/hyperlink" Target="http://uafs.edu/ftbest/ft-best-home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uafs.edu/ftbest/ft-best-home" TargetMode="External"/><Relationship Id="rId20" Type="http://schemas.openxmlformats.org/officeDocument/2006/relationships/hyperlink" Target="mailto:sandeep.hiremath@mathworks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www.southsbest.org/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hyperlink" Target="http://www.bestinc.org/b_best_regions.php" TargetMode="External"/><Relationship Id="rId23" Type="http://schemas.openxmlformats.org/officeDocument/2006/relationships/hyperlink" Target="mailto:greg.young@bestinc.org" TargetMode="External"/><Relationship Id="rId10" Type="http://schemas.openxmlformats.org/officeDocument/2006/relationships/hyperlink" Target="http://www.southsbest.org/" TargetMode="External"/><Relationship Id="rId19" Type="http://schemas.openxmlformats.org/officeDocument/2006/relationships/hyperlink" Target="http://www.bestinc.org/simulink_judg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tdallas.edu/best/" TargetMode="External"/><Relationship Id="rId14" Type="http://schemas.openxmlformats.org/officeDocument/2006/relationships/hyperlink" Target="http://www.bestinc.org/b_best_regions.php" TargetMode="External"/><Relationship Id="rId22" Type="http://schemas.openxmlformats.org/officeDocument/2006/relationships/hyperlink" Target="mailto:sandeep.hiremath@mathwork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6046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Hiremath</dc:creator>
  <cp:lastModifiedBy>Sandeep Hiremath</cp:lastModifiedBy>
  <cp:revision>4</cp:revision>
  <dcterms:created xsi:type="dcterms:W3CDTF">2014-08-05T20:03:00Z</dcterms:created>
  <dcterms:modified xsi:type="dcterms:W3CDTF">2014-08-05T20:09:00Z</dcterms:modified>
</cp:coreProperties>
</file>