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Arial" w:cs="Arial" w:eastAsia="Arial" w:hAnsi="Arial"/>
          <w:b/>
          <w:bCs/>
          <w:color w:val="1A4F8C"/>
          <w:sz w:val="56"/>
          <w:szCs w:val="56"/>
        </w:rPr>
        <w:t xml:space="preserve">NordCRM Platform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DORA ICT Kontraktklausuler</w:t>
      </w:r>
    </w:p>
    <w:p>
      <w:pPr>
        <w:spacing w:after="200" w:before="0"/>
      </w:pPr>
      <w:r>
        <w:rPr>
          <w:rFonts w:ascii="Arial" w:cs="Arial" w:eastAsia="Arial" w:hAnsi="Arial"/>
          <w:color w:val="8C8679"/>
          <w:sz w:val="22"/>
          <w:szCs w:val="22"/>
        </w:rPr>
        <w:t xml:space="preserve">Stacc Cloud · Microsoft Azure · M365 · GDPR · Databeskyttelsesloven</w:t>
      </w:r>
    </w:p>
    <w:p>
      <w:pPr>
        <w:pBdr>
          <w:left w:val="single" w:color="1A4F8C" w:sz="16"/>
        </w:pBdr>
        <w:shd w:fill="E8F0FB" w:val="clear"/>
        <w:spacing w:after="40" w:before="40"/>
        <w:ind w:left="200" w:right="20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Juridisk bemærkning: </w:t>
      </w:r>
      <w:r>
        <w:rPr>
          <w:rFonts w:ascii="Arial" w:cs="Arial" w:eastAsia="Arial" w:hAnsi="Arial"/>
          <w:color w:val="1A4F8C"/>
          <w:sz w:val="18"/>
          <w:szCs w:val="18"/>
        </w:rPr>
        <w:t xml:space="preserve">Dette dokument er en skabelon og udgør ikke juridisk rådgivning. Klausulerne skal tilpasses af en kvalificeret dansk finansadvokat inden brug. Dokumentet er baseret på DORA (EU 2022/2554, gældende fra 17. januar 2025), Databeskyttelsesloven (Lov nr. 289 af 8. marts 2024) og Lov om Finansiel Virksomhed (Lov nr. 1013 af 21. august 2024).</w:t>
      </w:r>
    </w:p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C8679"/>
          <w:sz w:val="18"/>
          <w:szCs w:val="18"/>
        </w:rPr>
        <w:t xml:space="preserve">Version: </w:t>
      </w:r>
      <w:r>
        <w:rPr>
          <w:rFonts w:ascii="Arial" w:cs="Arial" w:eastAsia="Arial" w:hAnsi="Arial"/>
          <w:color w:val="8C8679"/>
          <w:sz w:val="18"/>
          <w:szCs w:val="18"/>
        </w:rPr>
        <w:t xml:space="preserve">1.0 — April 2026</w:t>
      </w:r>
      <w:r>
        <w:rPr>
          <w:rFonts w:ascii="Arial" w:cs="Arial" w:eastAsia="Arial" w:hAnsi="Arial"/>
          <w:color w:val="D4CFC6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8C8679"/>
          <w:sz w:val="18"/>
          <w:szCs w:val="18"/>
        </w:rPr>
        <w:t xml:space="preserve">Tilsynsmyndighed: </w:t>
      </w:r>
      <w:r>
        <w:rPr>
          <w:rFonts w:ascii="Arial" w:cs="Arial" w:eastAsia="Arial" w:hAnsi="Arial"/>
          <w:color w:val="8C8679"/>
          <w:sz w:val="18"/>
          <w:szCs w:val="18"/>
        </w:rPr>
        <w:t xml:space="preserve">Finanstilsynet · Datatilsynet</w:t>
      </w:r>
    </w:p>
    <w:p>
      <w:r>
        <w:br w:type="page"/>
      </w:r>
    </w:p>
    <w:p>
      <w:pPr>
        <w:pStyle w:val="Heading1"/>
        <w:pBdr>
          <w:bottom w:val="single" w:color="1A4F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1. Oversigt og formål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Dette dokument indeholder de obligatoriske ICT-kontraktklausuler som NordCRM A/S ("Dataansvarlig" / "Finansiel enhed") er forpligtet til at inkludere i alle aftaler med ICT-tredjepartsleverandører i henhold til DORA Artikel 30.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Dokumentet dækker to primære ICT-leverandørrelationer: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Leverandør</w:t>
            </w:r>
          </w:p>
        </w:tc>
        <w:tc>
          <w:tcPr>
            <w:tcW w:type="dxa" w:w="3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Ydelse</w:t>
            </w:r>
          </w:p>
        </w:tc>
        <w:tc>
          <w:tcPr>
            <w:tcW w:type="dxa" w:w="35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DORA klassifikation</w:t>
            </w:r>
          </w:p>
        </w:tc>
      </w:tr>
      <w:tr>
        <w:tc>
          <w:tcPr>
            <w:tcW w:type="dxa" w:w="20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Stacc Cloud</w:t>
            </w:r>
          </w:p>
        </w:tc>
        <w:tc>
          <w:tcPr>
            <w:tcW w:type="dxa" w:w="3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Open Banking API / Xchange platform, tilbuds- og ordrehåndtering, kreditdata (B2B)</w:t>
            </w:r>
          </w:p>
        </w:tc>
        <w:tc>
          <w:tcPr>
            <w:tcW w:type="dxa" w:w="35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4F00"/>
                <w:sz w:val="22"/>
                <w:szCs w:val="22"/>
              </w:rPr>
              <w:t xml:space="preserve">ICT-tredjepartsleverandør</w:t>
            </w:r>
          </w:p>
        </w:tc>
      </w:tr>
      <w:tr>
        <w:tc>
          <w:tcPr>
            <w:tcW w:type="dxa" w:w="20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Microsoft Azure / M365</w:t>
            </w:r>
          </w:p>
        </w:tc>
        <w:tc>
          <w:tcPr>
            <w:tcW w:type="dxa" w:w="3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Cloudinfrastruktur (Cosmos DB, ACA, Key Vault, APIM), M365 Graph API, Dynamics 365, Power BI Embedded</w:t>
            </w:r>
          </w:p>
        </w:tc>
        <w:tc>
          <w:tcPr>
            <w:tcW w:type="dxa" w:w="35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Kritisk ICT-leverandør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Bdr>
          <w:left w:val="single" w:color="9A4F00" w:sz="12"/>
        </w:pBdr>
        <w:shd w:fill="FDF3E0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9A4F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9A4F00"/>
          <w:sz w:val="18"/>
          <w:szCs w:val="18"/>
        </w:rPr>
        <w:t xml:space="preserve">Microsoft Azure er udpeget som Kritisk ICT-tredjepartsleverandør (CTPP) af de Europæiske Tilsynsmyndigheder (EBA/ESMA/EIOPA) pr. november 2025. Dette medfører skærpede krav til exit-strategi og koncentrationsrisiko.</w:t>
      </w:r>
    </w:p>
    <w:p>
      <w:r>
        <w:br w:type="page"/>
      </w:r>
    </w:p>
    <w:p>
      <w:pPr>
        <w:pStyle w:val="Heading1"/>
        <w:pBdr>
          <w:bottom w:val="single" w:color="1A4F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2. Stacc Cloud — ICT Kontraktklausuler</w:t>
      </w:r>
    </w:p>
    <w:p>
      <w:pPr>
        <w:pBdr>
          <w:left w:val="single" w:color="0E7490" w:sz="12"/>
        </w:pBdr>
        <w:shd w:fill="E0F5F9" w:val="clear"/>
        <w:spacing w:after="80" w:before="60"/>
        <w:ind w:left="200" w:right="200"/>
      </w:pPr>
      <w:r>
        <w:rPr>
          <w:rFonts w:ascii="Arial" w:cs="Arial" w:eastAsia="Arial" w:hAnsi="Arial"/>
          <w:color w:val="0E7490"/>
          <w:sz w:val="18"/>
          <w:szCs w:val="18"/>
        </w:rPr>
        <w:t xml:space="preserve">Disse klausuler skal indgå i den kommercielle aftale med Stacc. De er ikke en separat kontrakt men tillægsklausuler til hovedkontrakten.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2.1 Klausuler påkrævet af DORA Art. 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126"/>
      </w:tblGrid>
      <w:tr>
        <w:trPr>
          <w:tblHeader/>
        </w:trP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Artikel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 / Klausul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30(2)(a)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Beskrivelse af alle ICT-ydelser og funktioner som Stacc leverer, herunder Xchange API, tilbudssynk, webhook-delivery og kreditdata (B2B). Ydelser må ikke underlevere uden forudgående skriftlig aftale.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30(2)(a)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30(2)(b)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Angivelse af, hvilke EU/EEA-jurisdiktioner data behandles og opbevares i. Stacc skal skriftligt bekræfte at NordCRM-data (incl. virksomhedsdata og tilbudsdata) ikke behandles uden for EU/EEA uden forudgående skriftlig godkendelse.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30(2)(b) + GDPR Art. 46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30(2)(c)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Stacc skal meddele NordCRM inden for 4 timer ved hændelser der påvirker tilgængelighed, integritet eller fortrolighed af NordCRM-data. Klassificering af "væsentlig hændelse" følger DORA RTS-kriterierne.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30(2)(c) + Art. 17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30(2)(d)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NordCRM og Finanstilsynet forbeholder sig ret til at foretage revision af Staccs relevante ICT-systemer og processer med 30 dages varsel. Stacc leverer relevante rapporter og dokumentation på forlangende.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30(2)(d)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30(2)(e)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SLA for API-tilgængelighed: minimum 99,5% pr. kalendermåned (ekskl. planlagt vedligeholdelse). Webhook-delivery: mindst én levering inden for 15 minutter. Brud på SLA udløser eskalationsprotokol og potentiel kompensation.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30(2)(e)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30(2)(f)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Stacc skal opretholde og teste en forretningskontinuitetsplan (BCP) for de leverede ydelser. Kopi af seneste BCP-testresultat skal leveres til NordCRM på forlangende og senest én gang pr. år.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30(2)(f)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30(2)(g)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Exit-strategi: Stacc forpligter sig til at assistere NordCRM med overflytning til alternativ leverandør inden for 90 dage ved kontraktophør. Dataeksport i maskinlæsbart format (JSON/CSV) leveres vederlagsfrit.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30(2)(g)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30(3)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Underkontrahenter (sub-leverandører) af ICT-ydelser: Stacc skal oplyse navn og lokalitet på alle underkontrahenter der behandler NordCRM-data. Ændringer i underkontrahenter kræver 30 dages forudgående varsel.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30(3)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2.2 GDPR Databehandleraftale — Stacc (Art. 28)</w:t>
      </w:r>
    </w:p>
    <w:p>
      <w:pPr>
        <w:pBdr>
          <w:left w:val="single" w:color="1A4F8C" w:sz="12"/>
        </w:pBdr>
        <w:shd w:fill="E8F0FB" w:val="clear"/>
        <w:spacing w:after="80" w:before="60"/>
        <w:ind w:left="200" w:right="200"/>
      </w:pPr>
      <w:r>
        <w:rPr>
          <w:rFonts w:ascii="Arial" w:cs="Arial" w:eastAsia="Arial" w:hAnsi="Arial"/>
          <w:color w:val="1A4F8C"/>
          <w:sz w:val="18"/>
          <w:szCs w:val="18"/>
        </w:rPr>
        <w:t xml:space="preserve">Stacc optræder som Databehandler når de behandler personoplysninger (f.eks. kontaktdata for virksomheders repræsentanter) på NordCRMs vegne. Nedenstående klausuler supplerer DORA-kravene.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126"/>
      </w:tblGrid>
      <w:tr>
        <w:trPr>
          <w:tblHeader/>
        </w:trP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Artikel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 / Klausul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28(3)(a)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Stacc må kun behandle personoplysninger efter dokumenterede instruktioner fra NordCRM. Behandling til egne formål er forbudt.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GDPR Art. 28(3)(a)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28(3)(b)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Fortrolighed: Alle Staccs medarbejdere med adgang til NordCRM-data er underlagt lovbestemt eller kontraktuel tavshedspligt.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GDPR Art. 28(3)(b)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28(3)(c)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Sikkerhed: Stacc implementerer passende tekniske og organisatoriske foranstaltninger jf. GDPR Art. 32, herunder kryptering, adgangskontrol og regelmæssig penetrationstest.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GDPR Art. 28(3)(c)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28(3)(f)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Bistand til datasubjektrettigheder: Stacc bistår NordCRM med at opfylde rettigheder (adgang, sletning, portabilitet) inden for 72 timer efter anmodning.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GDPR Art. 28(3)(f)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28(3)(g)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Ved kontraktophør: NordCRM-data slettes eller returneres af Stacc inden 30 dage, medmindre lovgivning kræver opbevaring. Slettedokumentation leveres skriftligt.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GDPR Art. 28(3)(g)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28(3)(h)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Revision: NordCRM (eller uafhængig revisor) kan gennemføre revisioner hos Stacc med 30 dages varsel. Stacc fremlægger al relevant dokumentation inkl. certifikater (ISO 27001 / SOC 2).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GDPR Art. 28(3)(h)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2.3 Specifikke klausuler — Tovejs synkronisering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Da NordCRM og Stacc Cloud udveksler tilbuds- og ordredata i begge retninger, gælder følgende supplerende krav: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Webhook-signering: Alle indboundne webhooks fra Stacc skal signeres med HMAC-SHA256. NordCRM verificerer signaturen før behandling. Usignerede webhooks afvises med HTTP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Idempotens: Stacc garanterer idempotent webhook-delivery. Samme hændelse leveret flere gange har ikke utilsigtede sideeffekter i NordCRM.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Tilbudsformat: Stacc og NordCRM anvender fælles JSON-schema (version versioneret og dokumenteret) for tilbuds- og ordredata. Schemaopdateringer kræver 30 dages forudgående varsel og bagudkompatibilitet.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Datakvalitet: Stacc garanterer at beløbsfelter er heltal (øre, 1/100 DKK). Floating point-værdier betragtes som kontraktbrud.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Konvertering til ordre (CRM → M365): Når NordCRM konverterer et vundet tilbud til salgsordre i M365 Dynamics 365, notificerer NordCRM Stacc via POST /xchange/products/activate inden for 5 minutter. Stacc opdaterer produktstatus tilsvarende.</w:t>
      </w:r>
    </w:p>
    <w:p>
      <w:r>
        <w:br w:type="page"/>
      </w:r>
    </w:p>
    <w:p>
      <w:pPr>
        <w:pStyle w:val="Heading1"/>
        <w:pBdr>
          <w:bottom w:val="single" w:color="1A4F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3. Microsoft Azure / M365 — ICT Kontraktklausuler</w:t>
      </w:r>
    </w:p>
    <w:p>
      <w:pPr>
        <w:pBdr>
          <w:left w:val="single" w:color="0078D4" w:sz="12"/>
        </w:pBdr>
        <w:shd w:fill="E8F3FD" w:val="clear"/>
        <w:spacing w:after="80" w:before="60"/>
        <w:ind w:left="200" w:right="200"/>
      </w:pPr>
      <w:r>
        <w:rPr>
          <w:rFonts w:ascii="Arial" w:cs="Arial" w:eastAsia="Arial" w:hAnsi="Arial"/>
          <w:color w:val="0078D4"/>
          <w:sz w:val="18"/>
          <w:szCs w:val="18"/>
        </w:rPr>
        <w:t xml:space="preserve">Microsoft tilbyder standardiserede DPA (Data Processing Addendum) og DORA-klausuler via Microsoft Product Terms og Online Services Terms. Nedenstående specificerer de krav NordCRM skal verificere er opfyldt og de tilvalg der skal aktiveres.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3.1 Påkrævede DORA Art. 30 klausuler — Microsoft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126"/>
      </w:tblGrid>
      <w:tr>
        <w:trPr>
          <w:tblHeader/>
        </w:trP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Artikel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 / Klausul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30(2)(a)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NordCRM specificerer i Kontraktsbilag A de nøjagtige Azure-tjenester der er i scope (Cosmos DB, ACA, Key Vault, APIM, Service Bus, Blob Storage, AI Search, Azure OpenAI, Synapse, Power BI Embedded). Microsoft må ikke ændre wesentlige funktioner uden 180 dages varsel (Enterprise-aftale krav).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30(2)(a) + Microsoft DORA Addendum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30(2)(b)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Alle NordCRM-data (inkl. Cosmos DB, Blob Storage) er konfigureret til EU Data Boundary-programmet. Microsoft bekræfter skriftligt at data-at-rest og data-in-transit ikke forlader EU/EEA. NordCRM aktiverer EU Data Boundary i M365 Admin Center.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30(2)(b) + GDPR Art. 46 + Microsoft EU Data Boundary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30(2)(c)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Microsoft benytter Azure Service Health og Microsoft 365 Service Health Dashboard til hændelsesnotifikationer. NordCRM opsætter automatiske alerts via Azure Monitor. Microsoft varsler NordCRM om planlagt vedligeholdelse med minimum 7 dages varsel for kritiske ændringer.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30(2)(c)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30(2)(d)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NordCRM kan foretage penetrationstest af egne Azure-ressourcer i henhold til Microsofts "Rules of Engagement for Penetration Testing". Revision af Microsofts infrastruktur sker via uafhængige SOC 2 Type II-rapporter (tilgængeligt via Service Trust Portal). ISO 27001-certifikat verificeres årligt.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30(2)(d)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30(2)(e)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Microsoft SLA: Cosmos DB 99,999% (multi-region write), Azure Container Apps 99,95%, Key Vault 99,99%, API Management 99,95%. Brud på SLA giver ret til service credits. NordCRM dokumenterer alle SLA-brud i DORA-hændelsesregistret.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30(2)(e) + Microsoft SLA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30(2)(f)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Microsoft opretholder dokumenterede BCP/DR-planer for alle Azure-tjenester. Zone Redundancy og geo-replikering er aktiveret for alle kritiske ressourcer (konfigureret i Bicep IaC). Azure Site Recovery evalueres for VM-baserede workloads.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30(2)(f)</w:t>
            </w:r>
          </w:p>
        </w:tc>
      </w:tr>
      <w:tr>
        <w:tc>
          <w:tcPr>
            <w:tcW w:type="dxa" w:w="14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Art. 30(2)(g)</w:t>
            </w:r>
          </w:p>
        </w:tc>
        <w:tc>
          <w:tcPr>
            <w:tcW w:type="dxa" w:w="45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Exit-strategi: Alle NordCRM-data eksporteres via Azure Data Factory eller manuel eksport inden for 90 dage ved opsigelse. IaC (Bicep) muliggør re-deployment til alternativ cloudleverandør. Microsoft Data Portability Tool aktiveres ved opsigelse.</w:t>
            </w:r>
          </w:p>
        </w:tc>
        <w:tc>
          <w:tcPr>
            <w:tcW w:type="dxa" w:w="31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6"/>
                <w:szCs w:val="16"/>
              </w:rPr>
              <w:t xml:space="preserve">DORA Art. 30(2)(g)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3.2 Microsoft GDPR Databehandleraftale (DPA)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Microsoft Product Terms indeholder automatisk en DPA der dækker GDPR Art. 28-kravene for alle Azure- og M365-tjenester. NordCRM skal verificere og aktivere følgende: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EU Data Boundary aktiveret i M365 Admin Center (Settings → Org Settings → Data Boundary)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Microsoft Entra ID konfigureret som eneste identitetsudbyder — ingen tredjeparts SSO uden DPO-godkendelse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Azure OpenAI: Opt-out fra "Abuse Monitoring" (Microsoft gemmer ikke prompts — bekræftes i Azure OpenAI Studio → Abuse Monitoring → Opt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Power BI: Tenant-isolering aktiveret — eksterne brugere kan ikke se NordCRM-rapporter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Databeholder for Dynamics 365 Business Central: EU-region (West Europe eller North Europe)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Microsoft Purview aktiveres til Data Lifecycle Management — automatisk retention af M365-data iht. NordCRMs GDPR-politik</w:t>
      </w:r>
    </w:p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3.3 Koncentrationsrisiko — Microsoft (DORA Art. 29)</w:t>
      </w:r>
    </w:p>
    <w:p>
      <w:pPr>
        <w:pBdr>
          <w:left w:val="single" w:color="9A4F00" w:sz="12"/>
        </w:pBdr>
        <w:shd w:fill="FDF3E0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9A4F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9A4F00"/>
          <w:sz w:val="18"/>
          <w:szCs w:val="18"/>
        </w:rPr>
        <w:t xml:space="preserve">NordCRM er i risiko for kritisk koncentrationsrisiko, da både Azure (infrastruktur) og M365 (applikationer) leveres af Microsoft. Finanstilsynet og EBA overvåger cloud-koncentrationsrisiko aktivt i 2025-2026.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Afhjælpende foranstaltninger der skal dokumenteres i ICT-risikoregistret: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Multi-cloud exit-strategi: Bicep IaC er designet med portabilitet for øje. Cosmos DB kan erstattes af en anden NoSQL-database (MongoDB Atlas EU). Container Apps kan migreres til GCP Cloud Run eller AWS ECS.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Kritiske hemmeligheder (API-nøgler, CMK) opbevares i Azure Key Vault med BYOK (Bring Your Own Key) — nøglerne er under NordCRMs kontrol, ikke Microsofts.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Stacc-integrationen er arkitekturmæssigt uafhængig af Azure-platformen og kan omdirigeres til on-premise eller alternativ cloud ved behov.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Minimum én gang om året gennemføres en mock-DR-øvelse der simulerer fuldstændig Azure-nedetid i primærregionen (DORA Art. 11).</w:t>
      </w:r>
    </w:p>
    <w:p>
      <w:r>
        <w:br w:type="page"/>
      </w:r>
    </w:p>
    <w:p>
      <w:pPr>
        <w:pStyle w:val="Heading1"/>
        <w:pBdr>
          <w:bottom w:val="single" w:color="1A4F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4. Hændelsesrapportering — Finanstilsynet (DORA Art. 17-23)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Ved klassificering af en hændelse som "væsentlig ICT-hændelse" efter DORA RTS-kriterierne gælder følgende tidsfrister: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Modtager</w:t>
            </w:r>
          </w:p>
        </w:tc>
        <w:tc>
          <w:tcPr>
            <w:tcW w:type="dxa" w:w="28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Indhold</w:t>
            </w:r>
          </w:p>
        </w:tc>
      </w:tr>
      <w:tr>
        <w:tc>
          <w:tcPr>
            <w:tcW w:type="dxa" w:w="18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7"/>
                <w:szCs w:val="17"/>
              </w:rPr>
              <w:t xml:space="preserve">Første notifikation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4 timer (maks. 24t fra opdagelse)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7"/>
                <w:szCs w:val="17"/>
              </w:rPr>
              <w:t xml:space="preserve">Finanstilsynet via indberetning.finanstilsynet.dk</w:t>
            </w:r>
          </w:p>
        </w:tc>
        <w:tc>
          <w:tcPr>
            <w:tcW w:type="dxa" w:w="28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7"/>
                <w:szCs w:val="17"/>
              </w:rPr>
              <w:t xml:space="preserve">Hændelsestype, tidspunkt, foreløbig scope, berørte systemer</w:t>
            </w:r>
          </w:p>
        </w:tc>
      </w:tr>
      <w:tr>
        <w:tc>
          <w:tcPr>
            <w:tcW w:type="dxa" w:w="18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7"/>
                <w:szCs w:val="17"/>
              </w:rPr>
              <w:t xml:space="preserve">Mellemliggende rapport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72 timer fra opdagelse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7"/>
                <w:szCs w:val="17"/>
              </w:rPr>
              <w:t xml:space="preserve">Finanstilsynet</w:t>
            </w:r>
          </w:p>
        </w:tc>
        <w:tc>
          <w:tcPr>
            <w:tcW w:type="dxa" w:w="28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7"/>
                <w:szCs w:val="17"/>
              </w:rPr>
              <w:t xml:space="preserve">Opdateret konsekvensanalyse, containment-foranstaltninger, root cause (foreløbig)</w:t>
            </w:r>
          </w:p>
        </w:tc>
      </w:tr>
      <w:tr>
        <w:tc>
          <w:tcPr>
            <w:tcW w:type="dxa" w:w="18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7"/>
                <w:szCs w:val="17"/>
              </w:rPr>
              <w:t xml:space="preserve">Endelig rapport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1 måned fra afslutning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7"/>
                <w:szCs w:val="17"/>
              </w:rPr>
              <w:t xml:space="preserve">Finanstilsynet</w:t>
            </w:r>
          </w:p>
        </w:tc>
        <w:tc>
          <w:tcPr>
            <w:tcW w:type="dxa" w:w="28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7"/>
                <w:szCs w:val="17"/>
              </w:rPr>
              <w:t xml:space="preserve">Root cause (endelig), fuldt impact, genopretningsforløb, forebyggende foranstaltninger</w:t>
            </w:r>
          </w:p>
        </w:tc>
      </w:tr>
      <w:tr>
        <w:tc>
          <w:tcPr>
            <w:tcW w:type="dxa" w:w="18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C"/>
                <w:sz w:val="17"/>
                <w:szCs w:val="17"/>
              </w:rPr>
              <w:t xml:space="preserve">GDPR-brudnotifikation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72 timer fra opdagelse</w:t>
            </w:r>
          </w:p>
        </w:tc>
        <w:tc>
          <w:tcPr>
            <w:tcW w:type="dxa" w:w="2200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17"/>
                <w:szCs w:val="17"/>
              </w:rPr>
              <w:t xml:space="preserve">Datatilsynet (datatilsynet.dk)</w:t>
            </w:r>
          </w:p>
        </w:tc>
        <w:tc>
          <w:tcPr>
            <w:tcW w:type="dxa" w:w="2826"/>
            <w:tcBorders>
              <w:top w:val="single" w:color="D4CFC6" w:sz="1"/>
              <w:left w:val="single" w:color="D4CFC6" w:sz="1"/>
              <w:bottom w:val="single" w:color="D4CFC6" w:sz="1"/>
              <w:right w:val="single" w:color="D4CFC6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C8679"/>
                <w:sz w:val="17"/>
                <w:szCs w:val="17"/>
              </w:rPr>
              <w:t xml:space="preserve">Hvis personoplysninger er kompromitteret — separat fra DORA-rapport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5. Power BI Embedded — Konfigurationsvejledning</w:t>
      </w:r>
    </w:p>
    <w:p>
      <w:pPr>
        <w:pBdr>
          <w:left w:val="single" w:color="0078D4" w:sz="12"/>
        </w:pBdr>
        <w:shd w:fill="E8F3FD" w:val="clear"/>
        <w:spacing w:after="80" w:before="60"/>
        <w:ind w:left="200" w:right="200"/>
      </w:pPr>
      <w:r>
        <w:rPr>
          <w:rFonts w:ascii="Arial" w:cs="Arial" w:eastAsia="Arial" w:hAnsi="Arial"/>
          <w:color w:val="0078D4"/>
          <w:sz w:val="18"/>
          <w:szCs w:val="18"/>
        </w:rPr>
        <w:t xml:space="preserve">Power BI Embedded er den Microsoft-anbefalede løsning til at integrere interaktive rapporter direkte i NordCRM. Data hentes fra Azure Synapse Analytics som agerer som central datavarehus.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5.1 Arkitektur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Data-flowet fra CRM til Power BI-rapporter er som følger: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NordCRM microservices skriver hændelsesdata til Azure Cosmos DB (operationel database).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Azure Synapse Link for Cosmos DB synkroniserer data næsten realtid til Azure Synapse Analytics (analytisk database) — ingen ETL-pipeline nødvendig.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Power BI Embedded-kapacitet (SKU A1, provisioneret via Bicep) kobles til Synapse som DirectQuery-kilde.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Power BI-rapporter embeddes i NordCRM-frontend via Power BI JavaScript SDK og en backend-token-service der genererer embed-tokens (service principal authentication).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5.2 Trin-for-trin konfiguration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Trin 1: Opret Power BI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Gå til app.powerbi.com → Opret workspace: "NordCRM-Rapporter"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Sæt workspace til Premium Per Capacity — vælg den kapacitet der er oprettet via Bicep (pbi-nordcrm-prod)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Tilføj en Service Principal som workspace-administrator: Opret en App Registration i Entra ID → tilføj dens Object ID til workspace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Trin 2: Forbind Synapse som datakilde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I Power BI Desktop: Hent data → Azure → Azure Synapse Analytics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Server: syn-nordcrm-prod.sql.azuresynapse.net, Database: nordcrm_dw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Brug DirectQuery (ikke Import) for realtidsdata — vigtigt for pipeline-filtre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Definer relationships: deals ↔ contacts ↔ accounts ↔ users (AM/KAM)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Trin 3: Byg rapporter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Pipeline rapport: Slicer på KAM, AM, Stadie, Periode, Flådestørrelse → Funnel visual + Matrix med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SOW rapport: Beregnet kolonne: SOW% = DIVIDE([Opendo Flåde], [Flåde Størrelse], 0) → Betinget formatering: rød &lt;10%, amber 10-25%, grøn &gt;25%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Vundne aftaler: Waterfall chart pr. måned, opdelt efter AM/KAM → KPI cards for pipeline, win rate, avg. deal size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Trin 4: Embed i NordCRM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Backend (Node.js/C#): Brug MSAL til at hente embed-token for service principal → kald Power BI REST API: POST /groups/{workspaceId}/reports/{reportId}/GenerateToken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Frontend (React): Installer powerbi-client-react → &lt;PowerBIEmbed embedConfig={{type:"report", id:reportId, embedUrl, accessToken}} /&gt;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Filterpåvirkning: Send aktivt filter som URL-parameter til embed-URL: &amp;filter=deals/stage eq "Forhandling" AND deals/kamId eq "sb"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Token-levetid: Embed-tokens er gyldige i 1 time — frontend anmoder om nyt token automatisk via refresh-interval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5.3 Sikkerhed og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Row-Level Security (RLS): Definer RLS-roller i Power BI Desktop. Regel: AM ser kun egne kunders data. KAM ser alle AM'er under sig. Admin ser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Eksport fra Power BI: Deaktiver PDF/Excel-eksport for standardbrugere i workspace-indstillinger — kun DPO og compliance-roller kan eksportere rå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Audit: Alle Power BI-adgangshændelser logges i Microsoft Purview Audit — eksporteres månedligt til NordCRM audit_log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Dataresidensbekræftelse: Power BI Premium-kapaciteten er provisioneret i northeurope. Bekræft i Power BI Admin Portal: Tenant Settings → Export and sharing settings → Data residency: EU.</w:t>
      </w:r>
    </w:p>
    <w:p>
      <w:r>
        <w:br w:type="page"/>
      </w:r>
    </w:p>
    <w:p>
      <w:pPr>
        <w:pStyle w:val="Heading1"/>
        <w:pBdr>
          <w:bottom w:val="single" w:color="1A4F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6. Underskrifter</w:t>
      </w:r>
    </w:p>
    <w:p>
      <w:pPr>
        <w:spacing w:after="100" w:before="6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Dette dokument er udformet som en skabelon. De specifikke klausuler skal forhandles og underskrives individuelt med henholdsvis Stacc og Microsoft (via Enterprise Agreement/tilpasning).</w:t>
      </w:r>
    </w:p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6.1 NordCRM A/S ↔ Stacc Cloud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500"/>
        <w:gridCol w:w="42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Underskrift — NordCRM A/S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Dato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Navn &amp; titel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4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Underskrift — Stacc Cloud A/S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Dato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Navn &amp; titel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6.2 NordCRM A/S ↔ Microsoft (Enterprise Agreement tillæg)</w:t>
      </w:r>
    </w:p>
    <w:p>
      <w:pPr>
        <w:spacing w:after="0" w:before="1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500"/>
        <w:gridCol w:w="42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Underskrift — NordCRM A/S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Dato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Navn &amp; titel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4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Underskrift — Microsoft Danmark ApS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Dato</w:t>
            </w:r>
          </w:p>
          <w:p>
            <w:pPr>
              <w:spacing w:after="40" w:before="300"/>
            </w:pPr>
            <w:r>
              <w:rPr>
                <w:rFonts w:ascii="Arial" w:cs="Arial" w:eastAsia="Arial" w:hAnsi="Arial"/>
                <w:color w:val="8C8679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C8679"/>
                <w:sz w:val="18"/>
                <w:szCs w:val="18"/>
              </w:rPr>
              <w:t xml:space="preserve">Navn &amp; titel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8C8679"/>
          <w:sz w:val="18"/>
          <w:szCs w:val="18"/>
        </w:rPr>
        <w:t xml:space="preserve">Dette dokument er fortroligt og må ikke videregives til tredjepart uden skriftlig tilladelse fra NordCRM A/S.  |  Version 1.0 — April 2026  |  Næste revision: April 2027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FC6" w:sz="2" w:space="4"/>
      </w:pBdr>
      <w:tabs>
        <w:tab w:val="right" w:pos="9026"/>
      </w:tabs>
    </w:pPr>
    <w:r>
      <w:rPr>
        <w:rFonts w:ascii="Arial" w:cs="Arial" w:eastAsia="Arial" w:hAnsi="Arial"/>
        <w:color w:val="8C8679"/>
        <w:sz w:val="14"/>
        <w:szCs w:val="14"/>
      </w:rPr>
      <w:t xml:space="preserve">© NordCRM A/S · Baseret på DORA (EU 2022/2554) · Databeskyttelsesloven 2024 · Lov om Finansiel Virksomhed 2024</w:t>
    </w:r>
    <w:r>
      <w:rPr>
        <w:rFonts w:ascii="Arial" w:cs="Arial" w:eastAsia="Arial" w:hAnsi="Arial"/>
        <w:color w:val="8C8679"/>
        <w:sz w:val="14"/>
        <w:szCs w:val="14"/>
      </w:rPr>
      <w:t xml:space="preserve">	Side </w:t>
    </w:r>
    <w:r>
      <w:rPr>
        <w:rFonts w:ascii="Arial" w:cs="Arial" w:eastAsia="Arial" w:hAnsi="Arial"/>
        <w:color w:val="8C8679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FC6" w:sz="2" w:space="4"/>
      </w:pBdr>
      <w:tabs>
        <w:tab w:val="right" w:pos="9026"/>
      </w:tabs>
    </w:pPr>
    <w:r>
      <w:rPr>
        <w:rFonts w:ascii="Arial" w:cs="Arial" w:eastAsia="Arial" w:hAnsi="Arial"/>
        <w:color w:val="8C8679"/>
        <w:sz w:val="16"/>
        <w:szCs w:val="16"/>
      </w:rPr>
      <w:t xml:space="preserve">NordCRM — DORA ICT Kontraktklausuler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B91C1C"/>
        <w:sz w:val="16"/>
        <w:szCs w:val="16"/>
      </w:rPr>
      <w:t xml:space="preserve">FORTROLIGT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2026-04-16T16:53:57.646Z</dcterms:created>
  <dcterms:modified xsi:type="dcterms:W3CDTF">2026-04-16T16:53:57.646Z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