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4" w:val="single"/>
          <w:left w:color="000000" w:space="4" w:sz="4" w:val="single"/>
          <w:bottom w:color="000000" w:space="1" w:sz="4" w:val="single"/>
          <w:right w:color="000000" w:space="4" w:sz="4" w:val="single"/>
        </w:pBdr>
        <w:spacing w:after="0" w:line="360" w:lineRule="auto"/>
        <w:jc w:val="center"/>
        <w:rPr>
          <w:rFonts w:ascii="Times New Roman" w:cs="Times New Roman" w:eastAsia="Times New Roman" w:hAnsi="Times New Roman"/>
          <w:color w:val="ee1d24"/>
          <w:sz w:val="24"/>
          <w:szCs w:val="24"/>
        </w:rPr>
      </w:pPr>
      <w:r w:rsidDel="00000000" w:rsidR="00000000" w:rsidRPr="00000000">
        <w:rPr>
          <w:rFonts w:ascii="Times New Roman" w:cs="Times New Roman" w:eastAsia="Times New Roman" w:hAnsi="Times New Roman"/>
          <w:b w:val="1"/>
          <w:color w:val="000000"/>
          <w:sz w:val="24"/>
          <w:szCs w:val="24"/>
          <w:rtl w:val="0"/>
        </w:rPr>
        <w:t xml:space="preserve">MODELO: PEÇA PROCESSUAL – AÇÃO MONITÓRIA </w:t>
      </w:r>
      <w:r w:rsidDel="00000000" w:rsidR="00000000" w:rsidRPr="00000000">
        <w:rPr>
          <w:rFonts w:ascii="Times New Roman" w:cs="Times New Roman" w:eastAsia="Times New Roman" w:hAnsi="Times New Roman"/>
          <w:color w:val="ee1d24"/>
          <w:sz w:val="24"/>
          <w:szCs w:val="24"/>
          <w:rtl w:val="0"/>
        </w:rPr>
        <w:t xml:space="preserve">(fonte 14 Times New</w:t>
      </w:r>
    </w:p>
    <w:p w:rsidR="00000000" w:rsidDel="00000000" w:rsidP="00000000" w:rsidRDefault="00000000" w:rsidRPr="00000000" w14:paraId="00000002">
      <w:pPr>
        <w:pBdr>
          <w:top w:color="000000" w:space="1" w:sz="4" w:val="single"/>
          <w:left w:color="000000" w:space="4" w:sz="4" w:val="single"/>
          <w:bottom w:color="000000" w:space="1" w:sz="4" w:val="single"/>
          <w:right w:color="000000" w:space="4" w:sz="4" w:val="single"/>
        </w:pBdr>
        <w:spacing w:after="0" w:line="360" w:lineRule="auto"/>
        <w:jc w:val="center"/>
        <w:rPr>
          <w:rFonts w:ascii="Times New Roman" w:cs="Times New Roman" w:eastAsia="Times New Roman" w:hAnsi="Times New Roman"/>
          <w:color w:val="ee1d24"/>
          <w:sz w:val="24"/>
          <w:szCs w:val="24"/>
        </w:rPr>
      </w:pPr>
      <w:r w:rsidDel="00000000" w:rsidR="00000000" w:rsidRPr="00000000">
        <w:rPr>
          <w:rFonts w:ascii="Times New Roman" w:cs="Times New Roman" w:eastAsia="Times New Roman" w:hAnsi="Times New Roman"/>
          <w:color w:val="ee1d24"/>
          <w:sz w:val="24"/>
          <w:szCs w:val="24"/>
          <w:rtl w:val="0"/>
        </w:rPr>
        <w:t xml:space="preserve">Roman, espaçamento 1,</w:t>
      </w:r>
      <w:commentRangeStart w:id="0"/>
      <w:r w:rsidDel="00000000" w:rsidR="00000000" w:rsidRPr="00000000">
        <w:rPr>
          <w:rFonts w:ascii="Times New Roman" w:cs="Times New Roman" w:eastAsia="Times New Roman" w:hAnsi="Times New Roman"/>
          <w:color w:val="ee1d24"/>
          <w:sz w:val="24"/>
          <w:szCs w:val="24"/>
          <w:rtl w:val="0"/>
        </w:rPr>
        <w:t xml:space="preserve">5</w:t>
      </w:r>
      <w:commentRangeEnd w:id="0"/>
      <w:r w:rsidDel="00000000" w:rsidR="00000000" w:rsidRPr="00000000">
        <w:commentReference w:id="0"/>
      </w:r>
      <w:r w:rsidDel="00000000" w:rsidR="00000000" w:rsidRPr="00000000">
        <w:rPr>
          <w:rFonts w:ascii="Times New Roman" w:cs="Times New Roman" w:eastAsia="Times New Roman" w:hAnsi="Times New Roman"/>
          <w:color w:val="ee1d24"/>
          <w:sz w:val="24"/>
          <w:szCs w:val="24"/>
          <w:rtl w:val="0"/>
        </w:rPr>
        <w:t xml:space="preserve">)</w:t>
      </w:r>
    </w:p>
    <w:p w:rsidR="00000000" w:rsidDel="00000000" w:rsidP="00000000" w:rsidRDefault="00000000" w:rsidRPr="00000000" w14:paraId="00000003">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4">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EXMO. SR. DR. JUIZ DE DIREITO DA ..... VARA CÍVEL DA COMARCA DE SÃO LOURENÇO DO ESTADO DE MINAS </w:t>
      </w:r>
      <w:commentRangeStart w:id="1"/>
      <w:r w:rsidDel="00000000" w:rsidR="00000000" w:rsidRPr="00000000">
        <w:rPr>
          <w:rFonts w:ascii="Times New Roman" w:cs="Times New Roman" w:eastAsia="Times New Roman" w:hAnsi="Times New Roman"/>
          <w:b w:val="1"/>
          <w:color w:val="000000"/>
          <w:sz w:val="24"/>
          <w:szCs w:val="24"/>
          <w:rtl w:val="0"/>
        </w:rPr>
        <w:t xml:space="preserve">GERAIS</w:t>
      </w:r>
      <w:commentRangeEnd w:id="1"/>
      <w:r w:rsidDel="00000000" w:rsidR="00000000" w:rsidRPr="00000000">
        <w:commentReference w:id="1"/>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005">
      <w:pPr>
        <w:spacing w:after="0" w:line="360" w:lineRule="auto"/>
        <w:jc w:val="both"/>
        <w:rPr>
          <w:rFonts w:ascii="Times New Roman" w:cs="Times New Roman" w:eastAsia="Times New Roman" w:hAnsi="Times New Roman"/>
          <w:color w:val="ee1d24"/>
          <w:sz w:val="24"/>
          <w:szCs w:val="24"/>
        </w:rPr>
      </w:pPr>
      <w:r w:rsidDel="00000000" w:rsidR="00000000" w:rsidRPr="00000000">
        <w:rPr>
          <w:rFonts w:ascii="Times New Roman" w:cs="Times New Roman" w:eastAsia="Times New Roman" w:hAnsi="Times New Roman"/>
          <w:color w:val="ee1d24"/>
          <w:sz w:val="24"/>
          <w:szCs w:val="24"/>
          <w:rtl w:val="0"/>
        </w:rPr>
        <w:t xml:space="preserve">(juízo a qual será distribuída)</w:t>
      </w:r>
    </w:p>
    <w:p w:rsidR="00000000" w:rsidDel="00000000" w:rsidP="00000000" w:rsidRDefault="00000000" w:rsidRPr="00000000" w14:paraId="00000006">
      <w:pPr>
        <w:spacing w:after="0" w:line="360" w:lineRule="auto"/>
        <w:jc w:val="both"/>
        <w:rPr>
          <w:rFonts w:ascii="Times New Roman" w:cs="Times New Roman" w:eastAsia="Times New Roman" w:hAnsi="Times New Roman"/>
          <w:color w:val="ee1d24"/>
          <w:sz w:val="24"/>
          <w:szCs w:val="24"/>
        </w:rPr>
      </w:pPr>
      <w:r w:rsidDel="00000000" w:rsidR="00000000" w:rsidRPr="00000000">
        <w:rPr>
          <w:rFonts w:ascii="Times New Roman" w:cs="Times New Roman" w:eastAsia="Times New Roman" w:hAnsi="Times New Roman"/>
          <w:color w:val="ee1d24"/>
          <w:sz w:val="24"/>
          <w:szCs w:val="24"/>
          <w:rtl w:val="0"/>
        </w:rPr>
        <w:t xml:space="preserve">(espaço de 10 linhas)</w:t>
      </w:r>
    </w:p>
    <w:p w:rsidR="00000000" w:rsidDel="00000000" w:rsidP="00000000" w:rsidRDefault="00000000" w:rsidRPr="00000000" w14:paraId="00000007">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AUTOR (NOME COMPLETO),  nacionalidade, estado civil, profissão, portador da carteira de identidade n...., inscrito no CPF n...., endereço eletrônico, domiciliado..., residente (endereço completo), vem por seu advogado, com endereço profissional na..., bairro..., cidade..., Estado..., que indica para os fins do artigo 106, inciso I, do CPC, com fundamento no artigo 700 e seguintes do CPC, propor:</w:t>
      </w:r>
    </w:p>
    <w:p w:rsidR="00000000" w:rsidDel="00000000" w:rsidP="00000000" w:rsidRDefault="00000000" w:rsidRPr="00000000" w14:paraId="00000008">
      <w:pPr>
        <w:spacing w:after="0" w:line="360" w:lineRule="auto"/>
        <w:jc w:val="both"/>
        <w:rPr>
          <w:rFonts w:ascii="Times New Roman" w:cs="Times New Roman" w:eastAsia="Times New Roman" w:hAnsi="Times New Roman"/>
          <w:color w:val="ee1d24"/>
          <w:sz w:val="24"/>
          <w:szCs w:val="24"/>
        </w:rPr>
      </w:pPr>
      <w:r w:rsidDel="00000000" w:rsidR="00000000" w:rsidRPr="00000000">
        <w:rPr>
          <w:rFonts w:ascii="Times New Roman" w:cs="Times New Roman" w:eastAsia="Times New Roman" w:hAnsi="Times New Roman"/>
          <w:color w:val="ee1d24"/>
          <w:sz w:val="24"/>
          <w:szCs w:val="24"/>
          <w:rtl w:val="0"/>
        </w:rPr>
        <w:t xml:space="preserve">(espaço de uma linha)</w:t>
      </w:r>
    </w:p>
    <w:p w:rsidR="00000000" w:rsidDel="00000000" w:rsidP="00000000" w:rsidRDefault="00000000" w:rsidRPr="00000000" w14:paraId="00000009">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AÇÃO </w:t>
      </w:r>
      <w:commentRangeStart w:id="2"/>
      <w:r w:rsidDel="00000000" w:rsidR="00000000" w:rsidRPr="00000000">
        <w:rPr>
          <w:rFonts w:ascii="Times New Roman" w:cs="Times New Roman" w:eastAsia="Times New Roman" w:hAnsi="Times New Roman"/>
          <w:b w:val="1"/>
          <w:color w:val="000000"/>
          <w:sz w:val="24"/>
          <w:szCs w:val="24"/>
          <w:rtl w:val="0"/>
        </w:rPr>
        <w:t xml:space="preserve">MONITÓRIA</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color w:val="ee1d24"/>
          <w:sz w:val="24"/>
          <w:szCs w:val="24"/>
        </w:rPr>
      </w:pPr>
      <w:r w:rsidDel="00000000" w:rsidR="00000000" w:rsidRPr="00000000">
        <w:rPr>
          <w:rFonts w:ascii="Times New Roman" w:cs="Times New Roman" w:eastAsia="Times New Roman" w:hAnsi="Times New Roman"/>
          <w:color w:val="ee1d24"/>
          <w:sz w:val="24"/>
          <w:szCs w:val="24"/>
          <w:rtl w:val="0"/>
        </w:rPr>
        <w:t xml:space="preserve">(espaço de uma </w:t>
      </w:r>
      <w:commentRangeStart w:id="3"/>
      <w:r w:rsidDel="00000000" w:rsidR="00000000" w:rsidRPr="00000000">
        <w:rPr>
          <w:rFonts w:ascii="Times New Roman" w:cs="Times New Roman" w:eastAsia="Times New Roman" w:hAnsi="Times New Roman"/>
          <w:color w:val="ee1d24"/>
          <w:sz w:val="24"/>
          <w:szCs w:val="24"/>
          <w:rtl w:val="0"/>
        </w:rPr>
        <w:t xml:space="preserve">linha</w:t>
      </w:r>
      <w:commentRangeEnd w:id="3"/>
      <w:r w:rsidDel="00000000" w:rsidR="00000000" w:rsidRPr="00000000">
        <w:commentReference w:id="3"/>
      </w:r>
      <w:r w:rsidDel="00000000" w:rsidR="00000000" w:rsidRPr="00000000">
        <w:rPr>
          <w:rFonts w:ascii="Times New Roman" w:cs="Times New Roman" w:eastAsia="Times New Roman" w:hAnsi="Times New Roman"/>
          <w:color w:val="ee1d24"/>
          <w:sz w:val="24"/>
          <w:szCs w:val="24"/>
          <w:rtl w:val="0"/>
        </w:rPr>
        <w:t xml:space="preserve">)</w:t>
      </w:r>
    </w:p>
    <w:p w:rsidR="00000000" w:rsidDel="00000000" w:rsidP="00000000" w:rsidRDefault="00000000" w:rsidRPr="00000000" w14:paraId="0000000B">
      <w:pPr>
        <w:spacing w:after="0" w:line="360" w:lineRule="auto"/>
        <w:jc w:val="both"/>
        <w:rPr>
          <w:rFonts w:ascii="Times New Roman" w:cs="Times New Roman" w:eastAsia="Times New Roman" w:hAnsi="Times New Roman"/>
          <w:color w:val="ee1d24"/>
          <w:sz w:val="24"/>
          <w:szCs w:val="24"/>
        </w:rPr>
      </w:pPr>
      <w:r w:rsidDel="00000000" w:rsidR="00000000" w:rsidRPr="00000000">
        <w:rPr>
          <w:rFonts w:ascii="Times New Roman" w:cs="Times New Roman" w:eastAsia="Times New Roman" w:hAnsi="Times New Roman"/>
          <w:color w:val="ee1d24"/>
          <w:sz w:val="24"/>
          <w:szCs w:val="24"/>
          <w:rtl w:val="0"/>
        </w:rPr>
        <w:t xml:space="preserve">(espaço de uma linha)</w:t>
      </w:r>
    </w:p>
    <w:p w:rsidR="00000000" w:rsidDel="00000000" w:rsidP="00000000" w:rsidRDefault="00000000" w:rsidRPr="00000000" w14:paraId="0000000C">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pelo rito especial, em face do RÉU (NOME COMPLETO), nacionalidade, estado civil, profissão, portadora do RG n...., inscrita no CPF n...., domiciliado..., residente (endereço completo), pelos fatos e fundamentos a seguir:</w:t>
      </w:r>
    </w:p>
    <w:p w:rsidR="00000000" w:rsidDel="00000000" w:rsidP="00000000" w:rsidRDefault="00000000" w:rsidRPr="00000000" w14:paraId="0000000D">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E">
      <w:pPr>
        <w:spacing w:after="0" w:line="360" w:lineRule="auto"/>
        <w:jc w:val="both"/>
        <w:rPr>
          <w:rFonts w:ascii="Times New Roman" w:cs="Times New Roman" w:eastAsia="Times New Roman" w:hAnsi="Times New Roman"/>
          <w:color w:val="000000"/>
          <w:sz w:val="24"/>
          <w:szCs w:val="24"/>
          <w:highlight w:val="yellow"/>
        </w:rPr>
      </w:pPr>
      <w:r w:rsidDel="00000000" w:rsidR="00000000" w:rsidRPr="00000000">
        <w:rPr>
          <w:rFonts w:ascii="Times New Roman" w:cs="Times New Roman" w:eastAsia="Times New Roman" w:hAnsi="Times New Roman"/>
          <w:color w:val="000000"/>
          <w:sz w:val="24"/>
          <w:szCs w:val="24"/>
          <w:highlight w:val="yellow"/>
          <w:rtl w:val="0"/>
        </w:rPr>
        <w:t xml:space="preserve">Leg. ativo (autor): Lojão Chalé Ltda. (qualificação completa) </w:t>
      </w:r>
    </w:p>
    <w:p w:rsidR="00000000" w:rsidDel="00000000" w:rsidP="00000000" w:rsidRDefault="00000000" w:rsidRPr="00000000" w14:paraId="0000000F">
      <w:pPr>
        <w:spacing w:after="0" w:line="360" w:lineRule="auto"/>
        <w:jc w:val="both"/>
        <w:rPr>
          <w:rFonts w:ascii="Times New Roman" w:cs="Times New Roman" w:eastAsia="Times New Roman" w:hAnsi="Times New Roman"/>
          <w:color w:val="000000"/>
          <w:sz w:val="24"/>
          <w:szCs w:val="24"/>
          <w:highlight w:val="yellow"/>
        </w:rPr>
      </w:pPr>
      <w:r w:rsidDel="00000000" w:rsidR="00000000" w:rsidRPr="00000000">
        <w:rPr>
          <w:rFonts w:ascii="Times New Roman" w:cs="Times New Roman" w:eastAsia="Times New Roman" w:hAnsi="Times New Roman"/>
          <w:color w:val="000000"/>
          <w:sz w:val="24"/>
          <w:szCs w:val="24"/>
          <w:highlight w:val="yellow"/>
          <w:rtl w:val="0"/>
        </w:rPr>
        <w:t xml:space="preserve">OBS: Art. 77, inciso V do CPC, indicar o endereço do patrono da causa. </w:t>
      </w:r>
    </w:p>
    <w:p w:rsidR="00000000" w:rsidDel="00000000" w:rsidP="00000000" w:rsidRDefault="00000000" w:rsidRPr="00000000" w14:paraId="00000010">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yellow"/>
          <w:rtl w:val="0"/>
        </w:rPr>
        <w:t xml:space="preserve">Leg. Passivo (réu): Peçanha (qualificação completa)</w:t>
      </w:r>
      <w:r w:rsidDel="00000000" w:rsidR="00000000" w:rsidRPr="00000000">
        <w:rPr>
          <w:rtl w:val="0"/>
        </w:rPr>
      </w:r>
    </w:p>
    <w:p w:rsidR="00000000" w:rsidDel="00000000" w:rsidP="00000000" w:rsidRDefault="00000000" w:rsidRPr="00000000" w14:paraId="00000011">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rFonts w:ascii="Times New Roman" w:cs="Times New Roman" w:eastAsia="Times New Roman" w:hAnsi="Times New Roman"/>
          <w:color w:val="ee1d24"/>
          <w:sz w:val="24"/>
          <w:szCs w:val="24"/>
        </w:rPr>
      </w:pPr>
      <w:r w:rsidDel="00000000" w:rsidR="00000000" w:rsidRPr="00000000">
        <w:rPr>
          <w:rFonts w:ascii="Times New Roman" w:cs="Times New Roman" w:eastAsia="Times New Roman" w:hAnsi="Times New Roman"/>
          <w:color w:val="ee1d24"/>
          <w:sz w:val="24"/>
          <w:szCs w:val="24"/>
          <w:rtl w:val="0"/>
        </w:rPr>
        <w:t xml:space="preserve">(espaço de duas linhas)</w:t>
      </w:r>
    </w:p>
    <w:p w:rsidR="00000000" w:rsidDel="00000000" w:rsidP="00000000" w:rsidRDefault="00000000" w:rsidRPr="00000000" w14:paraId="00000013">
      <w:pPr>
        <w:spacing w:after="0" w:line="360" w:lineRule="auto"/>
        <w:jc w:val="both"/>
        <w:rPr>
          <w:rFonts w:ascii="Times New Roman" w:cs="Times New Roman" w:eastAsia="Times New Roman" w:hAnsi="Times New Roman"/>
          <w:color w:val="ee1d24"/>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 OPÇÃO DO AUTOR PELA REALIZAÇÃO DA AUDIÊNCIA DE CONCILIAÇÃO</w:t>
      </w:r>
    </w:p>
    <w:p w:rsidR="00000000" w:rsidDel="00000000" w:rsidP="00000000" w:rsidRDefault="00000000" w:rsidRPr="00000000" w14:paraId="00000015">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DOS FATOS</w:t>
      </w:r>
    </w:p>
    <w:p w:rsidR="00000000" w:rsidDel="00000000" w:rsidP="00000000" w:rsidRDefault="00000000" w:rsidRPr="00000000" w14:paraId="00000017">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yellow"/>
          <w:rtl w:val="0"/>
        </w:rPr>
        <w:t xml:space="preserve">Fatos: Narrados em ordem cronológica, em parágrafos curtos e de forma impessoal.</w:t>
      </w:r>
      <w:r w:rsidDel="00000000" w:rsidR="00000000" w:rsidRPr="00000000">
        <w:rPr>
          <w:rtl w:val="0"/>
        </w:rPr>
      </w:r>
    </w:p>
    <w:p w:rsidR="00000000" w:rsidDel="00000000" w:rsidP="00000000" w:rsidRDefault="00000000" w:rsidRPr="00000000" w14:paraId="00000018">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Observar a regra contida no § 2°, do artigo 700 do CPC.</w:t>
      </w:r>
    </w:p>
    <w:p w:rsidR="00000000" w:rsidDel="00000000" w:rsidP="00000000" w:rsidRDefault="00000000" w:rsidRPr="00000000" w14:paraId="00000019">
      <w:pPr>
        <w:spacing w:after="0" w:line="360" w:lineRule="auto"/>
        <w:jc w:val="both"/>
        <w:rPr>
          <w:rFonts w:ascii="Times New Roman" w:cs="Times New Roman" w:eastAsia="Times New Roman" w:hAnsi="Times New Roman"/>
          <w:color w:val="ee1d24"/>
          <w:sz w:val="24"/>
          <w:szCs w:val="24"/>
        </w:rPr>
      </w:pPr>
      <w:r w:rsidDel="00000000" w:rsidR="00000000" w:rsidRPr="00000000">
        <w:rPr>
          <w:rFonts w:ascii="Times New Roman" w:cs="Times New Roman" w:eastAsia="Times New Roman" w:hAnsi="Times New Roman"/>
          <w:color w:val="ee1d24"/>
          <w:sz w:val="24"/>
          <w:szCs w:val="24"/>
          <w:rtl w:val="0"/>
        </w:rPr>
        <w:t xml:space="preserve">(espaço de uma linha)</w:t>
      </w:r>
    </w:p>
    <w:p w:rsidR="00000000" w:rsidDel="00000000" w:rsidP="00000000" w:rsidRDefault="00000000" w:rsidRPr="00000000" w14:paraId="0000001A">
      <w:pPr>
        <w:spacing w:after="0" w:line="360" w:lineRule="auto"/>
        <w:jc w:val="both"/>
        <w:rPr>
          <w:rFonts w:ascii="Times New Roman" w:cs="Times New Roman" w:eastAsia="Times New Roman" w:hAnsi="Times New Roman"/>
          <w:color w:val="ee1d24"/>
          <w:sz w:val="24"/>
          <w:szCs w:val="24"/>
        </w:rPr>
      </w:pPr>
      <w:r w:rsidDel="00000000" w:rsidR="00000000" w:rsidRPr="00000000">
        <w:rPr>
          <w:rFonts w:ascii="Times New Roman" w:cs="Times New Roman" w:eastAsia="Times New Roman" w:hAnsi="Times New Roman"/>
          <w:color w:val="ee1d24"/>
          <w:sz w:val="24"/>
          <w:szCs w:val="24"/>
          <w:rtl w:val="0"/>
        </w:rPr>
        <w:t xml:space="preserve">(espaço de uma linha)</w:t>
      </w:r>
    </w:p>
    <w:p w:rsidR="00000000" w:rsidDel="00000000" w:rsidP="00000000" w:rsidRDefault="00000000" w:rsidRPr="00000000" w14:paraId="0000001B">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DOS FUNDAMENTOS</w:t>
      </w:r>
    </w:p>
    <w:p w:rsidR="00000000" w:rsidDel="00000000" w:rsidP="00000000" w:rsidRDefault="00000000" w:rsidRPr="00000000" w14:paraId="0000001C">
      <w:pPr>
        <w:spacing w:line="360" w:lineRule="auto"/>
        <w:jc w:val="both"/>
        <w:rPr>
          <w:rFonts w:ascii="Times New Roman" w:cs="Times New Roman" w:eastAsia="Times New Roman" w:hAnsi="Times New Roman"/>
          <w:color w:val="ee1d24"/>
          <w:sz w:val="24"/>
          <w:szCs w:val="24"/>
        </w:rPr>
      </w:pPr>
      <w:r w:rsidDel="00000000" w:rsidR="00000000" w:rsidRPr="00000000">
        <w:rPr>
          <w:rFonts w:ascii="Times New Roman" w:cs="Times New Roman" w:eastAsia="Times New Roman" w:hAnsi="Times New Roman"/>
          <w:color w:val="ee1d24"/>
          <w:sz w:val="24"/>
          <w:szCs w:val="24"/>
          <w:rtl w:val="0"/>
        </w:rPr>
        <w:t xml:space="preserve">(espaço de uma linha)</w:t>
      </w:r>
    </w:p>
    <w:p w:rsidR="00000000" w:rsidDel="00000000" w:rsidP="00000000" w:rsidRDefault="00000000" w:rsidRPr="00000000" w14:paraId="0000001D">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Artigo 700,</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caput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inciso I do CPC. Trata-se o caso em tela de nota promissória prescrita visto que já se passaram mais de 03 anos da data do vencimento e a data da solicitação de cobrança judicial.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Súmula 504 do STJ: “O prazo para ajuizamento de ação monitória em face do emitente de nota promissória sem força executiva é quinquenal, a contar do dia seguinte ao vencimento do título”.</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Quando cabível a ação monitória é considerada uma via processual facultativa ao autor, dotada de maior celeridade do que o ajuizamento de demanda simplesmente condenatória</w:t>
      </w:r>
      <w:r w:rsidDel="00000000" w:rsidR="00000000" w:rsidRPr="00000000">
        <w:rPr>
          <w:rFonts w:ascii="Times New Roman" w:cs="Times New Roman" w:eastAsia="Times New Roman" w:hAnsi="Times New Roman"/>
          <w:sz w:val="24"/>
          <w:szCs w:val="24"/>
          <w:rtl w:val="0"/>
        </w:rPr>
        <w:t xml:space="preserve">, uma vez que autoriza, se evidente o direito do autor, o deferimento pelo juiz, da expedição de mandado de pagamento, de entrega da coisa ou para execução de obrigação de fazer ou de não fazer. </w:t>
      </w:r>
    </w:p>
    <w:p w:rsidR="00000000" w:rsidDel="00000000" w:rsidP="00000000" w:rsidRDefault="00000000" w:rsidRPr="00000000" w14:paraId="0000002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Em síntese: Na petição inicial da ação monitória, o autor deve explicitar o conteúdo patrimonial em discussão, de modo que devem constar no texto da resposta na parte referente aos fundamentos jurídicos: a) a origem do crédito: aquisição de eletrodomésticos pelo devedor, ora réu; b) o crédito está representado em nota promissória emitida pelo réu; c) não houve novação na emissão da nota promissória em relação ao crédito por ter sido emitida em caráter pro solvendo; d) do dia seguinte ao do vencimento da nota promissória até a data da propositura da ação, decorreram mais de 3 (três) anos, verificando-se a prescrição da pretensão à execução, nos termos do Art. 77 c/c os artigos 70 e 78, todos do Decreto nº57.663/66; e) com a perda da eficácia executiva do título ainda é cabível a cobrança por via de ação monitória, nos termos do Art. 700, inciso I, do CPC/15.</w:t>
      </w:r>
      <w:r w:rsidDel="00000000" w:rsidR="00000000" w:rsidRPr="00000000">
        <w:rPr>
          <w:rtl w:val="0"/>
        </w:rPr>
      </w:r>
    </w:p>
    <w:p w:rsidR="00000000" w:rsidDel="00000000" w:rsidP="00000000" w:rsidRDefault="00000000" w:rsidRPr="00000000" w14:paraId="00000025">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rFonts w:ascii="Times New Roman" w:cs="Times New Roman" w:eastAsia="Times New Roman" w:hAnsi="Times New Roman"/>
          <w:color w:val="ee1d24"/>
          <w:sz w:val="24"/>
          <w:szCs w:val="24"/>
        </w:rPr>
      </w:pPr>
      <w:r w:rsidDel="00000000" w:rsidR="00000000" w:rsidRPr="00000000">
        <w:rPr>
          <w:rFonts w:ascii="Times New Roman" w:cs="Times New Roman" w:eastAsia="Times New Roman" w:hAnsi="Times New Roman"/>
          <w:color w:val="000000"/>
          <w:sz w:val="24"/>
          <w:szCs w:val="24"/>
          <w:rtl w:val="0"/>
        </w:rPr>
        <w:t xml:space="preserve">Nesse sentido, é a doutrina: </w:t>
      </w:r>
      <w:r w:rsidDel="00000000" w:rsidR="00000000" w:rsidRPr="00000000">
        <w:rPr>
          <w:rFonts w:ascii="Times New Roman" w:cs="Times New Roman" w:eastAsia="Times New Roman" w:hAnsi="Times New Roman"/>
          <w:color w:val="ee1d24"/>
          <w:sz w:val="24"/>
          <w:szCs w:val="24"/>
          <w:rtl w:val="0"/>
        </w:rPr>
        <w:t xml:space="preserve">(inserir a doutrina, usar recuo de margem por se tratar de citação, identificar o julgado)</w:t>
      </w:r>
    </w:p>
    <w:p w:rsidR="00000000" w:rsidDel="00000000" w:rsidP="00000000" w:rsidRDefault="00000000" w:rsidRPr="00000000" w14:paraId="00000027">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Nesse sentido, é a jurisprudência do Egrégio Tribunal: (inserir a jurisprudência, usar recuo de margem por se tratar de citação, identificar o julgado)</w:t>
      </w:r>
    </w:p>
    <w:p w:rsidR="00000000" w:rsidDel="00000000" w:rsidP="00000000" w:rsidRDefault="00000000" w:rsidRPr="00000000" w14:paraId="00000028">
      <w:pPr>
        <w:spacing w:after="0" w:line="360" w:lineRule="auto"/>
        <w:jc w:val="both"/>
        <w:rPr>
          <w:rFonts w:ascii="Times New Roman" w:cs="Times New Roman" w:eastAsia="Times New Roman" w:hAnsi="Times New Roman"/>
          <w:color w:val="ee1d24"/>
          <w:sz w:val="24"/>
          <w:szCs w:val="24"/>
        </w:rPr>
      </w:pPr>
      <w:r w:rsidDel="00000000" w:rsidR="00000000" w:rsidRPr="00000000">
        <w:rPr>
          <w:rFonts w:ascii="Times New Roman" w:cs="Times New Roman" w:eastAsia="Times New Roman" w:hAnsi="Times New Roman"/>
          <w:color w:val="ee1d24"/>
          <w:sz w:val="24"/>
          <w:szCs w:val="24"/>
          <w:rtl w:val="0"/>
        </w:rPr>
        <w:t xml:space="preserve">(espaço de uma linha)</w:t>
      </w:r>
    </w:p>
    <w:p w:rsidR="00000000" w:rsidDel="00000000" w:rsidP="00000000" w:rsidRDefault="00000000" w:rsidRPr="00000000" w14:paraId="00000029">
      <w:pPr>
        <w:spacing w:after="0" w:line="360" w:lineRule="auto"/>
        <w:jc w:val="both"/>
        <w:rPr>
          <w:rFonts w:ascii="Times New Roman" w:cs="Times New Roman" w:eastAsia="Times New Roman" w:hAnsi="Times New Roman"/>
          <w:color w:val="ee1d24"/>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DOS PEDIDOS</w:t>
      </w:r>
    </w:p>
    <w:p w:rsidR="00000000" w:rsidDel="00000000" w:rsidP="00000000" w:rsidRDefault="00000000" w:rsidRPr="00000000" w14:paraId="0000002B">
      <w:pPr>
        <w:spacing w:after="0" w:line="360" w:lineRule="auto"/>
        <w:jc w:val="both"/>
        <w:rPr>
          <w:rFonts w:ascii="Times New Roman" w:cs="Times New Roman" w:eastAsia="Times New Roman" w:hAnsi="Times New Roman"/>
          <w:color w:val="ee1d24"/>
          <w:sz w:val="24"/>
          <w:szCs w:val="24"/>
        </w:rPr>
      </w:pPr>
      <w:r w:rsidDel="00000000" w:rsidR="00000000" w:rsidRPr="00000000">
        <w:rPr>
          <w:rFonts w:ascii="Times New Roman" w:cs="Times New Roman" w:eastAsia="Times New Roman" w:hAnsi="Times New Roman"/>
          <w:color w:val="ee1d24"/>
          <w:sz w:val="24"/>
          <w:szCs w:val="24"/>
          <w:rtl w:val="0"/>
        </w:rPr>
        <w:t xml:space="preserve">(espaço de uma linha)</w:t>
      </w:r>
    </w:p>
    <w:p w:rsidR="00000000" w:rsidDel="00000000" w:rsidP="00000000" w:rsidRDefault="00000000" w:rsidRPr="00000000" w14:paraId="0000002C">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Diante do exposto, requer:</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Que seja expedido mandado de citação e de pagamento para que o réu pague ao autor a quantia de R$ 280.000,00, no prazo de 15 dias.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 condenação do réu ao pagamento de honorários advocatícios de 5% sobre o valor de R$ 280.000,00 (duzentos e oitenta mil reais).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 condenação do réu ao pagamento de custas processuais em caso de descumprimento do mandado monitório. </w:t>
      </w:r>
    </w:p>
    <w:p w:rsidR="00000000" w:rsidDel="00000000" w:rsidP="00000000" w:rsidRDefault="00000000" w:rsidRPr="00000000" w14:paraId="0000003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 procedência do pedido para decretar a constituição, de pleno direito, de título executivo judicial, independentemente de qualquer formalidade, se não realizado o pagamento e não apresentados embargos pelo réu.</w:t>
      </w:r>
    </w:p>
    <w:p w:rsidR="00000000" w:rsidDel="00000000" w:rsidP="00000000" w:rsidRDefault="00000000" w:rsidRPr="00000000" w14:paraId="00000032">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yellow"/>
          <w:rtl w:val="0"/>
        </w:rPr>
        <w:t xml:space="preserve">5) em obediência ao Art. 318, parágrafo único c/c o Art. 319, inciso VII, ambos do CPC/15, a indicação de ter interesse (ou não) pela realização de audiência de conciliação ou de mediação.</w:t>
      </w: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color w:val="ee1d24"/>
          <w:sz w:val="24"/>
          <w:szCs w:val="24"/>
        </w:rPr>
      </w:pPr>
      <w:r w:rsidDel="00000000" w:rsidR="00000000" w:rsidRPr="00000000">
        <w:rPr>
          <w:rFonts w:ascii="Times New Roman" w:cs="Times New Roman" w:eastAsia="Times New Roman" w:hAnsi="Times New Roman"/>
          <w:color w:val="ee1d24"/>
          <w:sz w:val="24"/>
          <w:szCs w:val="24"/>
          <w:rtl w:val="0"/>
        </w:rPr>
        <w:t xml:space="preserve">(espaço de uma linha)</w:t>
      </w:r>
    </w:p>
    <w:p w:rsidR="00000000" w:rsidDel="00000000" w:rsidP="00000000" w:rsidRDefault="00000000" w:rsidRPr="00000000" w14:paraId="00000034">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DAS </w:t>
      </w:r>
      <w:commentRangeStart w:id="4"/>
      <w:r w:rsidDel="00000000" w:rsidR="00000000" w:rsidRPr="00000000">
        <w:rPr>
          <w:rFonts w:ascii="Times New Roman" w:cs="Times New Roman" w:eastAsia="Times New Roman" w:hAnsi="Times New Roman"/>
          <w:b w:val="1"/>
          <w:color w:val="000000"/>
          <w:sz w:val="24"/>
          <w:szCs w:val="24"/>
          <w:rtl w:val="0"/>
        </w:rPr>
        <w:t xml:space="preserve">PROVAS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5">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Documental. Artigo 700, caput e §1° do CPC. Requer a produção de prova, especialmente documental. </w:t>
      </w:r>
    </w:p>
    <w:p w:rsidR="00000000" w:rsidDel="00000000" w:rsidP="00000000" w:rsidRDefault="00000000" w:rsidRPr="00000000" w14:paraId="00000036">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yellow"/>
          <w:rtl w:val="0"/>
        </w:rPr>
        <w:t xml:space="preserve">CPC, art. 700. A ação monitória pode ser proposta por aquele que afirmar, com base em prova escrita sem eficácia de título executivo, ter direito de exigir do devedor capaz: § 1o A prova escrita pode consistir em prova oral documentada, produzida antecipadamente nos termos do art. 381.</w:t>
      </w:r>
      <w:r w:rsidDel="00000000" w:rsidR="00000000" w:rsidRPr="00000000">
        <w:rPr>
          <w:rtl w:val="0"/>
        </w:rPr>
      </w:r>
    </w:p>
    <w:p w:rsidR="00000000" w:rsidDel="00000000" w:rsidP="00000000" w:rsidRDefault="00000000" w:rsidRPr="00000000" w14:paraId="00000037">
      <w:pPr>
        <w:spacing w:after="0" w:line="360" w:lineRule="auto"/>
        <w:jc w:val="both"/>
        <w:rPr>
          <w:rFonts w:ascii="Times New Roman" w:cs="Times New Roman" w:eastAsia="Times New Roman" w:hAnsi="Times New Roman"/>
          <w:color w:val="ee1d24"/>
          <w:sz w:val="24"/>
          <w:szCs w:val="24"/>
        </w:rPr>
      </w:pPr>
      <w:r w:rsidDel="00000000" w:rsidR="00000000" w:rsidRPr="00000000">
        <w:rPr>
          <w:rFonts w:ascii="Times New Roman" w:cs="Times New Roman" w:eastAsia="Times New Roman" w:hAnsi="Times New Roman"/>
          <w:color w:val="ee1d24"/>
          <w:sz w:val="24"/>
          <w:szCs w:val="24"/>
          <w:rtl w:val="0"/>
        </w:rPr>
        <w:t xml:space="preserve">(espaço de uma linha)</w:t>
      </w:r>
    </w:p>
    <w:p w:rsidR="00000000" w:rsidDel="00000000" w:rsidP="00000000" w:rsidRDefault="00000000" w:rsidRPr="00000000" w14:paraId="00000038">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DO VALOR DA CAUSA</w:t>
      </w:r>
    </w:p>
    <w:p w:rsidR="00000000" w:rsidDel="00000000" w:rsidP="00000000" w:rsidRDefault="00000000" w:rsidRPr="00000000" w14:paraId="00000039">
      <w:pPr>
        <w:spacing w:after="0" w:line="360" w:lineRule="auto"/>
        <w:jc w:val="both"/>
        <w:rPr>
          <w:rFonts w:ascii="Times New Roman" w:cs="Times New Roman" w:eastAsia="Times New Roman" w:hAnsi="Times New Roman"/>
          <w:color w:val="ee1d24"/>
          <w:sz w:val="24"/>
          <w:szCs w:val="24"/>
        </w:rPr>
      </w:pPr>
      <w:r w:rsidDel="00000000" w:rsidR="00000000" w:rsidRPr="00000000">
        <w:rPr>
          <w:rFonts w:ascii="Times New Roman" w:cs="Times New Roman" w:eastAsia="Times New Roman" w:hAnsi="Times New Roman"/>
          <w:color w:val="000000"/>
          <w:sz w:val="24"/>
          <w:szCs w:val="24"/>
          <w:rtl w:val="0"/>
        </w:rPr>
        <w:t xml:space="preserve">Dá-se à causa o valor de R$... </w:t>
      </w:r>
      <w:r w:rsidDel="00000000" w:rsidR="00000000" w:rsidRPr="00000000">
        <w:rPr>
          <w:rFonts w:ascii="Times New Roman" w:cs="Times New Roman" w:eastAsia="Times New Roman" w:hAnsi="Times New Roman"/>
          <w:color w:val="ee1d24"/>
          <w:sz w:val="24"/>
          <w:szCs w:val="24"/>
          <w:rtl w:val="0"/>
        </w:rPr>
        <w:t xml:space="preserve">(valor da importância da quantia devida, ou da coisa fungível ou infungível ou de bem móvel ou imóvel e ainda, se for o caso, da obrigação de fazer ou de não fazer, por extenso)</w:t>
      </w:r>
    </w:p>
    <w:p w:rsidR="00000000" w:rsidDel="00000000" w:rsidP="00000000" w:rsidRDefault="00000000" w:rsidRPr="00000000" w14:paraId="0000003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Valor da causa: Art. 700, § 3° do CPC (o valor da importância devida). R$ 280.000,00 (duzentos e oitenta mil reais).</w:t>
      </w:r>
      <w:r w:rsidDel="00000000" w:rsidR="00000000" w:rsidRPr="00000000">
        <w:rPr>
          <w:rtl w:val="0"/>
        </w:rPr>
      </w:r>
    </w:p>
    <w:p w:rsidR="00000000" w:rsidDel="00000000" w:rsidP="00000000" w:rsidRDefault="00000000" w:rsidRPr="00000000" w14:paraId="0000003B">
      <w:pPr>
        <w:spacing w:after="0" w:line="360" w:lineRule="auto"/>
        <w:jc w:val="both"/>
        <w:rPr>
          <w:rFonts w:ascii="Times New Roman" w:cs="Times New Roman" w:eastAsia="Times New Roman" w:hAnsi="Times New Roman"/>
          <w:color w:val="ee1d24"/>
          <w:sz w:val="24"/>
          <w:szCs w:val="24"/>
        </w:rPr>
      </w:pPr>
      <w:r w:rsidDel="00000000" w:rsidR="00000000" w:rsidRPr="00000000">
        <w:rPr>
          <w:rFonts w:ascii="Times New Roman" w:cs="Times New Roman" w:eastAsia="Times New Roman" w:hAnsi="Times New Roman"/>
          <w:color w:val="ee1d24"/>
          <w:sz w:val="24"/>
          <w:szCs w:val="24"/>
          <w:rtl w:val="0"/>
        </w:rPr>
        <w:t xml:space="preserve">(espaço de duas linhas)</w:t>
      </w:r>
    </w:p>
    <w:p w:rsidR="00000000" w:rsidDel="00000000" w:rsidP="00000000" w:rsidRDefault="00000000" w:rsidRPr="00000000" w14:paraId="0000003C">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Nestes termos, </w:t>
      </w:r>
    </w:p>
    <w:p w:rsidR="00000000" w:rsidDel="00000000" w:rsidP="00000000" w:rsidRDefault="00000000" w:rsidRPr="00000000" w14:paraId="0000003D">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Pede deferimento.</w:t>
      </w:r>
    </w:p>
    <w:p w:rsidR="00000000" w:rsidDel="00000000" w:rsidP="00000000" w:rsidRDefault="00000000" w:rsidRPr="00000000" w14:paraId="0000003E">
      <w:pPr>
        <w:spacing w:after="0" w:line="360" w:lineRule="auto"/>
        <w:jc w:val="both"/>
        <w:rPr>
          <w:rFonts w:ascii="Times New Roman" w:cs="Times New Roman" w:eastAsia="Times New Roman" w:hAnsi="Times New Roman"/>
          <w:color w:val="ee1d24"/>
          <w:sz w:val="24"/>
          <w:szCs w:val="24"/>
        </w:rPr>
      </w:pPr>
      <w:r w:rsidDel="00000000" w:rsidR="00000000" w:rsidRPr="00000000">
        <w:rPr>
          <w:rFonts w:ascii="Times New Roman" w:cs="Times New Roman" w:eastAsia="Times New Roman" w:hAnsi="Times New Roman"/>
          <w:color w:val="ee1d24"/>
          <w:sz w:val="24"/>
          <w:szCs w:val="24"/>
          <w:rtl w:val="0"/>
        </w:rPr>
        <w:t xml:space="preserve">(espaço de uma linha)</w:t>
      </w:r>
    </w:p>
    <w:p w:rsidR="00000000" w:rsidDel="00000000" w:rsidP="00000000" w:rsidRDefault="00000000" w:rsidRPr="00000000" w14:paraId="0000003F">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Local e data.</w:t>
      </w:r>
    </w:p>
    <w:p w:rsidR="00000000" w:rsidDel="00000000" w:rsidP="00000000" w:rsidRDefault="00000000" w:rsidRPr="00000000" w14:paraId="00000040">
      <w:pPr>
        <w:spacing w:line="360" w:lineRule="auto"/>
        <w:jc w:val="both"/>
        <w:rPr>
          <w:rFonts w:ascii="Times New Roman" w:cs="Times New Roman" w:eastAsia="Times New Roman" w:hAnsi="Times New Roman"/>
          <w:color w:val="ee1d24"/>
          <w:sz w:val="24"/>
          <w:szCs w:val="24"/>
        </w:rPr>
      </w:pPr>
      <w:r w:rsidDel="00000000" w:rsidR="00000000" w:rsidRPr="00000000">
        <w:rPr>
          <w:rFonts w:ascii="Times New Roman" w:cs="Times New Roman" w:eastAsia="Times New Roman" w:hAnsi="Times New Roman"/>
          <w:color w:val="ee1d24"/>
          <w:sz w:val="24"/>
          <w:szCs w:val="24"/>
          <w:rtl w:val="0"/>
        </w:rPr>
        <w:t xml:space="preserve">(espaço de duas linhas)</w:t>
      </w:r>
    </w:p>
    <w:p w:rsidR="00000000" w:rsidDel="00000000" w:rsidP="00000000" w:rsidRDefault="00000000" w:rsidRPr="00000000" w14:paraId="00000041">
      <w:pPr>
        <w:spacing w:after="0" w:line="360" w:lineRule="auto"/>
        <w:jc w:val="both"/>
        <w:rPr>
          <w:rFonts w:ascii="Times New Roman" w:cs="Times New Roman" w:eastAsia="Times New Roman" w:hAnsi="Times New Roman"/>
          <w:color w:val="ee1d24"/>
          <w:sz w:val="24"/>
          <w:szCs w:val="24"/>
        </w:rPr>
      </w:pPr>
      <w:r w:rsidDel="00000000" w:rsidR="00000000" w:rsidRPr="00000000">
        <w:rPr>
          <w:rFonts w:ascii="Times New Roman" w:cs="Times New Roman" w:eastAsia="Times New Roman" w:hAnsi="Times New Roman"/>
          <w:color w:val="000000"/>
          <w:sz w:val="24"/>
          <w:szCs w:val="24"/>
          <w:rtl w:val="0"/>
        </w:rPr>
        <w:t xml:space="preserve">Advogado </w:t>
      </w:r>
      <w:r w:rsidDel="00000000" w:rsidR="00000000" w:rsidRPr="00000000">
        <w:rPr>
          <w:rFonts w:ascii="Times New Roman" w:cs="Times New Roman" w:eastAsia="Times New Roman" w:hAnsi="Times New Roman"/>
          <w:color w:val="ee1d24"/>
          <w:sz w:val="24"/>
          <w:szCs w:val="24"/>
          <w:rtl w:val="0"/>
        </w:rPr>
        <w:t xml:space="preserve">(nome completo do advogado e sua assinatura). </w:t>
      </w:r>
    </w:p>
    <w:p w:rsidR="00000000" w:rsidDel="00000000" w:rsidP="00000000" w:rsidRDefault="00000000" w:rsidRPr="00000000" w14:paraId="0000004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OAB/UF n.... </w:t>
      </w:r>
      <w:r w:rsidDel="00000000" w:rsidR="00000000" w:rsidRPr="00000000">
        <w:rPr>
          <w:rFonts w:ascii="Times New Roman" w:cs="Times New Roman" w:eastAsia="Times New Roman" w:hAnsi="Times New Roman"/>
          <w:color w:val="ee1d24"/>
          <w:sz w:val="24"/>
          <w:szCs w:val="24"/>
          <w:rtl w:val="0"/>
        </w:rPr>
        <w:t xml:space="preserve">(sigla do Estado da Federação e número da OAB)</w:t>
      </w:r>
      <w:r w:rsidDel="00000000" w:rsidR="00000000" w:rsidRPr="00000000">
        <w:rPr>
          <w:rtl w:val="0"/>
        </w:rPr>
      </w:r>
    </w:p>
    <w:sectPr>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riscilla Oliveira" w:id="1" w:date="2020-03-25T17:14:00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Juízo competente será uma das duas Varas Cíveis da Comarca de São Lourenço/MG, lugar do pagamento e domicílio do subscritor da nota promissória (Art. 53, inciso III, alínea d, do CPC/15</w:t>
      </w:r>
    </w:p>
  </w:comment>
  <w:comment w:author="Priscilla Oliveira" w:id="3" w:date="2020-03-23T23:24:00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CPC, art. 700. A ação monitória pode ser proposta por aquele que afirmar, com base em prova escrita sem eficácia de título executivo, ter direito de exigir do devedor capaz:</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 o pagamento de quantia em dinheiro;</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 a entrega de coisa fungível ou infungível ou de bem móvel ou imóvel;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 o adimplemento de obrigação de fazer ou de não fazer.</w:t>
      </w:r>
    </w:p>
  </w:comment>
  <w:comment w:author="Priscilla Oliveira" w:id="2" w:date="2020-03-23T23:21:00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petição deverá observar o que couber a redação do artigo 319 do CPC, seguindo o que determina o § 1° do artigo 700 do CPC: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CPC, art. 700. A ação monitória pode ser proposta por aquele que afirmar, com base em prova escrita sem eficácia de título executivo, ter direito de exigir do devedor capaz: [...] § 2o Na petição inicial, incumbe ao autor explicitar, conforme o caso: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 a importância devida, instruindo-a com memória de cálculo;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 o valor atual da coisa reclamada;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 o conteúdo patrimonial em discussão ou o proveito econômico perseguido.</w:t>
      </w:r>
    </w:p>
  </w:comment>
  <w:comment w:author="Priscilla Oliveira" w:id="0" w:date="2020-03-23T23:20:00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Pelas datas citadas no enunciado (25/01/2013 e 05/01/2017), verifica-se o decurso de mais de 03 anos entre a data do vencimento e a data da solicitação de cobrança judicial. Assim sendo, é patente a ocorrência da prescrição da pretensão à execução da nota promissória.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nota promissória prescrita perde o seu condão de executoriedade e transforma-se em um simples documento escrito, sem eficácia de título executivo a ensejar a ação monitória.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acordo com o art. 77 do Decreto nº 57.663/66, aplicam-se à nota promissória as disposições relativas à prescrição da letra de câmbio. Por sua vez, o art. 70 do mesmo diploma legal estatui o prazo de três (3) anos para a propositura da ação por falta de pagamento em face do aceitante, contados do vencimento da cártula.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Também sobre o tema escreve o CC/02: Art. 206. Prescreve: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3o Em três anos: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VIII - a pretensão para haver o pagamento de título de crédito, a contar do vencimento, ressalvadas as disposições de lei especial.</w:t>
      </w:r>
    </w:p>
  </w:comment>
  <w:comment w:author="Priscilla Oliveira" w:id="4" w:date="2020-03-25T17:17:00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 provas: a petição deverá estar necessariamente instruída com a prova escrita sem eficácia de título executivo (nota promissória), nos termos do Art. 700, caput, do CPC/15. Portanto, o examinando deverá fazer referência expressa a ela, bem como à memória de cálculo que serviu de base para apuração da importância devida (Art. 700, § 2º, inciso I, do CPC/15).</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