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УСЛОВИЯ ЛАБОРАТОРНЫХ РАБОТ ЗА ТРЕТИЙ СЕМЕСТР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По курсу Алгоритмы и Структуры Данных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предмет: Алгоритмы и структуры данных. Лабораторная работа</w:t>
      </w: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: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качестве входной информации для следующих лабораторных работ  вводится символьная строка (бинарное дерево) с помощью линейно-скобочной записи. Например 8 (3 (1, 6 (4,7)), 10 (, 14(13,)))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Что соответствует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object w:dxaOrig="4575" w:dyaOrig="3603">
          <v:rect xmlns:o="urn:schemas-microsoft-com:office:office" xmlns:v="urn:schemas-microsoft-com:vml" id="rectole0000000000" style="width:228.750000pt;height:180.1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Структура бинарного дерева создается с помощь динамических переменных.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Лаба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15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“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Рекурсивные обходы (прямой, центральный, концевой)”</w:t>
      </w:r>
    </w:p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object w:dxaOrig="8301" w:dyaOrig="5365">
          <v:rect xmlns:o="urn:schemas-microsoft-com:office:office" xmlns:v="urn:schemas-microsoft-com:vml" id="rectole0000000001" style="width:415.050000pt;height:268.2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Лаба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16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“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Не рекурсивный прямой обход” (реализуется с помощью стека).</w:t>
      </w:r>
    </w:p>
    <w:p>
      <w:pPr>
        <w:spacing w:before="0" w:after="0" w:line="276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качестве выходных данных формируется строка обхода. Например: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Бинарное дерево поиска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Лаба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17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“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Операции над БНП: поиск, добавление, удаление”</w:t>
      </w:r>
    </w:p>
    <w:p>
      <w:pPr>
        <w:spacing w:before="0" w:after="0" w:line="276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Дерево вводится в программу в формате линейно-скобочной записи. Затем появляется меню, в котором доступна операция добавления, удаления и поиска вершины БДП. После выполнения операции программа должна возвращаться снова в меню. При выходе их него до завершения программы на экран должно быть выведено БДН любым способом (в виде линейно-скобочной записи или в графической форме).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styles.xml" Id="docRId5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numbering.xml" Id="docRId4" Type="http://schemas.openxmlformats.org/officeDocument/2006/relationships/numbering" /></Relationships>
</file>