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color w:val="1F3864"/>
          <w:sz w:val="34"/>
          <w:szCs w:val="34"/>
        </w:rPr>
        <w:t xml:space="preserve">FULL STACK WEB DEVELOPMENT</w:t>
      </w:r>
    </w:p>
    <w:p>
      <w:pPr>
        <w:spacing w:after="600"/>
        <w:jc w:val="center"/>
      </w:pPr>
      <w:r>
        <w:rPr>
          <w:rFonts w:ascii="Times New Roman" w:cs="Times New Roman" w:eastAsia="Times New Roman" w:hAnsi="Times New Roman"/>
          <w:b/>
          <w:bCs/>
          <w:color w:val="1F3864"/>
          <w:sz w:val="30"/>
          <w:szCs w:val="30"/>
        </w:rPr>
        <w:t xml:space="preserve">PROJECT REPORT</w:t>
      </w:r>
    </w:p>
    <w:p>
      <w:pPr>
        <w:spacing w:after="200"/>
        <w:jc w:val="center"/>
      </w:pPr>
      <w:r>
        <w:drawing>
          <wp:inline distT="0" distB="0" distL="0" distR="0">
            <wp:extent cx="105156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51560" cy="1047750"/>
                    </a:xfrm>
                    <a:prstGeom prst="rect">
                      <a:avLst/>
                    </a:prstGeom>
                  </pic:spPr>
                </pic:pic>
              </a:graphicData>
            </a:graphic>
          </wp:inline>
        </w:drawing>
      </w:r>
    </w:p>
    <w:p>
      <w:pPr>
        <w:spacing w:after="60"/>
        <w:jc w:val="center"/>
      </w:pPr>
      <w:r>
        <w:rPr>
          <w:rFonts w:ascii="Times New Roman" w:cs="Times New Roman" w:eastAsia="Times New Roman" w:hAnsi="Times New Roman"/>
          <w:b/>
          <w:bCs/>
          <w:sz w:val="56"/>
          <w:szCs w:val="56"/>
        </w:rPr>
        <w:t xml:space="preserve">QuantLens</w:t>
      </w:r>
    </w:p>
    <w:p>
      <w:pPr>
        <w:spacing w:after="640"/>
        <w:jc w:val="center"/>
      </w:pPr>
      <w:r>
        <w:rPr>
          <w:rFonts w:ascii="Times New Roman" w:cs="Times New Roman" w:eastAsia="Times New Roman" w:hAnsi="Times New Roman"/>
          <w:i/>
          <w:iCs/>
          <w:sz w:val="30"/>
          <w:szCs w:val="30"/>
        </w:rPr>
        <w:t xml:space="preserve">A Mathematical Stock Analysis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EA9C1" w:sz="4"/>
              <w:left w:val="single" w:color="8EA9C1" w:sz="4"/>
              <w:bottom w:val="single" w:color="8EA9C1" w:sz="4"/>
              <w:right w:val="single" w:color="8EA9C1" w:sz="4"/>
            </w:tcBorders>
            <w:shd w:fill="EEF3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360"/>
            <w:tcBorders>
              <w:top w:val="single" w:color="8EA9C1" w:sz="4"/>
              <w:left w:val="single" w:color="8EA9C1" w:sz="4"/>
              <w:bottom w:val="single" w:color="8EA9C1" w:sz="4"/>
              <w:right w:val="single" w:color="8EA9C1" w:sz="4"/>
            </w:tcBorders>
            <w:tcMar>
              <w:top w:type="dxa" w:w="80"/>
              <w:left w:type="dxa" w:w="120"/>
              <w:bottom w:type="dxa" w:w="80"/>
              <w:right w:type="dxa" w:w="120"/>
            </w:tcMar>
          </w:tcPr>
          <w:p>
            <w:r>
              <w:rPr>
                <w:rFonts w:ascii="Times New Roman" w:cs="Times New Roman" w:eastAsia="Times New Roman" w:hAnsi="Times New Roman"/>
                <w:sz w:val="24"/>
                <w:szCs w:val="24"/>
              </w:rPr>
              <w:t xml:space="preserve">CSE (Artificial Intelligence &amp; Machine Learning)</w:t>
            </w:r>
          </w:p>
        </w:tc>
      </w:tr>
      <w:tr>
        <w:tc>
          <w:tcPr>
            <w:tcW w:type="dxa" w:w="3000"/>
            <w:tcBorders>
              <w:top w:val="single" w:color="8EA9C1" w:sz="4"/>
              <w:left w:val="single" w:color="8EA9C1" w:sz="4"/>
              <w:bottom w:val="single" w:color="8EA9C1" w:sz="4"/>
              <w:right w:val="single" w:color="8EA9C1" w:sz="4"/>
            </w:tcBorders>
            <w:shd w:fill="EEF3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Subject</w:t>
            </w:r>
          </w:p>
        </w:tc>
        <w:tc>
          <w:tcPr>
            <w:tcW w:type="dxa" w:w="6360"/>
            <w:tcBorders>
              <w:top w:val="single" w:color="8EA9C1" w:sz="4"/>
              <w:left w:val="single" w:color="8EA9C1" w:sz="4"/>
              <w:bottom w:val="single" w:color="8EA9C1" w:sz="4"/>
              <w:right w:val="single" w:color="8EA9C1" w:sz="4"/>
            </w:tcBorders>
            <w:tcMar>
              <w:top w:type="dxa" w:w="80"/>
              <w:left w:type="dxa" w:w="120"/>
              <w:bottom w:type="dxa" w:w="80"/>
              <w:right w:type="dxa" w:w="120"/>
            </w:tcMar>
          </w:tcPr>
          <w:p>
            <w:r>
              <w:rPr>
                <w:rFonts w:ascii="Times New Roman" w:cs="Times New Roman" w:eastAsia="Times New Roman" w:hAnsi="Times New Roman"/>
                <w:sz w:val="24"/>
                <w:szCs w:val="24"/>
              </w:rPr>
              <w:t xml:space="preserve">Full Stack Web Development</w:t>
            </w:r>
          </w:p>
        </w:tc>
      </w:tr>
      <w:tr>
        <w:tc>
          <w:tcPr>
            <w:tcW w:type="dxa" w:w="3000"/>
            <w:tcBorders>
              <w:top w:val="single" w:color="8EA9C1" w:sz="4"/>
              <w:left w:val="single" w:color="8EA9C1" w:sz="4"/>
              <w:bottom w:val="single" w:color="8EA9C1" w:sz="4"/>
              <w:right w:val="single" w:color="8EA9C1" w:sz="4"/>
            </w:tcBorders>
            <w:shd w:fill="EEF3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Subject Code</w:t>
            </w:r>
          </w:p>
        </w:tc>
        <w:tc>
          <w:tcPr>
            <w:tcW w:type="dxa" w:w="6360"/>
            <w:tcBorders>
              <w:top w:val="single" w:color="8EA9C1" w:sz="4"/>
              <w:left w:val="single" w:color="8EA9C1" w:sz="4"/>
              <w:bottom w:val="single" w:color="8EA9C1" w:sz="4"/>
              <w:right w:val="single" w:color="8EA9C1" w:sz="4"/>
            </w:tcBorders>
            <w:tcMar>
              <w:top w:type="dxa" w:w="80"/>
              <w:left w:type="dxa" w:w="120"/>
              <w:bottom w:type="dxa" w:w="80"/>
              <w:right w:type="dxa" w:w="120"/>
            </w:tcMar>
          </w:tcPr>
          <w:p>
            <w:r>
              <w:rPr>
                <w:rFonts w:ascii="Times New Roman" w:cs="Times New Roman" w:eastAsia="Times New Roman" w:hAnsi="Times New Roman"/>
                <w:sz w:val="24"/>
                <w:szCs w:val="24"/>
              </w:rPr>
              <w:t xml:space="preserve">22CAC11N</w:t>
            </w:r>
          </w:p>
        </w:tc>
      </w:tr>
      <w:tr>
        <w:tc>
          <w:tcPr>
            <w:tcW w:type="dxa" w:w="3000"/>
            <w:tcBorders>
              <w:top w:val="single" w:color="8EA9C1" w:sz="4"/>
              <w:left w:val="single" w:color="8EA9C1" w:sz="4"/>
              <w:bottom w:val="single" w:color="8EA9C1" w:sz="4"/>
              <w:right w:val="single" w:color="8EA9C1" w:sz="4"/>
            </w:tcBorders>
            <w:shd w:fill="EEF3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Project Title / Case Study</w:t>
            </w:r>
          </w:p>
        </w:tc>
        <w:tc>
          <w:tcPr>
            <w:tcW w:type="dxa" w:w="6360"/>
            <w:tcBorders>
              <w:top w:val="single" w:color="8EA9C1" w:sz="4"/>
              <w:left w:val="single" w:color="8EA9C1" w:sz="4"/>
              <w:bottom w:val="single" w:color="8EA9C1" w:sz="4"/>
              <w:right w:val="single" w:color="8EA9C1" w:sz="4"/>
            </w:tcBorders>
            <w:tcMar>
              <w:top w:type="dxa" w:w="80"/>
              <w:left w:type="dxa" w:w="120"/>
              <w:bottom w:type="dxa" w:w="80"/>
              <w:right w:type="dxa" w:w="120"/>
            </w:tcMar>
          </w:tcPr>
          <w:p>
            <w:r>
              <w:rPr>
                <w:rFonts w:ascii="Times New Roman" w:cs="Times New Roman" w:eastAsia="Times New Roman" w:hAnsi="Times New Roman"/>
                <w:sz w:val="24"/>
                <w:szCs w:val="24"/>
              </w:rPr>
              <w:t xml:space="preserve">QuantLens: A Mathematical Stock Analysis Platform</w:t>
            </w:r>
          </w:p>
        </w:tc>
      </w:tr>
    </w:tbl>
    <w:p>
      <w:pPr>
        <w:spacing w:after="200" w:before="640"/>
        <w:jc w:val="center"/>
      </w:pPr>
      <w:r>
        <w:rPr>
          <w:rFonts w:ascii="Times New Roman" w:cs="Times New Roman" w:eastAsia="Times New Roman" w:hAnsi="Times New Roman"/>
          <w:b/>
          <w:bCs/>
          <w:sz w:val="26"/>
          <w:szCs w:val="26"/>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8EA9C1" w:sz="4"/>
              <w:left w:val="single" w:color="8EA9C1" w:sz="4"/>
              <w:bottom w:val="single" w:color="8EA9C1" w:sz="4"/>
              <w:right w:val="single" w:color="8EA9C1"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 No.</w:t>
            </w:r>
          </w:p>
        </w:tc>
        <w:tc>
          <w:tcPr>
            <w:tcW w:type="dxa" w:w="5160"/>
            <w:tcBorders>
              <w:top w:val="single" w:color="8EA9C1" w:sz="4"/>
              <w:left w:val="single" w:color="8EA9C1" w:sz="4"/>
              <w:bottom w:val="single" w:color="8EA9C1" w:sz="4"/>
              <w:right w:val="single" w:color="8EA9C1" w:sz="4"/>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4"/>
                <w:szCs w:val="24"/>
              </w:rPr>
              <w:t xml:space="preserve">Student Name</w:t>
            </w:r>
          </w:p>
        </w:tc>
        <w:tc>
          <w:tcPr>
            <w:tcW w:type="dxa" w:w="3000"/>
            <w:tcBorders>
              <w:top w:val="single" w:color="8EA9C1" w:sz="4"/>
              <w:left w:val="single" w:color="8EA9C1" w:sz="4"/>
              <w:bottom w:val="single" w:color="8EA9C1" w:sz="4"/>
              <w:right w:val="single" w:color="8EA9C1"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Roll Number</w:t>
            </w:r>
          </w:p>
        </w:tc>
      </w:tr>
      <w:tr>
        <w:tc>
          <w:tcPr>
            <w:tcW w:type="dxa" w:w="1200"/>
            <w:tcBorders>
              <w:top w:val="single" w:color="8EA9C1" w:sz="4"/>
              <w:left w:val="single" w:color="8EA9C1" w:sz="4"/>
              <w:bottom w:val="single" w:color="8EA9C1" w:sz="4"/>
              <w:right w:val="single" w:color="8EA9C1"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5160"/>
            <w:tcBorders>
              <w:top w:val="single" w:color="8EA9C1" w:sz="4"/>
              <w:left w:val="single" w:color="8EA9C1" w:sz="4"/>
              <w:bottom w:val="single" w:color="8EA9C1" w:sz="4"/>
              <w:right w:val="single" w:color="8EA9C1"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Mohammed Raahil Ali</w:t>
            </w:r>
          </w:p>
        </w:tc>
        <w:tc>
          <w:tcPr>
            <w:tcW w:type="dxa" w:w="3000"/>
            <w:tcBorders>
              <w:top w:val="single" w:color="8EA9C1" w:sz="4"/>
              <w:left w:val="single" w:color="8EA9C1" w:sz="4"/>
              <w:bottom w:val="single" w:color="8EA9C1" w:sz="4"/>
              <w:right w:val="single" w:color="8EA9C1"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160124748052</w:t>
            </w:r>
          </w:p>
        </w:tc>
      </w:tr>
      <w:tr>
        <w:tc>
          <w:tcPr>
            <w:tcW w:type="dxa" w:w="1200"/>
            <w:tcBorders>
              <w:top w:val="single" w:color="8EA9C1" w:sz="4"/>
              <w:left w:val="single" w:color="8EA9C1" w:sz="4"/>
              <w:bottom w:val="single" w:color="8EA9C1" w:sz="4"/>
              <w:right w:val="single" w:color="8EA9C1"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5160"/>
            <w:tcBorders>
              <w:top w:val="single" w:color="8EA9C1" w:sz="4"/>
              <w:left w:val="single" w:color="8EA9C1" w:sz="4"/>
              <w:bottom w:val="single" w:color="8EA9C1" w:sz="4"/>
              <w:right w:val="single" w:color="8EA9C1"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Shaik Mohammed Younus Saqib</w:t>
            </w:r>
          </w:p>
        </w:tc>
        <w:tc>
          <w:tcPr>
            <w:tcW w:type="dxa" w:w="3000"/>
            <w:tcBorders>
              <w:top w:val="single" w:color="8EA9C1" w:sz="4"/>
              <w:left w:val="single" w:color="8EA9C1" w:sz="4"/>
              <w:bottom w:val="single" w:color="8EA9C1" w:sz="4"/>
              <w:right w:val="single" w:color="8EA9C1"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160124748059</w:t>
            </w:r>
          </w:p>
        </w:tc>
      </w:tr>
    </w:tbl>
    <w:p>
      <w:pPr>
        <w:spacing w:after="200" w:before="640"/>
        <w:jc w:val="center"/>
      </w:pPr>
      <w:r>
        <w:rPr>
          <w:rFonts w:ascii="Times New Roman" w:cs="Times New Roman" w:eastAsia="Times New Roman" w:hAnsi="Times New Roman"/>
          <w:b/>
          <w:bCs/>
          <w:sz w:val="26"/>
          <w:szCs w:val="26"/>
        </w:rPr>
        <w:t xml:space="preserve">Under the guidance of</w:t>
      </w:r>
    </w:p>
    <w:p>
      <w:pPr>
        <w:spacing w:after="60"/>
        <w:jc w:val="center"/>
      </w:pPr>
      <w:r>
        <w:rPr>
          <w:rFonts w:ascii="Times New Roman" w:cs="Times New Roman" w:eastAsia="Times New Roman" w:hAnsi="Times New Roman"/>
          <w:b/>
          <w:bCs/>
          <w:sz w:val="28"/>
          <w:szCs w:val="28"/>
        </w:rPr>
        <w:t xml:space="preserve">Ms. Falak Naaz</w:t>
      </w:r>
    </w:p>
    <w:p>
      <w:pPr>
        <w:spacing w:after="600"/>
        <w:jc w:val="center"/>
      </w:pPr>
      <w:r>
        <w:rPr>
          <w:rFonts w:ascii="Times New Roman" w:cs="Times New Roman" w:eastAsia="Times New Roman" w:hAnsi="Times New Roman"/>
          <w:sz w:val="24"/>
          <w:szCs w:val="24"/>
        </w:rPr>
        <w:t xml:space="preserve">Faculty, Department of CSE (AI &amp; ML)</w:t>
      </w:r>
    </w:p>
    <w:p>
      <w:pPr>
        <w:jc w:val="center"/>
      </w:pPr>
      <w:r>
        <w:rPr>
          <w:rFonts w:ascii="Times New Roman" w:cs="Times New Roman" w:eastAsia="Times New Roman" w:hAnsi="Times New Roman"/>
          <w:sz w:val="24"/>
          <w:szCs w:val="24"/>
        </w:rPr>
        <w:t xml:space="preserve">Date: 29 October 2026</w:t>
      </w:r>
    </w:p>
    <w:p>
      <w:r>
        <w:br w:type="page"/>
      </w:r>
    </w:p>
    <w:p>
      <w:pPr>
        <w:sectPr>
          <w:pgSz w:w="12240" w:h="15840" w:orient="portrait"/>
          <w:pgMar w:top="1300" w:right="1440" w:bottom="1300" w:left="1440" w:header="708" w:footer="708" w:gutter="0"/>
          <w:pgBorders>
            <w:top w:val="double" w:color="1F3864" w:sz="6" w:space="24"/>
            <w:left w:val="double" w:color="1F3864" w:sz="6" w:space="24"/>
            <w:bottom w:val="double" w:color="1F3864" w:sz="6" w:space="24"/>
            <w:right w:val="double" w:color="1F3864" w:sz="6" w:space="24"/>
          </w:pgBorders>
          <w:pgNumType/>
          <w:docGrid w:linePitch="360"/>
        </w:sectPr>
      </w:pP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1. Cover Page</w:t>
      </w:r>
    </w:p>
    <w:p>
      <w:pPr>
        <w:spacing w:after="140" w:line="312"/>
        <w:jc w:val="both"/>
      </w:pPr>
      <w:r>
        <w:rPr>
          <w:rFonts w:ascii="Times New Roman" w:cs="Times New Roman" w:eastAsia="Times New Roman" w:hAnsi="Times New Roman"/>
          <w:sz w:val="24"/>
          <w:szCs w:val="24"/>
        </w:rPr>
        <w:t xml:space="preserve">The cover page above lists the department, subject, subject code, project title, the two team members with their roll numbers, the guiding faculty member and the date of submission, as required by the report format.</w:t>
      </w:r>
    </w:p>
    <w:p>
      <w:pPr>
        <w:keepNext/>
        <w:spacing w:after="80" w:before="100"/>
        <w:jc w:val="center"/>
      </w:pPr>
      <w:r>
        <w:rPr>
          <w:rFonts w:ascii="Times New Roman" w:cs="Times New Roman" w:eastAsia="Times New Roman" w:hAnsi="Times New Roman"/>
          <w:b/>
          <w:bCs/>
          <w:sz w:val="20"/>
          <w:szCs w:val="20"/>
        </w:rPr>
        <w:t xml:space="preserve">Table 1: 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Item</w:t>
            </w:r>
          </w:p>
        </w:tc>
        <w:tc>
          <w:tcPr>
            <w:tcW w:type="dxa" w:w="67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Details</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QuantLens: A Mathematical Stock Analysis Platform</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Team members</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Mohammed Raahil Ali (160124748052), Shaik Mohammed Younus Saqib (160124748059)</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Faculty guide</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Ms. Falak Naaz</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Type of application</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Full-stack single-page web application with REST API, database, cache, job queue and payment gateway</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Source code</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github.com/mra-2007/ventureiq (branch quantlens)</w:t>
            </w:r>
          </w:p>
        </w:tc>
      </w:tr>
    </w:tbl>
    <w:p>
      <w:pPr>
        <w:spacing w:after="160"/>
      </w:pP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2. Abstract (Short Overview)</w:t>
      </w:r>
    </w:p>
    <w:p>
      <w:pPr>
        <w:spacing w:after="140" w:line="312"/>
        <w:jc w:val="both"/>
      </w:pPr>
      <w:r>
        <w:rPr>
          <w:rFonts w:ascii="Times New Roman" w:cs="Times New Roman" w:eastAsia="Times New Roman" w:hAnsi="Times New Roman"/>
          <w:sz w:val="24"/>
          <w:szCs w:val="24"/>
        </w:rPr>
        <w:t xml:space="preserve">QuantLens is a full-stack web application in which a user searches for any listed stock and immediately sees the classic quantitative indicators and risk metrics computed from its historical prices, drawn on interactive charts. The case study selected is a mathematical stock analysis platform: the application uses no artificial intelligence and gives no opinions; every number is produced by a published formula from technical analysis, risk management or portfolio theory, and the formula is shown next to the number.</w:t>
      </w:r>
    </w:p>
    <w:p>
      <w:pPr>
        <w:spacing w:after="140" w:line="312"/>
        <w:jc w:val="both"/>
      </w:pPr>
      <w:r>
        <w:rPr>
          <w:rFonts w:ascii="Times New Roman" w:cs="Times New Roman" w:eastAsia="Times New Roman" w:hAnsi="Times New Roman"/>
          <w:sz w:val="24"/>
          <w:szCs w:val="24"/>
        </w:rPr>
        <w:t xml:space="preserve">The frontend is a React 19 single-page application built with Vite and React Router, using TradingView Lightweight Charts for candlestick charts and Recharts for analytical charts. The backend is a Node.js and Express 5 REST API with a pure-JavaScript math engine. Price data comes from Yahoo Finance (Alpha Vantage is supported as an alternative). PostgreSQL stores users, watchlists, saved strategies and price alerts; Redis caches market data and computed results; BullMQ runs Monte Carlo simulations, backtests and portfolio optimisation as background jobs; JSON Web Tokens secure the API; and Razorpay Checkout handles payment for the Pro plan.</w:t>
      </w:r>
    </w:p>
    <w:p>
      <w:pPr>
        <w:spacing w:after="140" w:line="312"/>
        <w:jc w:val="both"/>
      </w:pPr>
      <w:r>
        <w:rPr>
          <w:rFonts w:ascii="Times New Roman" w:cs="Times New Roman" w:eastAsia="Times New Roman" w:hAnsi="Times New Roman"/>
          <w:sz w:val="24"/>
          <w:szCs w:val="24"/>
        </w:rPr>
        <w:t xml:space="preserve">The finished system computes SMA, EMA, MACD, Bollinger Bands, RSI and the Stochastic oscillator; volatility, Sharpe and Sortino ratios, maximum drawdown, Value at Risk and beta; a correlation heatmap for 2 to 5 stocks; a Markowitz efficient frontier; a linear-regression trendline; a 1,000-path Monte Carlo fan chart; and a rule-based strategy backtester compared with buy-and-hold. All 15 automated tests of the math engine pass, and the complete stack was verified end to end with PostgreSQL, Redis and BullMQ.</w:t>
      </w: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3. Problem Statement</w:t>
      </w:r>
    </w:p>
    <w:p>
      <w:pPr>
        <w:spacing w:after="140" w:line="312"/>
        <w:jc w:val="both"/>
      </w:pPr>
      <w:r>
        <w:rPr>
          <w:rFonts w:ascii="Times New Roman" w:cs="Times New Roman" w:eastAsia="Times New Roman" w:hAnsi="Times New Roman"/>
          <w:sz w:val="24"/>
          <w:szCs w:val="24"/>
        </w:rPr>
        <w:t xml:space="preserve">Retail investors and students who want to understand a stock usually see only its price and a simple line chart. Quantitative measures such as volatility, drawdown, Value at Risk, correlation with other stocks, or the historical performance of a trading rule require spreadsheets, programming knowledge or expensive professional terminals. Free websites that show indicators rarely explain how a number was produced, and many now present AI-generated opinions instead of verifiable mathematics. Free market-data APIs also impose strict rate limits, so a naive application that refetches data for every chart quickly stops working.</w:t>
      </w:r>
    </w:p>
    <w:p>
      <w:pPr>
        <w:spacing w:after="140" w:line="312"/>
        <w:jc w:val="both"/>
      </w:pPr>
      <w:r>
        <w:rPr>
          <w:rFonts w:ascii="Times New Roman" w:cs="Times New Roman" w:eastAsia="Times New Roman" w:hAnsi="Times New Roman"/>
          <w:b/>
          <w:bCs/>
          <w:sz w:val="24"/>
          <w:szCs w:val="24"/>
        </w:rPr>
        <w:t xml:space="preserve">Problem statement: </w:t>
      </w:r>
      <w:r>
        <w:rPr>
          <w:rFonts w:ascii="Times New Roman" w:cs="Times New Roman" w:eastAsia="Times New Roman" w:hAnsi="Times New Roman"/>
          <w:i/>
          <w:iCs/>
          <w:sz w:val="24"/>
          <w:szCs w:val="24"/>
        </w:rPr>
        <w:t xml:space="preserve">“To design and develop a web application that fetches historical price data for any stock, computes standard quantitative indicators, risk metrics, portfolio statistics, forecasts and strategy backtests using transparent mathematical formulas, presents them on interactive charts, and stores each user’s watchlists, saved strategies and price alerts securely, while staying within the rate limits of free market-data APIs.”</w:t>
      </w:r>
    </w:p>
    <w:p>
      <w:pPr>
        <w:keepNext/>
        <w:spacing w:after="80" w:before="100"/>
        <w:jc w:val="center"/>
      </w:pPr>
      <w:r>
        <w:rPr>
          <w:rFonts w:ascii="Times New Roman" w:cs="Times New Roman" w:eastAsia="Times New Roman" w:hAnsi="Times New Roman"/>
          <w:b/>
          <w:bCs/>
          <w:sz w:val="20"/>
          <w:szCs w:val="20"/>
        </w:rPr>
        <w:t xml:space="preserve">Table 2: How QuantLens addresses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Need</w:t>
            </w:r>
          </w:p>
        </w:tc>
        <w:tc>
          <w:tcPr>
            <w:tcW w:type="dxa" w:w="318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Typical free tools</w:t>
            </w:r>
          </w:p>
        </w:tc>
        <w:tc>
          <w:tcPr>
            <w:tcW w:type="dxa" w:w="318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QuantLens</w:t>
            </w:r>
          </w:p>
        </w:tc>
      </w:tr>
      <w:tr>
        <w:trPr>
          <w:cantSplit/>
          <w:tblHeader w:val="off"/>
        </w:trPr>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Indicators on a chart</w:t>
            </w:r>
          </w:p>
        </w:tc>
        <w:tc>
          <w:tcPr>
            <w:tcW w:type="dxa" w:w="318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Available, formulas hidden</w:t>
            </w:r>
          </w:p>
        </w:tc>
        <w:tc>
          <w:tcPr>
            <w:tcW w:type="dxa" w:w="318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Available, each with its formula</w:t>
            </w:r>
          </w:p>
        </w:tc>
      </w:tr>
      <w:tr>
        <w:trPr>
          <w:cantSplit/>
          <w:tblHeader w:val="off"/>
        </w:trPr>
        <w:tc>
          <w:tcPr>
            <w:tcW w:type="dxa" w:w="3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Risk metrics (VaR, drawdown, beta)</w:t>
            </w:r>
          </w:p>
        </w:tc>
        <w:tc>
          <w:tcPr>
            <w:tcW w:type="dxa" w:w="318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Rare or paywalled</w:t>
            </w:r>
          </w:p>
        </w:tc>
        <w:tc>
          <w:tcPr>
            <w:tcW w:type="dxa" w:w="318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Computed for every stock</w:t>
            </w:r>
          </w:p>
        </w:tc>
      </w:tr>
      <w:tr>
        <w:trPr>
          <w:cantSplit/>
          <w:tblHeader w:val="off"/>
        </w:trPr>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Compare several stocks</w:t>
            </w:r>
          </w:p>
        </w:tc>
        <w:tc>
          <w:tcPr>
            <w:tcW w:type="dxa" w:w="318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Side-by-side prices only</w:t>
            </w:r>
          </w:p>
        </w:tc>
        <w:tc>
          <w:tcPr>
            <w:tcW w:type="dxa" w:w="318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Correlation heatmap, beta and risk table</w:t>
            </w:r>
          </w:p>
        </w:tc>
      </w:tr>
      <w:tr>
        <w:trPr>
          <w:cantSplit/>
          <w:tblHeader w:val="off"/>
        </w:trPr>
        <w:tc>
          <w:tcPr>
            <w:tcW w:type="dxa" w:w="3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Test a trading rule</w:t>
            </w:r>
          </w:p>
        </w:tc>
        <w:tc>
          <w:tcPr>
            <w:tcW w:type="dxa" w:w="318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Requires coding</w:t>
            </w:r>
          </w:p>
        </w:tc>
        <w:tc>
          <w:tcPr>
            <w:tcW w:type="dxa" w:w="318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Point-and-click rule builder</w:t>
            </w:r>
          </w:p>
        </w:tc>
      </w:tr>
      <w:tr>
        <w:trPr>
          <w:cantSplit/>
          <w:tblHeader w:val="off"/>
        </w:trPr>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Portfolio optimisation</w:t>
            </w:r>
          </w:p>
        </w:tc>
        <w:tc>
          <w:tcPr>
            <w:tcW w:type="dxa" w:w="318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Professional software</w:t>
            </w:r>
          </w:p>
        </w:tc>
        <w:tc>
          <w:tcPr>
            <w:tcW w:type="dxa" w:w="318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Live Markowitz efficient frontier</w:t>
            </w:r>
          </w:p>
        </w:tc>
      </w:tr>
      <w:tr>
        <w:trPr>
          <w:cantSplit/>
          <w:tblHeader w:val="off"/>
        </w:trPr>
        <w:tc>
          <w:tcPr>
            <w:tcW w:type="dxa" w:w="3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Forecast uncertainty</w:t>
            </w:r>
          </w:p>
        </w:tc>
        <w:tc>
          <w:tcPr>
            <w:tcW w:type="dxa" w:w="318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Single target price</w:t>
            </w:r>
          </w:p>
        </w:tc>
        <w:tc>
          <w:tcPr>
            <w:tcW w:type="dxa" w:w="318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1,000-path Monte Carlo fan chart</w:t>
            </w:r>
          </w:p>
        </w:tc>
      </w:tr>
    </w:tbl>
    <w:p>
      <w:pPr>
        <w:spacing w:after="160"/>
      </w:pP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4. Objectives</w:t>
      </w:r>
    </w:p>
    <w:p>
      <w:pPr>
        <w:spacing w:after="140" w:line="312"/>
        <w:jc w:val="both"/>
      </w:pPr>
      <w:r>
        <w:rPr>
          <w:rFonts w:ascii="Times New Roman" w:cs="Times New Roman" w:eastAsia="Times New Roman" w:hAnsi="Times New Roman"/>
          <w:sz w:val="24"/>
          <w:szCs w:val="24"/>
        </w:rPr>
        <w:t xml:space="preserve">Based on the project scope, the objectives of QuantLens are: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design responsive web pages using HTML and CSS with a consistent design system (colour tokens, typography and a layout grid) that works from mobile phones to desktops.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develop client-side scripting in JavaScript and React for stock search with autocomplete, chart interaction, form validation and polling of background jobs.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design and develop a single-page application with client-side routing (React Router), lazy-loaded pages and a shared authentication context.</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implement backend services as a REST API in Node.js and Express with JWT authentication, input validation, rate limiting and a Free/Pro plan model.</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design the PostgreSQL database schema for users, watchlists, saved strategies and price alerts, and to use Redis to cache price data and computed results.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implement a mathematical engine that computes every indicator in a single O(n) pass using rolling windows, and to run heavy computations (Monte Carlo, backtests, efficient frontier) in a background job queue.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integrate the Razorpay payment gateway for the Pro subscription with server-side signature verification.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verify correctness with automated tests that compare the optimised algorithms against naive reference implementations.</w:t>
      </w: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5. System Design</w:t>
      </w:r>
    </w:p>
    <w:p>
      <w:pPr>
        <w:pStyle w:val="Heading2"/>
        <w:keepNext/>
        <w:spacing w:after="100" w:before="220"/>
      </w:pPr>
      <w:r>
        <w:rPr>
          <w:rFonts w:ascii="Times New Roman" w:cs="Times New Roman" w:eastAsia="Times New Roman" w:hAnsi="Times New Roman"/>
          <w:b/>
          <w:bCs/>
          <w:color w:val="1F3864"/>
          <w:sz w:val="25"/>
          <w:szCs w:val="25"/>
        </w:rPr>
        <w:t xml:space="preserve">5.1 System architecture</w:t>
      </w:r>
    </w:p>
    <w:p>
      <w:pPr>
        <w:spacing w:after="140" w:line="312"/>
        <w:jc w:val="both"/>
      </w:pPr>
      <w:r>
        <w:rPr>
          <w:rFonts w:ascii="Times New Roman" w:cs="Times New Roman" w:eastAsia="Times New Roman" w:hAnsi="Times New Roman"/>
          <w:sz w:val="24"/>
          <w:szCs w:val="24"/>
        </w:rPr>
        <w:t xml:space="preserve">QuantLens follows a three-tier client–server architecture. The React single-page application in the browser communicates only with the Express REST API over HTTPS using JSON, sending the user’s JWT as a Bearer token. The API answers inexpensive requests (search, analysis, comparison) directly and places expensive ones on a BullMQ queue backed by Redis. A worker process takes jobs from the queue, runs them through the same quant engine and stores the result in Redis. PostgreSQL holds all permanent user data, Yahoo Finance supplies prices on a cache miss, Razorpay processes Pro payments, and an alert checker emails users through SMTP.</w:t>
      </w:r>
    </w:p>
    <w:p>
      <w:pPr>
        <w:keepNext/>
        <w:spacing w:after="60" w:before="120"/>
        <w:jc w:val="center"/>
      </w:pPr>
      <w:r>
        <w:drawing>
          <wp:inline distT="0" distB="0" distL="0" distR="0">
            <wp:extent cx="5776377" cy="5124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76377" cy="5124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QuantLens system architecture</w:t>
      </w:r>
    </w:p>
    <w:p>
      <w:pPr>
        <w:pStyle w:val="Heading2"/>
        <w:keepNext/>
        <w:spacing w:after="100" w:before="220"/>
      </w:pPr>
      <w:r>
        <w:rPr>
          <w:rFonts w:ascii="Times New Roman" w:cs="Times New Roman" w:eastAsia="Times New Roman" w:hAnsi="Times New Roman"/>
          <w:b/>
          <w:bCs/>
          <w:color w:val="1F3864"/>
          <w:sz w:val="25"/>
          <w:szCs w:val="25"/>
        </w:rPr>
        <w:t xml:space="preserve">5.2 Technology stack</w:t>
      </w:r>
    </w:p>
    <w:p>
      <w:pPr>
        <w:keepNext/>
        <w:spacing w:after="80" w:before="100"/>
        <w:jc w:val="center"/>
      </w:pPr>
      <w:r>
        <w:rPr>
          <w:rFonts w:ascii="Times New Roman" w:cs="Times New Roman" w:eastAsia="Times New Roman" w:hAnsi="Times New Roman"/>
          <w:b/>
          <w:bCs/>
          <w:sz w:val="20"/>
          <w:szCs w:val="20"/>
        </w:rPr>
        <w:t xml:space="preserve">Table 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Layer</w:t>
            </w:r>
          </w:p>
        </w:tc>
        <w:tc>
          <w:tcPr>
            <w:tcW w:type="dxa" w:w="69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Technology and purpose</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Frontend</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React 19, Vite 8, React Router 7; hand-written CSS design system (no UI framework)</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Charts</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TradingView Lightweight Charts 5 for candlesticks, overlays and oscillator panes; Recharts 3 for the fan chart, frontier, equity curve and histograms</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Backend</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Node.js 22, Express 5, Zod (validation), Helmet (security headers), express-rate-limit, CORS</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Math engine</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Pure JavaScript modules: indicators, stats, risk, portfolio, forecast, backtest, analyze</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Market data</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yahoo-finance2 (default, no API key); Alpha Vantage (optional); seeded demo data for offline use</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Database</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through the pg driver, with an in-memory fallback for local development</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Cache and queue</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Redis (ioredis) for price and result caching; BullMQ for background jobs</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Authentication</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JSON Web Tokens (jsonwebtoken) and bcrypt password hashing (bcryptjs)</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Payments</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Razorpay Checkout with HMAC-SHA256 signature verification on the server</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Email</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Nodemailer (SMTP) for price-alert emails</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Testing and tools</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node:test, ESLint, Playwright (UI screenshots), Git</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5.3 Functional modules</w:t>
      </w:r>
    </w:p>
    <w:p>
      <w:pPr>
        <w:keepNext/>
        <w:spacing w:after="80" w:before="100"/>
        <w:jc w:val="center"/>
      </w:pPr>
      <w:r>
        <w:rPr>
          <w:rFonts w:ascii="Times New Roman" w:cs="Times New Roman" w:eastAsia="Times New Roman" w:hAnsi="Times New Roman"/>
          <w:b/>
          <w:bCs/>
          <w:sz w:val="20"/>
          <w:szCs w:val="20"/>
        </w:rPr>
        <w:t xml:space="preserve">Table 4: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Module</w:t>
            </w:r>
          </w:p>
        </w:tc>
        <w:tc>
          <w:tcPr>
            <w:tcW w:type="dxa" w:w="69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Responsibility</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Authentication</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Register, sign in, JWT issue and verification, plan (Free/Pro) on every request</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Market data</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Symbol search, daily OHLCV history for 6 months to 5 years, Redis caching, provider switch</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Analysis</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Indicators, oscillators, risk metrics, regression trend and plain-language readings for one stock</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Comparison</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Aligns 2–5 price series on common dates; correlation matrix, beta, growth and risk table</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Forecasting</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Monte Carlo simulation of 1,000 price paths with percentile bands and ending-price histogram</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Backtesting</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Rule builder, next-bar execution, stop loss, take profit, fees, equity curve and trade list</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Portfolio</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Annualised moments, 4,000 sampled portfolios, efficient frontier, max-Sharpe and min-volatility weights</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Watchlist and alerts</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Per-user symbols with sparklines; email when a price target is crossed</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Billing</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Razorpay order creation, checkout and signature verification to activate Pro</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5.4 Database design</w:t>
      </w:r>
    </w:p>
    <w:p>
      <w:pPr>
        <w:spacing w:after="140" w:line="312"/>
        <w:jc w:val="both"/>
      </w:pPr>
      <w:r>
        <w:rPr>
          <w:rFonts w:ascii="Times New Roman" w:cs="Times New Roman" w:eastAsia="Times New Roman" w:hAnsi="Times New Roman"/>
          <w:sz w:val="24"/>
          <w:szCs w:val="24"/>
        </w:rPr>
        <w:t xml:space="preserve">The relational schema has four tables. Every child table references users(id) with ON DELETE CASCADE so deleting an account removes all its data. Strategy rule sets and their last result are stored as JSONB, which keeps the schema stable while the rule builder evolves. A partial index on active alerts keeps the five-minute alert check fast.</w:t>
      </w:r>
    </w:p>
    <w:p>
      <w:pPr>
        <w:keepNext/>
        <w:spacing w:after="60" w:before="120"/>
        <w:jc w:val="center"/>
      </w:pPr>
      <w:r>
        <w:drawing>
          <wp:inline distT="0" distB="0" distL="0" distR="0">
            <wp:extent cx="5943600" cy="3990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Entity–relationship diagram of the PostgreSQL schema</w:t>
      </w:r>
    </w:p>
    <w:p>
      <w:pPr>
        <w:keepNext/>
        <w:spacing w:after="80" w:before="100"/>
        <w:jc w:val="center"/>
      </w:pPr>
      <w:r>
        <w:rPr>
          <w:rFonts w:ascii="Times New Roman" w:cs="Times New Roman" w:eastAsia="Times New Roman" w:hAnsi="Times New Roman"/>
          <w:b/>
          <w:bCs/>
          <w:sz w:val="20"/>
          <w:szCs w:val="20"/>
        </w:rPr>
        <w:t xml:space="preserve">Table 5: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cantSplit/>
          <w:tblHeader/>
        </w:trPr>
        <w:tc>
          <w:tcPr>
            <w:tcW w:type="dxa" w:w="22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Table</w:t>
            </w:r>
          </w:p>
        </w:tc>
        <w:tc>
          <w:tcPr>
            <w:tcW w:type="dxa" w:w="43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Key columns</w:t>
            </w:r>
          </w:p>
        </w:tc>
        <w:tc>
          <w:tcPr>
            <w:tcW w:type="dxa" w:w="28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Constraints and notes</w:t>
            </w:r>
          </w:p>
        </w:tc>
      </w:tr>
      <w:tr>
        <w:trPr>
          <w:cantSplit/>
          <w:tblHeader w:val="off"/>
        </w:trPr>
        <w:tc>
          <w:tcPr>
            <w:tcW w:type="dxa" w:w="22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users</w:t>
            </w:r>
          </w:p>
        </w:tc>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 email, name, password_hash, plan, created_at</w:t>
            </w:r>
          </w:p>
        </w:tc>
        <w:tc>
          <w:tcPr>
            <w:tcW w:type="dxa" w:w="28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email unique; plan is 'free' or 'pro'</w:t>
            </w:r>
          </w:p>
        </w:tc>
      </w:tr>
      <w:tr>
        <w:trPr>
          <w:cantSplit/>
          <w:tblHeader w:val="off"/>
        </w:trPr>
        <w:tc>
          <w:tcPr>
            <w:tcW w:type="dxa" w:w="22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watchlist_items</w:t>
            </w:r>
          </w:p>
        </w:tc>
        <w:tc>
          <w:tcPr>
            <w:tcW w:type="dxa" w:w="43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user_id, symbol, added_at</w:t>
            </w:r>
          </w:p>
        </w:tc>
        <w:tc>
          <w:tcPr>
            <w:tcW w:type="dxa" w:w="28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Primary key (user_id, symbol); Free plan limited to 5</w:t>
            </w:r>
          </w:p>
        </w:tc>
      </w:tr>
      <w:tr>
        <w:trPr>
          <w:cantSplit/>
          <w:tblHeader w:val="off"/>
        </w:trPr>
        <w:tc>
          <w:tcPr>
            <w:tcW w:type="dxa" w:w="22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strategies</w:t>
            </w:r>
          </w:p>
        </w:tc>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 user_id, name, symbol, config, last_result</w:t>
            </w:r>
          </w:p>
        </w:tc>
        <w:tc>
          <w:tcPr>
            <w:tcW w:type="dxa" w:w="28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JSONB rule set; Pro only</w:t>
            </w:r>
          </w:p>
        </w:tc>
      </w:tr>
      <w:tr>
        <w:trPr>
          <w:cantSplit/>
          <w:tblHeader w:val="off"/>
        </w:trPr>
        <w:tc>
          <w:tcPr>
            <w:tcW w:type="dxa" w:w="22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price_alerts</w:t>
            </w:r>
          </w:p>
        </w:tc>
        <w:tc>
          <w:tcPr>
            <w:tcW w:type="dxa" w:w="43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 user_id, symbol, direction, target, active, triggered_at</w:t>
            </w:r>
          </w:p>
        </w:tc>
        <w:tc>
          <w:tcPr>
            <w:tcW w:type="dxa" w:w="28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direction is 'above' or 'below'; Pro only</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5.5 REST API design</w:t>
      </w:r>
    </w:p>
    <w:p>
      <w:pPr>
        <w:keepNext/>
        <w:spacing w:after="80" w:before="100"/>
        <w:jc w:val="center"/>
      </w:pPr>
      <w:r>
        <w:rPr>
          <w:rFonts w:ascii="Times New Roman" w:cs="Times New Roman" w:eastAsia="Times New Roman" w:hAnsi="Times New Roman"/>
          <w:b/>
          <w:bCs/>
          <w:sz w:val="20"/>
          <w:szCs w:val="20"/>
        </w:rPr>
        <w:t xml:space="preserve">Table 6: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100"/>
        <w:gridCol w:w="3160"/>
      </w:tblGrid>
      <w:tr>
        <w:trPr>
          <w:cantSplit/>
          <w:tblHeader/>
        </w:trPr>
        <w:tc>
          <w:tcPr>
            <w:tcW w:type="dxa" w:w="15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Method</w:t>
            </w:r>
          </w:p>
        </w:tc>
        <w:tc>
          <w:tcPr>
            <w:tcW w:type="dxa" w:w="36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Endpoint</w:t>
            </w:r>
          </w:p>
        </w:tc>
        <w:tc>
          <w:tcPr>
            <w:tcW w:type="dxa" w:w="11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Access</w:t>
            </w:r>
          </w:p>
        </w:tc>
        <w:tc>
          <w:tcPr>
            <w:tcW w:type="dxa" w:w="31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Purpose</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/api/auth/register, /api/auth/login</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 account or sign in; returns a JWT</w:t>
            </w:r>
          </w:p>
        </w:tc>
      </w:tr>
      <w:tr>
        <w:trPr>
          <w:cantSplit/>
          <w:tblHeader w:val="off"/>
        </w:trPr>
        <w:tc>
          <w:tcPr>
            <w:tcW w:type="dxa" w:w="15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/api/auth/me</w:t>
            </w:r>
          </w:p>
        </w:tc>
        <w:tc>
          <w:tcPr>
            <w:tcW w:type="dxa" w:w="11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w:t>
            </w:r>
          </w:p>
        </w:tc>
        <w:tc>
          <w:tcPr>
            <w:tcW w:type="dxa" w:w="31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Current user and plan</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/api/search?q=</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Symbol autocomplete</w:t>
            </w:r>
          </w:p>
        </w:tc>
      </w:tr>
      <w:tr>
        <w:trPr>
          <w:cantSplit/>
          <w:tblHeader w:val="off"/>
        </w:trPr>
        <w:tc>
          <w:tcPr>
            <w:tcW w:type="dxa" w:w="15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/api/stocks/:symbol/analysis</w:t>
            </w:r>
          </w:p>
        </w:tc>
        <w:tc>
          <w:tcPr>
            <w:tcW w:type="dxa" w:w="11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Candles, indicators, risk metrics and trend</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/api/compare?symbols=</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Correlation, beta and performance for 2–5 stocks</w:t>
            </w:r>
          </w:p>
        </w:tc>
      </w:tr>
      <w:tr>
        <w:trPr>
          <w:cantSplit/>
          <w:tblHeader w:val="off"/>
        </w:trPr>
        <w:tc>
          <w:tcPr>
            <w:tcW w:type="dxa" w:w="15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/api/jobs/montecarlo</w:t>
            </w:r>
          </w:p>
        </w:tc>
        <w:tc>
          <w:tcPr>
            <w:tcW w:type="dxa" w:w="11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Queue a 1,000-path simulation</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/api/jobs/backtest</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Queue a strategy backtest</w:t>
            </w:r>
          </w:p>
        </w:tc>
      </w:tr>
      <w:tr>
        <w:trPr>
          <w:cantSplit/>
          <w:tblHeader w:val="off"/>
        </w:trPr>
        <w:tc>
          <w:tcPr>
            <w:tcW w:type="dxa" w:w="15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/api/jobs/frontier</w:t>
            </w:r>
          </w:p>
        </w:tc>
        <w:tc>
          <w:tcPr>
            <w:tcW w:type="dxa" w:w="11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w:t>
            </w:r>
          </w:p>
        </w:tc>
        <w:tc>
          <w:tcPr>
            <w:tcW w:type="dxa" w:w="31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Queue efficient-frontier optimisation</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/api/jobs/:id</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Poll job state and result</w:t>
            </w:r>
          </w:p>
        </w:tc>
      </w:tr>
      <w:tr>
        <w:trPr>
          <w:cantSplit/>
          <w:tblHeader w:val="off"/>
        </w:trPr>
        <w:tc>
          <w:tcPr>
            <w:tcW w:type="dxa" w:w="15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 POST, DELETE</w:t>
            </w:r>
          </w:p>
        </w:tc>
        <w:tc>
          <w:tcPr>
            <w:tcW w:type="dxa" w:w="3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/api/watchlist</w:t>
            </w:r>
          </w:p>
        </w:tc>
        <w:tc>
          <w:tcPr>
            <w:tcW w:type="dxa" w:w="11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w:t>
            </w:r>
          </w:p>
        </w:tc>
        <w:tc>
          <w:tcPr>
            <w:tcW w:type="dxa" w:w="31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Manage the watchlist</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 POST, DELETE</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/api/strategies, /api/alerts</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Saved strategies and price alerts</w:t>
            </w:r>
          </w:p>
        </w:tc>
      </w:tr>
      <w:tr>
        <w:trPr>
          <w:cantSplit/>
          <w:tblHeader w:val="off"/>
        </w:trPr>
        <w:tc>
          <w:tcPr>
            <w:tcW w:type="dxa" w:w="15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/api/billing/config</w:t>
            </w:r>
          </w:p>
        </w:tc>
        <w:tc>
          <w:tcPr>
            <w:tcW w:type="dxa" w:w="11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w:t>
            </w:r>
          </w:p>
        </w:tc>
        <w:tc>
          <w:tcPr>
            <w:tcW w:type="dxa" w:w="31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Payment provider, price and test-mode flag</w:t>
            </w:r>
          </w:p>
        </w:tc>
      </w:tr>
      <w:tr>
        <w:trPr>
          <w:cantSplit/>
          <w:tblHeader w:val="off"/>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/api/billing/order, /api/billing/verify</w:t>
            </w:r>
          </w:p>
        </w:tc>
        <w:tc>
          <w:tcPr>
            <w:tcW w:type="dxa" w:w="11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w:t>
            </w:r>
          </w:p>
        </w:tc>
        <w:tc>
          <w:tcPr>
            <w:tcW w:type="dxa" w:w="31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 a Razorpay order; verify payment and grant Pro</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5.6 Background job flow</w:t>
      </w:r>
    </w:p>
    <w:p>
      <w:pPr>
        <w:spacing w:after="140" w:line="312"/>
        <w:jc w:val="both"/>
      </w:pPr>
      <w:r>
        <w:rPr>
          <w:rFonts w:ascii="Times New Roman" w:cs="Times New Roman" w:eastAsia="Times New Roman" w:hAnsi="Times New Roman"/>
          <w:sz w:val="24"/>
          <w:szCs w:val="24"/>
        </w:rPr>
        <w:t xml:space="preserve">Long computations never block the web request. The API checks whether an identical job has already been computed (results are keyed by a hash of the inputs); if not, it queues the job and returns a job ID at once with HTTP 202. The browser polls the job endpoint with increasing delays until the result is ready.</w:t>
      </w:r>
    </w:p>
    <w:p>
      <w:pPr>
        <w:keepNext/>
        <w:spacing w:after="60" w:before="120"/>
        <w:jc w:val="center"/>
      </w:pPr>
      <w:r>
        <w:drawing>
          <wp:inline distT="0" distB="0" distL="0" distR="0">
            <wp:extent cx="4503381" cy="3381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03381" cy="3381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Sequence diagram of a Monte Carlo job through Redis and BullMQ</w:t>
      </w:r>
    </w:p>
    <w:p>
      <w:pPr>
        <w:pStyle w:val="Heading2"/>
        <w:keepNext/>
        <w:spacing w:after="100" w:before="220"/>
      </w:pPr>
      <w:r>
        <w:rPr>
          <w:rFonts w:ascii="Times New Roman" w:cs="Times New Roman" w:eastAsia="Times New Roman" w:hAnsi="Times New Roman"/>
          <w:b/>
          <w:bCs/>
          <w:color w:val="1F3864"/>
          <w:sz w:val="25"/>
          <w:szCs w:val="25"/>
        </w:rPr>
        <w:t xml:space="preserve">5.7 Payment flow</w:t>
      </w:r>
    </w:p>
    <w:p>
      <w:pPr>
        <w:spacing w:after="140" w:line="312"/>
        <w:jc w:val="both"/>
      </w:pPr>
      <w:r>
        <w:rPr>
          <w:rFonts w:ascii="Times New Roman" w:cs="Times New Roman" w:eastAsia="Times New Roman" w:hAnsi="Times New Roman"/>
          <w:sz w:val="24"/>
          <w:szCs w:val="24"/>
        </w:rPr>
        <w:t xml:space="preserve">The Pro plan is purchased through Razorpay. The server creates the order using its secret key, the browser opens Razorpay Checkout, and after payment the server recomputes the HMAC-SHA256 signature of the order and payment IDs. Only if the signature matches does it upgrade the account and issue a new token, so a user cannot unlock Pro by faking a successful payment in the browser.</w:t>
      </w:r>
    </w:p>
    <w:p>
      <w:pPr>
        <w:keepNext/>
        <w:spacing w:after="60" w:before="120"/>
        <w:jc w:val="center"/>
      </w:pPr>
      <w:r>
        <w:drawing>
          <wp:inline distT="0" distB="0" distL="0" distR="0">
            <wp:extent cx="4597288" cy="2924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97288" cy="2924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Sequence diagram of the Razorpay payment and verification flow</w:t>
      </w:r>
    </w:p>
    <w:p>
      <w:pPr>
        <w:pStyle w:val="Heading2"/>
        <w:keepNext/>
        <w:spacing w:after="100" w:before="220"/>
      </w:pPr>
      <w:r>
        <w:rPr>
          <w:rFonts w:ascii="Times New Roman" w:cs="Times New Roman" w:eastAsia="Times New Roman" w:hAnsi="Times New Roman"/>
          <w:b/>
          <w:bCs/>
          <w:color w:val="1F3864"/>
          <w:sz w:val="25"/>
          <w:szCs w:val="25"/>
        </w:rPr>
        <w:t xml:space="preserve">5.8 User interface design</w:t>
      </w:r>
    </w:p>
    <w:p>
      <w:pPr>
        <w:spacing w:after="140" w:line="312"/>
        <w:jc w:val="both"/>
      </w:pPr>
      <w:r>
        <w:rPr>
          <w:rFonts w:ascii="Times New Roman" w:cs="Times New Roman" w:eastAsia="Times New Roman" w:hAnsi="Times New Roman"/>
          <w:sz w:val="24"/>
          <w:szCs w:val="24"/>
        </w:rPr>
        <w:t xml:space="preserve">The interface uses a deliberate dark “ink-blue” theme rather than plain black, with chalk-white text, sodium-amber for anything forecast or computed, and teal and coral for gains and losses. Headings and numbers use Hanken Grotesk with tabular figures so columns of numbers align; formulas are typeset in STIX Two italic so every metric can display the mathematics behind it. The layout is a 1,240-pixel grid that collapses to a single column on phones.</w:t>
      </w:r>
    </w:p>
    <w:p>
      <w:pPr>
        <w:keepNext/>
        <w:spacing w:after="80" w:before="100"/>
        <w:jc w:val="center"/>
      </w:pPr>
      <w:r>
        <w:rPr>
          <w:rFonts w:ascii="Times New Roman" w:cs="Times New Roman" w:eastAsia="Times New Roman" w:hAnsi="Times New Roman"/>
          <w:b/>
          <w:bCs/>
          <w:sz w:val="20"/>
          <w:szCs w:val="20"/>
        </w:rPr>
        <w:t xml:space="preserve">Table 7: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cantSplit/>
          <w:tblHeader/>
        </w:trPr>
        <w:tc>
          <w:tcPr>
            <w:tcW w:type="dxa" w:w="20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Token</w:t>
            </w:r>
          </w:p>
        </w:tc>
        <w:tc>
          <w:tcPr>
            <w:tcW w:type="dxa" w:w="17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Value</w:t>
            </w:r>
          </w:p>
        </w:tc>
        <w:tc>
          <w:tcPr>
            <w:tcW w:type="dxa" w:w="56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Used for</w:t>
            </w:r>
          </w:p>
        </w:tc>
      </w:tr>
      <w:tr>
        <w:trPr>
          <w:cantSplit/>
          <w:tblHeader w:val="off"/>
        </w:trPr>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Ink</w:t>
            </w:r>
          </w:p>
        </w:tc>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#0E1726</w:t>
            </w:r>
          </w:p>
        </w:tc>
        <w:tc>
          <w:tcPr>
            <w:tcW w:type="dxa" w:w="56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Page background</w:t>
            </w:r>
          </w:p>
        </w:tc>
      </w:tr>
      <w:tr>
        <w:trPr>
          <w:cantSplit/>
          <w:tblHeader w:val="off"/>
        </w:trPr>
        <w:tc>
          <w:tcPr>
            <w:tcW w:type="dxa" w:w="2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Panel</w:t>
            </w:r>
          </w:p>
        </w:tc>
        <w:tc>
          <w:tcPr>
            <w:tcW w:type="dxa" w:w="17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#131E31</w:t>
            </w:r>
          </w:p>
        </w:tc>
        <w:tc>
          <w:tcPr>
            <w:tcW w:type="dxa" w:w="56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Cards and chart panels</w:t>
            </w:r>
          </w:p>
        </w:tc>
      </w:tr>
      <w:tr>
        <w:trPr>
          <w:cantSplit/>
          <w:tblHeader w:val="off"/>
        </w:trPr>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Chalk</w:t>
            </w:r>
          </w:p>
        </w:tc>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#E6ECF5</w:t>
            </w:r>
          </w:p>
        </w:tc>
        <w:tc>
          <w:tcPr>
            <w:tcW w:type="dxa" w:w="56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Primary text and current price line</w:t>
            </w:r>
          </w:p>
        </w:tc>
      </w:tr>
      <w:tr>
        <w:trPr>
          <w:cantSplit/>
          <w:tblHeader w:val="off"/>
        </w:trPr>
        <w:tc>
          <w:tcPr>
            <w:tcW w:type="dxa" w:w="2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Amber</w:t>
            </w:r>
          </w:p>
        </w:tc>
        <w:tc>
          <w:tcPr>
            <w:tcW w:type="dxa" w:w="17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#F2B544</w:t>
            </w:r>
          </w:p>
        </w:tc>
        <w:tc>
          <w:tcPr>
            <w:tcW w:type="dxa" w:w="56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Forecasts, medians, primary buttons, the efficient frontier</w:t>
            </w:r>
          </w:p>
        </w:tc>
      </w:tr>
      <w:tr>
        <w:trPr>
          <w:cantSplit/>
          <w:tblHeader w:val="off"/>
        </w:trPr>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Teal / Coral</w:t>
            </w:r>
          </w:p>
        </w:tc>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#3DD6B5 / #FF6B6B</w:t>
            </w:r>
          </w:p>
        </w:tc>
        <w:tc>
          <w:tcPr>
            <w:tcW w:type="dxa" w:w="56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Up and down moves, gains and losses</w:t>
            </w:r>
          </w:p>
        </w:tc>
      </w:tr>
    </w:tbl>
    <w:p>
      <w:pPr>
        <w:spacing w:after="160"/>
      </w:pPr>
    </w:p>
    <w:p>
      <w:pPr>
        <w:keepNext/>
        <w:spacing w:after="80" w:before="100"/>
        <w:jc w:val="center"/>
      </w:pPr>
      <w:r>
        <w:rPr>
          <w:rFonts w:ascii="Times New Roman" w:cs="Times New Roman" w:eastAsia="Times New Roman" w:hAnsi="Times New Roman"/>
          <w:b/>
          <w:bCs/>
          <w:sz w:val="20"/>
          <w:szCs w:val="20"/>
        </w:rPr>
        <w:t xml:space="preserve">Table 8: Frontend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Route</w:t>
            </w:r>
          </w:p>
        </w:tc>
        <w:tc>
          <w:tcPr>
            <w:tcW w:type="dxa" w:w="69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Page</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Landing page with animated Monte Carlo hero, module overview and pricing</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/login, /signup</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Authentication forms</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/s/:symbol</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Stock analysis: chart, overlays, oscillators, risk, drawdown, readings, Monte Carlo, alerts</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/compare</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Compare 2–5 stocks: correlation heatmap, growth chart and risk table</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/backtest</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Strategy rule builder, equity curve, statistics and trade list (Pro)</w:t>
            </w:r>
          </w:p>
        </w:tc>
      </w:tr>
      <w:tr>
        <w:trPr>
          <w:cantSplit/>
          <w:tblHeader w:val="off"/>
        </w:trPr>
        <w:tc>
          <w:tcPr>
            <w:tcW w:type="dxa" w:w="24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/portfolio</w:t>
            </w:r>
          </w:p>
        </w:tc>
        <w:tc>
          <w:tcPr>
            <w:tcW w:type="dxa" w:w="69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Portfolio builder with live efficient frontier and optimal weights (Pro)</w:t>
            </w:r>
          </w:p>
        </w:tc>
      </w:tr>
      <w:tr>
        <w:trPr>
          <w:cantSplit/>
          <w:tblHeader w:val="off"/>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/dashboard</w:t>
            </w:r>
          </w:p>
        </w:tc>
        <w:tc>
          <w:tcPr>
            <w:tcW w:type="dxa" w:w="69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Watchlist with sparklines, saved strategies, price alerts and plan</w:t>
            </w:r>
          </w:p>
        </w:tc>
      </w:tr>
    </w:tbl>
    <w:p>
      <w:pPr>
        <w:spacing w:after="160"/>
      </w:pP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6. Implementation</w:t>
      </w:r>
    </w:p>
    <w:p>
      <w:pPr>
        <w:pStyle w:val="Heading2"/>
        <w:keepNext/>
        <w:spacing w:after="100" w:before="220"/>
      </w:pPr>
      <w:r>
        <w:rPr>
          <w:rFonts w:ascii="Times New Roman" w:cs="Times New Roman" w:eastAsia="Times New Roman" w:hAnsi="Times New Roman"/>
          <w:b/>
          <w:bCs/>
          <w:color w:val="1F3864"/>
          <w:sz w:val="25"/>
          <w:szCs w:val="25"/>
        </w:rPr>
        <w:t xml:space="preserve">6.1 Project structure</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QuantLens/</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src/                      React single-page application</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pages/                Landing, Stock, Compare, Backtest, Portfolio, Dashboard, Auth</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components/           PriceChart, FanChart, Heatmap, shared UI</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lib/                  API client, auth context (JWT + Razorpay), formatting</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server/                   Express REST API</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src/quant/            indicators, stats, risk, portfolio, forecast, backtest, analyze</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src/lib/              market data, cache, auth middleware, alerts, demo data</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src/jobs/             BullMQ queue, worker, job handlers</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src/db/               schema.sql, migrate, PostgreSQL / in-memory repository</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src/routes/api.js     REST endpoints and billing</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 test/                 15 automated tests for the math engine</w:t>
      </w:r>
    </w:p>
    <w:p>
      <w:pPr>
        <w:keepNext w:val="false"/>
        <w:keepLines/>
        <w:pBdr>
          <w:left w:val="single" w:color="1F3864" w:sz="18" w:space="6"/>
        </w:pBdr>
        <w:shd w:fill="F3F4F6" w:val="clear"/>
        <w:spacing w:after="0" w:line="240"/>
        <w:ind w:left="120" w:right="120"/>
      </w:pPr>
      <w:r>
        <w:rPr>
          <w:rFonts w:ascii="Consolas" w:cs="Consolas" w:eastAsia="Consolas" w:hAnsi="Consolas"/>
          <w:sz w:val="17"/>
          <w:szCs w:val="17"/>
        </w:rPr>
        <w:t xml:space="preserve">└── docker-compose.yml        local PostgreSQL and Redis</w:t>
      </w:r>
    </w:p>
    <w:p>
      <w:pPr>
        <w:spacing w:after="200" w:before="60"/>
        <w:jc w:val="center"/>
      </w:pPr>
      <w:r>
        <w:rPr>
          <w:rFonts w:ascii="Times New Roman" w:cs="Times New Roman" w:eastAsia="Times New Roman" w:hAnsi="Times New Roman"/>
          <w:i/>
          <w:iCs/>
          <w:sz w:val="20"/>
          <w:szCs w:val="20"/>
        </w:rPr>
        <w:t xml:space="preserve">Listing 1: Folder structure</w:t>
      </w:r>
    </w:p>
    <w:p>
      <w:pPr>
        <w:pStyle w:val="Heading2"/>
        <w:keepNext/>
        <w:spacing w:after="100" w:before="220"/>
      </w:pPr>
      <w:r>
        <w:rPr>
          <w:rFonts w:ascii="Times New Roman" w:cs="Times New Roman" w:eastAsia="Times New Roman" w:hAnsi="Times New Roman"/>
          <w:b/>
          <w:bCs/>
          <w:color w:val="1F3864"/>
          <w:sz w:val="25"/>
          <w:szCs w:val="25"/>
        </w:rPr>
        <w:t xml:space="preserve">6.2 Indicator engine in O(n)</w:t>
      </w:r>
    </w:p>
    <w:p>
      <w:pPr>
        <w:spacing w:after="140" w:line="312"/>
        <w:jc w:val="both"/>
      </w:pPr>
      <w:r>
        <w:rPr>
          <w:rFonts w:ascii="Times New Roman" w:cs="Times New Roman" w:eastAsia="Times New Roman" w:hAnsi="Times New Roman"/>
          <w:sz w:val="24"/>
          <w:szCs w:val="24"/>
        </w:rPr>
        <w:t xml:space="preserve">Every indicator is computed in a single pass over the price series. Moving averages keep a running sum, Bollinger Bands keep a running sum and sum of squares, EMA and RSI use recursive smoothing, and the Stochastic oscillator uses a monotonic deque to find the rolling highest high and lowest low in amortised constant time. This replaces the naive O(n·k) approach of recomputing each window.</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export function sma(values, period)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const out = new Array(values.length).fill(null);</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let sum = 0;</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for (let i = 0; i &lt; values.length; i++)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sum += values[i];</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if (i &gt;= period) sum -= values[i - period];   // slide the window in O(1)</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if (i &gt;= period - 1) out[i] = sum / period;</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return out;</w:t>
      </w:r>
    </w:p>
    <w:p>
      <w:pPr>
        <w:keepNext w:val="false"/>
        <w:keepLines/>
        <w:pBdr>
          <w:left w:val="single" w:color="1F3864" w:sz="18" w:space="6"/>
        </w:pBdr>
        <w:shd w:fill="F3F4F6" w:val="clear"/>
        <w:spacing w:after="0" w:line="240"/>
        <w:ind w:left="120" w:right="120"/>
      </w:pPr>
      <w:r>
        <w:rPr>
          <w:rFonts w:ascii="Consolas" w:cs="Consolas" w:eastAsia="Consolas" w:hAnsi="Consolas"/>
          <w:sz w:val="17"/>
          <w:szCs w:val="17"/>
        </w:rPr>
        <w:t xml:space="preserve">}</w:t>
      </w:r>
    </w:p>
    <w:p>
      <w:pPr>
        <w:spacing w:after="200" w:before="60"/>
        <w:jc w:val="center"/>
      </w:pPr>
      <w:r>
        <w:rPr>
          <w:rFonts w:ascii="Times New Roman" w:cs="Times New Roman" w:eastAsia="Times New Roman" w:hAnsi="Times New Roman"/>
          <w:i/>
          <w:iCs/>
          <w:sz w:val="20"/>
          <w:szCs w:val="20"/>
        </w:rPr>
        <w:t xml:space="preserve">Listing 2: Simple moving average with a rolling sum</w:t>
      </w:r>
    </w:p>
    <w:p>
      <w:pPr>
        <w:keepNext/>
        <w:spacing w:after="80" w:before="100"/>
        <w:jc w:val="center"/>
      </w:pPr>
      <w:r>
        <w:rPr>
          <w:rFonts w:ascii="Times New Roman" w:cs="Times New Roman" w:eastAsia="Times New Roman" w:hAnsi="Times New Roman"/>
          <w:b/>
          <w:bCs/>
          <w:sz w:val="20"/>
          <w:szCs w:val="20"/>
        </w:rPr>
        <w:t xml:space="preserve">Table 9: Formulas implemented in the math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Metric</w:t>
            </w:r>
          </w:p>
        </w:tc>
        <w:tc>
          <w:tcPr>
            <w:tcW w:type="dxa" w:w="67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Formula used</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EMAₜ = α·Pₜ + (1 − α)·EMAₜ₋₁,  α = 2/(n + 1)</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MACD</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EMA₁₂ − EMA₂₆; signal = EMA₉ of MACD; histogram = MACD − signal</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Bollinger Bands</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SMA₂₀ ± 2σ₂₀</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RSI</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100 − 100/(1 + RS), RS = Wilder-smoothed average gain / average loss</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Stochastic %K</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100·(C − L₁₄)/(H₁₄ − L₁₄); %D = 3-day SMA of %K</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Volatility</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σ(daily returns)·√252</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Sharpe ratio</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(252·μ − r_f) / (σ·√252)</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Sortino ratio</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(252·μ − r_f) / (σ_downside·√252)</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Maximum drawdown</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min over t of (Pₜ / running peak − 1)</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Value at Risk (95%)</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Historical: −5th percentile of returns; parametric: −(μ − 1.645σ)</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Expected shortfall</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−mean of returns at or below the 5th percentile</w:t>
            </w:r>
          </w:p>
        </w:tc>
      </w:tr>
      <w:tr>
        <w:trPr>
          <w:cantSplit/>
          <w:tblHeader w:val="off"/>
        </w:trPr>
        <w:tc>
          <w:tcPr>
            <w:tcW w:type="dxa" w:w="2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Beta</w:t>
            </w:r>
          </w:p>
        </w:tc>
        <w:tc>
          <w:tcPr>
            <w:tcW w:type="dxa" w:w="6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cov(r, r_index) / var(r_index)</w:t>
            </w:r>
          </w:p>
        </w:tc>
      </w:tr>
      <w:tr>
        <w:trPr>
          <w:cantSplit/>
          <w:tblHeader w:val="off"/>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Regression trend</w:t>
            </w:r>
          </w:p>
        </w:tc>
        <w:tc>
          <w:tcPr>
            <w:tcW w:type="dxa" w:w="6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Least squares ŷ = a + b·t, with R² and a ±2σ residual channel</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6.3 Monte Carlo simulation</w:t>
      </w:r>
    </w:p>
    <w:p>
      <w:pPr>
        <w:spacing w:after="140" w:line="312"/>
        <w:jc w:val="both"/>
      </w:pPr>
      <w:r>
        <w:rPr>
          <w:rFonts w:ascii="Times New Roman" w:cs="Times New Roman" w:eastAsia="Times New Roman" w:hAnsi="Times New Roman"/>
          <w:sz w:val="24"/>
          <w:szCs w:val="24"/>
        </w:rPr>
        <w:t xml:space="preserve">Future prices are simulated with geometric Brownian motion calibrated on two years of daily log returns. The engine runs 1,000 paths with a seeded random-number generator (mulberry32 with a Box–Muller transform), so results are reproducible. Each time step is stored in a Float64Array, and the engine returns the 5th, 25th, 50th, 75th and 95th percentiles per day for the fan chart, a histogram of ending prices and the probability of finishing above today’s price.</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for (let p = 0; p &lt; paths; p++)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let logS = Math.log(s0);</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for (let t = 0; t &lt; days; t++)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logS += mu + sigma * nextNormal();      // ln S(t+1) = ln S(t) + μ + σZ</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columns[t][p] = Math.exp(logS);</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w:t>
      </w:r>
    </w:p>
    <w:p>
      <w:pPr>
        <w:keepNext w:val="false"/>
        <w:keepLines/>
        <w:pBdr>
          <w:left w:val="single" w:color="1F3864" w:sz="18" w:space="6"/>
        </w:pBdr>
        <w:shd w:fill="F3F4F6" w:val="clear"/>
        <w:spacing w:after="0" w:line="240"/>
        <w:ind w:left="120" w:right="120"/>
      </w:pPr>
      <w:r>
        <w:rPr>
          <w:rFonts w:ascii="Consolas" w:cs="Consolas" w:eastAsia="Consolas" w:hAnsi="Consolas"/>
          <w:sz w:val="17"/>
          <w:szCs w:val="17"/>
        </w:rPr>
        <w:t xml:space="preserve">}</w:t>
      </w:r>
    </w:p>
    <w:p>
      <w:pPr>
        <w:spacing w:after="200" w:before="60"/>
        <w:jc w:val="center"/>
      </w:pPr>
      <w:r>
        <w:rPr>
          <w:rFonts w:ascii="Times New Roman" w:cs="Times New Roman" w:eastAsia="Times New Roman" w:hAnsi="Times New Roman"/>
          <w:i/>
          <w:iCs/>
          <w:sz w:val="20"/>
          <w:szCs w:val="20"/>
        </w:rPr>
        <w:t xml:space="preserve">Listing 3: Core of the Monte Carlo simulation</w:t>
      </w:r>
    </w:p>
    <w:p>
      <w:pPr>
        <w:pStyle w:val="Heading2"/>
        <w:keepNext/>
        <w:spacing w:after="100" w:before="220"/>
      </w:pPr>
      <w:r>
        <w:rPr>
          <w:rFonts w:ascii="Times New Roman" w:cs="Times New Roman" w:eastAsia="Times New Roman" w:hAnsi="Times New Roman"/>
          <w:b/>
          <w:bCs/>
          <w:color w:val="1F3864"/>
          <w:sz w:val="25"/>
          <w:szCs w:val="25"/>
        </w:rPr>
        <w:t xml:space="preserve">6.4 Efficient frontier (Markowitz)</w:t>
      </w:r>
    </w:p>
    <w:p>
      <w:pPr>
        <w:spacing w:after="140" w:line="312"/>
        <w:jc w:val="both"/>
      </w:pPr>
      <w:r>
        <w:rPr>
          <w:rFonts w:ascii="Times New Roman" w:cs="Times New Roman" w:eastAsia="Times New Roman" w:hAnsi="Times New Roman"/>
          <w:sz w:val="24"/>
          <w:szCs w:val="24"/>
        </w:rPr>
        <w:t xml:space="preserve">Annualised mean returns and the covariance matrix are computed from daily returns aligned on common trading dates. The optimiser samples 4,000 long-only weight vectors from a Dirichlet distribution, computes each portfolio’s expected return wᵀμ, volatility √(wᵀΣw) and Sharpe ratio, and extracts the upper envelope as the efficient frontier together with the maximum-Sharpe and minimum-volatility portfolios. The capital market line is drawn from the risk-free rate through the maximum-Sharpe point. The frontier recomputes automatically, with a short debounce, whenever a stock is added or removed.</w:t>
      </w:r>
    </w:p>
    <w:p>
      <w:pPr>
        <w:pStyle w:val="Heading2"/>
        <w:keepNext/>
        <w:spacing w:after="100" w:before="220"/>
      </w:pPr>
      <w:r>
        <w:rPr>
          <w:rFonts w:ascii="Times New Roman" w:cs="Times New Roman" w:eastAsia="Times New Roman" w:hAnsi="Times New Roman"/>
          <w:b/>
          <w:bCs/>
          <w:color w:val="1F3864"/>
          <w:sz w:val="25"/>
          <w:szCs w:val="25"/>
        </w:rPr>
        <w:t xml:space="preserve">6.5 Strategy backtester</w:t>
      </w:r>
    </w:p>
    <w:p>
      <w:pPr>
        <w:spacing w:after="140" w:line="312"/>
        <w:jc w:val="both"/>
      </w:pPr>
      <w:r>
        <w:rPr>
          <w:rFonts w:ascii="Times New Roman" w:cs="Times New Roman" w:eastAsia="Times New Roman" w:hAnsi="Times New Roman"/>
          <w:sz w:val="24"/>
          <w:szCs w:val="24"/>
        </w:rPr>
        <w:t xml:space="preserve">A strategy is a JSON rule set: buy when all entry conditions are true and sell when any exit condition is true, with optional stop loss, take profit and trading fees. Each condition compares an indicator (price, SMA, EMA, RSI, MACD, Bollinger band or Stochastic) with another indicator or a number using crosses above, crosses below, greater than or less than. To avoid look-ahead bias, signals are evaluated on the close of day t and filled at the open of day t + 1. Each distinct indicator series is computed once and memoised. Results include the equity curve, every trade, total return, CAGR, Sharpe ratio, maximum drawdown, win rate and time in the market, all compared with buy-and-hold.</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"entry": [{ "left":  { "ind": "sma", "period": 50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"op":    "crossesAbove",</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"right": { "ind": "sma", "period": 200 }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"exit":  [{ "left":  { "ind": "sma", "period": 50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"op":    "crossesBelow",</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"right": { "ind": "sma", "period": 200 } }],</w:t>
      </w:r>
    </w:p>
    <w:p>
      <w:pPr>
        <w:keepNext w:val="false"/>
        <w:keepLines/>
        <w:pBdr>
          <w:left w:val="single" w:color="1F3864" w:sz="18" w:space="6"/>
        </w:pBdr>
        <w:shd w:fill="F3F4F6" w:val="clear"/>
        <w:spacing w:after="0" w:line="240"/>
        <w:ind w:left="120" w:right="120"/>
      </w:pPr>
      <w:r>
        <w:rPr>
          <w:rFonts w:ascii="Consolas" w:cs="Consolas" w:eastAsia="Consolas" w:hAnsi="Consolas"/>
          <w:sz w:val="17"/>
          <w:szCs w:val="17"/>
        </w:rPr>
        <w:t xml:space="preserve">  "stopLoss": 0.08, "feeBps": 5 }</w:t>
      </w:r>
    </w:p>
    <w:p>
      <w:pPr>
        <w:spacing w:after="200" w:before="60"/>
        <w:jc w:val="center"/>
      </w:pPr>
      <w:r>
        <w:rPr>
          <w:rFonts w:ascii="Times New Roman" w:cs="Times New Roman" w:eastAsia="Times New Roman" w:hAnsi="Times New Roman"/>
          <w:i/>
          <w:iCs/>
          <w:sz w:val="20"/>
          <w:szCs w:val="20"/>
        </w:rPr>
        <w:t xml:space="preserve">Listing 4: The golden-cross strategy as stored in PostgreSQL (JSONB)</w:t>
      </w:r>
    </w:p>
    <w:p>
      <w:pPr>
        <w:pStyle w:val="Heading2"/>
        <w:keepNext/>
        <w:spacing w:after="100" w:before="220"/>
      </w:pPr>
      <w:r>
        <w:rPr>
          <w:rFonts w:ascii="Times New Roman" w:cs="Times New Roman" w:eastAsia="Times New Roman" w:hAnsi="Times New Roman"/>
          <w:b/>
          <w:bCs/>
          <w:color w:val="1F3864"/>
          <w:sz w:val="25"/>
          <w:szCs w:val="25"/>
        </w:rPr>
        <w:t xml:space="preserve">6.6 Efficiency: caching and background jobs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Price cache. </w:t>
      </w:r>
      <w:r>
        <w:rPr>
          <w:rFonts w:ascii="Times New Roman" w:cs="Times New Roman" w:eastAsia="Times New Roman" w:hAnsi="Times New Roman"/>
          <w:sz w:val="24"/>
          <w:szCs w:val="24"/>
        </w:rPr>
        <w:t xml:space="preserve">Price history is cached in Redis under px:provider:symbol:range for six hours, so repeated analyses never hit the data provider’s rate limit.</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Result cache. </w:t>
      </w:r>
      <w:r>
        <w:rPr>
          <w:rFonts w:ascii="Times New Roman" w:cs="Times New Roman" w:eastAsia="Times New Roman" w:hAnsi="Times New Roman"/>
          <w:sz w:val="24"/>
          <w:szCs w:val="24"/>
        </w:rPr>
        <w:t xml:space="preserve">Job results are cached by a SHA-1 hash of their inputs; an identical request returns instantly without recomputation.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Job queue. </w:t>
      </w:r>
      <w:r>
        <w:rPr>
          <w:rFonts w:ascii="Times New Roman" w:cs="Times New Roman" w:eastAsia="Times New Roman" w:hAnsi="Times New Roman"/>
          <w:sz w:val="24"/>
          <w:szCs w:val="24"/>
        </w:rPr>
        <w:t xml:space="preserve">Monte Carlo, backtests and frontier optimisation run on a BullMQ queue with a separate worker; the browser polls with exponential back-off.</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Code splitting. </w:t>
      </w:r>
      <w:r>
        <w:rPr>
          <w:rFonts w:ascii="Times New Roman" w:cs="Times New Roman" w:eastAsia="Times New Roman" w:hAnsi="Times New Roman"/>
          <w:sz w:val="24"/>
          <w:szCs w:val="24"/>
        </w:rPr>
        <w:t xml:space="preserve">Chart-heavy pages are lazy-loaded with React.lazy, so the landing page downloads only what it needs.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Graceful fallback. </w:t>
      </w:r>
      <w:r>
        <w:rPr>
          <w:rFonts w:ascii="Times New Roman" w:cs="Times New Roman" w:eastAsia="Times New Roman" w:hAnsi="Times New Roman"/>
          <w:sz w:val="24"/>
          <w:szCs w:val="24"/>
        </w:rPr>
        <w:t xml:space="preserve">Without Redis or PostgreSQL configured, the server switches to an in-memory cache, store and queue, so the project runs on any laptop with npm run dev.</w:t>
      </w:r>
    </w:p>
    <w:p>
      <w:pPr>
        <w:pStyle w:val="Heading2"/>
        <w:keepNext/>
        <w:spacing w:after="100" w:before="220"/>
      </w:pPr>
      <w:r>
        <w:rPr>
          <w:rFonts w:ascii="Times New Roman" w:cs="Times New Roman" w:eastAsia="Times New Roman" w:hAnsi="Times New Roman"/>
          <w:b/>
          <w:bCs/>
          <w:color w:val="1F3864"/>
          <w:sz w:val="25"/>
          <w:szCs w:val="25"/>
        </w:rPr>
        <w:t xml:space="preserve">6.7 Security and the business model</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Passwords and sessions. </w:t>
      </w:r>
      <w:r>
        <w:rPr>
          <w:rFonts w:ascii="Times New Roman" w:cs="Times New Roman" w:eastAsia="Times New Roman" w:hAnsi="Times New Roman"/>
          <w:sz w:val="24"/>
          <w:szCs w:val="24"/>
        </w:rPr>
        <w:t xml:space="preserve">Passwords are hashed with bcrypt; sessions use signed JWTs with a seven-day expiry sent as a Bearer token.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Every request body is validated with Zod schemas; Helmet sets security headers; login and registration are rate-limited against brute-force attempts.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Plan enforcement. </w:t>
      </w:r>
      <w:r>
        <w:rPr>
          <w:rFonts w:ascii="Times New Roman" w:cs="Times New Roman" w:eastAsia="Times New Roman" w:hAnsi="Times New Roman"/>
          <w:sz w:val="24"/>
          <w:szCs w:val="24"/>
        </w:rPr>
        <w:t xml:space="preserve">Middleware enforces the plan on the server. Free users get all indicators, risk metrics, Monte Carlo and comparison; Pro unlocks backtesting, the portfolio optimiser, saved strategies, price-alert emails and an unlimited watchlist.</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Payment verification. </w:t>
      </w:r>
      <w:r>
        <w:rPr>
          <w:rFonts w:ascii="Times New Roman" w:cs="Times New Roman" w:eastAsia="Times New Roman" w:hAnsi="Times New Roman"/>
          <w:sz w:val="24"/>
          <w:szCs w:val="24"/>
        </w:rPr>
        <w:t xml:space="preserve">Pro is granted only after the server verifies Razorpay’s HMAC-SHA256 signature using a constant-time comparison.</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const expected = crypto.createHmac("sha256", keySecret)</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.update(`${razorpay_order_id}|${razorpay_payment_id}`).digest("hex");</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if (!crypto.timingSafeEqual(Buffer.from(expected), Buffer.from(razorpay_signature)))</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return res.status(400).json({ error: "Payment could not be verified" });</w:t>
      </w:r>
    </w:p>
    <w:p>
      <w:pPr>
        <w:keepNext w:val="false"/>
        <w:keepLines/>
        <w:pBdr>
          <w:left w:val="single" w:color="1F3864" w:sz="18" w:space="6"/>
        </w:pBdr>
        <w:shd w:fill="F3F4F6" w:val="clear"/>
        <w:spacing w:after="0" w:line="240"/>
        <w:ind w:left="120" w:right="120"/>
      </w:pPr>
      <w:r>
        <w:rPr>
          <w:rFonts w:ascii="Consolas" w:cs="Consolas" w:eastAsia="Consolas" w:hAnsi="Consolas"/>
          <w:sz w:val="17"/>
          <w:szCs w:val="17"/>
        </w:rPr>
        <w:t xml:space="preserve">const user = await db.users.setPlan(req.user.id, "pro");</w:t>
      </w:r>
    </w:p>
    <w:p>
      <w:pPr>
        <w:spacing w:after="200" w:before="60"/>
        <w:jc w:val="center"/>
      </w:pPr>
      <w:r>
        <w:rPr>
          <w:rFonts w:ascii="Times New Roman" w:cs="Times New Roman" w:eastAsia="Times New Roman" w:hAnsi="Times New Roman"/>
          <w:i/>
          <w:iCs/>
          <w:sz w:val="20"/>
          <w:szCs w:val="20"/>
        </w:rPr>
        <w:t xml:space="preserve">Listing 5: Server-side verification of a Razorpay payment</w:t>
      </w:r>
    </w:p>
    <w:p>
      <w:pPr>
        <w:pStyle w:val="Heading2"/>
        <w:keepNext/>
        <w:spacing w:after="100" w:before="220"/>
      </w:pPr>
      <w:r>
        <w:rPr>
          <w:rFonts w:ascii="Times New Roman" w:cs="Times New Roman" w:eastAsia="Times New Roman" w:hAnsi="Times New Roman"/>
          <w:b/>
          <w:bCs/>
          <w:color w:val="1F3864"/>
          <w:sz w:val="25"/>
          <w:szCs w:val="25"/>
        </w:rPr>
        <w:t xml:space="preserve">6.8 Frontend implementation</w:t>
      </w:r>
    </w:p>
    <w:p>
      <w:pPr>
        <w:spacing w:after="140" w:line="312"/>
        <w:jc w:val="both"/>
      </w:pPr>
      <w:r>
        <w:rPr>
          <w:rFonts w:ascii="Times New Roman" w:cs="Times New Roman" w:eastAsia="Times New Roman" w:hAnsi="Times New Roman"/>
          <w:sz w:val="24"/>
          <w:szCs w:val="24"/>
        </w:rPr>
        <w:t xml:space="preserve">The React application keeps the signed-in user and the billing configuration in a single AuthContext. A small API client attaches the JWT to every request and turns server errors into readable messages. The PriceChart component creates a Lightweight Charts instance with a candlestick series, a volume histogram, the selected overlays in the main pane and the chosen oscillator (RSI, MACD or Stochastic) in a second pane. Background jobs are submitted with a runJob helper that polls until completion and can be cancelled with an AbortController when the user navigates away.</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export async function runJob(type, payload, { onState, signal } = {})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const { id } = await api(`/jobs/${type}`, { method: "POST", body: payload, signal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let delay = 250;</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for (;;)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const job = await api(`/jobs/${id}`, { signal });</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onState?.(job.state);</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if (job.state === "completed") return job.result;</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if (job.state === "failed") throw new ApiError(job.error, 500);</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await new Promise((r) =&gt; setTimeout(r, delay));</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delay = Math.min(delay * 1.5, 2000);</w:t>
      </w:r>
    </w:p>
    <w:p>
      <w:pPr>
        <w:keepNext/>
        <w:keepLines/>
        <w:pBdr>
          <w:left w:val="single" w:color="1F3864" w:sz="18" w:space="6"/>
        </w:pBdr>
        <w:shd w:fill="F3F4F6" w:val="clear"/>
        <w:spacing w:after="0" w:line="240"/>
        <w:ind w:left="120" w:right="120"/>
      </w:pPr>
      <w:r>
        <w:rPr>
          <w:rFonts w:ascii="Consolas" w:cs="Consolas" w:eastAsia="Consolas" w:hAnsi="Consolas"/>
          <w:sz w:val="17"/>
          <w:szCs w:val="17"/>
        </w:rPr>
        <w:t xml:space="preserve">  }</w:t>
      </w:r>
    </w:p>
    <w:p>
      <w:pPr>
        <w:keepNext w:val="false"/>
        <w:keepLines/>
        <w:pBdr>
          <w:left w:val="single" w:color="1F3864" w:sz="18" w:space="6"/>
        </w:pBdr>
        <w:shd w:fill="F3F4F6" w:val="clear"/>
        <w:spacing w:after="0" w:line="240"/>
        <w:ind w:left="120" w:right="120"/>
      </w:pPr>
      <w:r>
        <w:rPr>
          <w:rFonts w:ascii="Consolas" w:cs="Consolas" w:eastAsia="Consolas" w:hAnsi="Consolas"/>
          <w:sz w:val="17"/>
          <w:szCs w:val="17"/>
        </w:rPr>
        <w:t xml:space="preserve">}</w:t>
      </w:r>
    </w:p>
    <w:p>
      <w:pPr>
        <w:spacing w:after="200" w:before="60"/>
        <w:jc w:val="center"/>
      </w:pPr>
      <w:r>
        <w:rPr>
          <w:rFonts w:ascii="Times New Roman" w:cs="Times New Roman" w:eastAsia="Times New Roman" w:hAnsi="Times New Roman"/>
          <w:i/>
          <w:iCs/>
          <w:sz w:val="20"/>
          <w:szCs w:val="20"/>
        </w:rPr>
        <w:t xml:space="preserve">Listing 6: Submitting and polling a background job from React</w:t>
      </w: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7. Outputs</w:t>
      </w:r>
    </w:p>
    <w:p>
      <w:pPr>
        <w:spacing w:after="140" w:line="312"/>
        <w:jc w:val="both"/>
      </w:pPr>
      <w:r>
        <w:rPr>
          <w:rFonts w:ascii="Times New Roman" w:cs="Times New Roman" w:eastAsia="Times New Roman" w:hAnsi="Times New Roman"/>
          <w:sz w:val="24"/>
          <w:szCs w:val="24"/>
        </w:rPr>
        <w:t xml:space="preserve">The screenshots in this section were captured from the running application. For repeatable screenshots the server ran in demo-data mode, which generates realistic simulated prices offline; with DATA_PROVIDER=yahoo the same screens show live market data.</w:t>
      </w:r>
    </w:p>
    <w:p>
      <w:pPr>
        <w:pStyle w:val="Heading2"/>
        <w:keepNext/>
        <w:spacing w:after="100" w:before="220"/>
      </w:pPr>
      <w:r>
        <w:rPr>
          <w:rFonts w:ascii="Times New Roman" w:cs="Times New Roman" w:eastAsia="Times New Roman" w:hAnsi="Times New Roman"/>
          <w:b/>
          <w:bCs/>
          <w:color w:val="1F3864"/>
          <w:sz w:val="25"/>
          <w:szCs w:val="25"/>
        </w:rPr>
        <w:t xml:space="preserve">7.1 Landing page and authentication</w:t>
      </w:r>
    </w:p>
    <w:p>
      <w:pPr>
        <w:spacing w:after="140" w:line="312"/>
        <w:jc w:val="both"/>
      </w:pPr>
      <w:r>
        <w:rPr>
          <w:rFonts w:ascii="Times New Roman" w:cs="Times New Roman" w:eastAsia="Times New Roman" w:hAnsi="Times New Roman"/>
          <w:sz w:val="24"/>
          <w:szCs w:val="24"/>
        </w:rPr>
        <w:t xml:space="preserve">The landing page opens with a Monte Carlo simulation that draws itself path by path from today’s price, next to the search box. Below it, each of the six engines lists the metrics it computes with their formulas, followed by the Free and Pro plans.</w:t>
      </w:r>
    </w:p>
    <w:p>
      <w:pPr>
        <w:keepNext/>
        <w:spacing w:after="60" w:before="120"/>
        <w:jc w:val="center"/>
      </w:pPr>
      <w:r>
        <w:drawing>
          <wp:inline distT="0" distB="0" distL="0" distR="0">
            <wp:extent cx="5943600" cy="3533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33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Landing page with animated Monte Carlo hero and stock search</w:t>
      </w:r>
    </w:p>
    <w:p>
      <w:pPr>
        <w:keepNext/>
        <w:spacing w:after="60" w:before="120"/>
        <w:jc w:val="center"/>
      </w:pPr>
      <w:r>
        <w:drawing>
          <wp:inline distT="0" distB="0" distL="0" distR="0">
            <wp:extent cx="5943600" cy="2952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52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The six computation engines, each metric shown with its formula</w:t>
      </w:r>
    </w:p>
    <w:p>
      <w:pPr>
        <w:keepNext/>
        <w:spacing w:after="60" w:before="120"/>
        <w:jc w:val="center"/>
      </w:pPr>
      <w:r>
        <w:drawing>
          <wp:inline distT="0" distB="0" distL="0" distR="0">
            <wp:extent cx="5943600" cy="2695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6955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Free and Pro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bottom"/>
          </w:tcPr>
          <w:p>
            <w:pPr>
              <w:spacing w:after="60" w:before="80"/>
              <w:jc w:val="center"/>
            </w:pPr>
            <w:r>
              <w:drawing>
                <wp:inline distT="0" distB="0" distL="0" distR="0">
                  <wp:extent cx="2834640" cy="3314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34640" cy="3314700"/>
                          </a:xfrm>
                          <a:prstGeom prst="rect">
                            <a:avLst/>
                          </a:prstGeom>
                        </pic:spPr>
                      </pic:pic>
                    </a:graphicData>
                  </a:graphic>
                </wp:inline>
              </w:drawing>
            </w:r>
          </w:p>
          <w:p>
            <w:pPr>
              <w:spacing w:after="120"/>
              <w:jc w:val="center"/>
            </w:pPr>
            <w:r>
              <w:rPr>
                <w:rFonts w:ascii="Times New Roman" w:cs="Times New Roman" w:eastAsia="Times New Roman" w:hAnsi="Times New Roman"/>
                <w:i/>
                <w:iCs/>
                <w:sz w:val="19"/>
                <w:szCs w:val="19"/>
              </w:rPr>
              <w:t xml:space="preserve">Figure 8: Account creation (JWT)</w:t>
            </w:r>
          </w:p>
        </w:tc>
        <w:tc>
          <w:tcPr>
            <w:tcW w:type="dxa" w:w="4680"/>
            <w:tcBorders>
              <w:top w:val="none" w:color="FFFFFF" w:sz="0"/>
              <w:left w:val="none" w:color="FFFFFF" w:sz="0"/>
              <w:bottom w:val="none" w:color="FFFFFF" w:sz="0"/>
              <w:right w:val="none" w:color="FFFFFF" w:sz="0"/>
            </w:tcBorders>
            <w:vAlign w:val="bottom"/>
          </w:tcPr>
          <w:p>
            <w:pPr>
              <w:spacing w:after="60" w:before="80"/>
              <w:jc w:val="center"/>
            </w:pPr>
            <w:r>
              <w:drawing>
                <wp:inline distT="0" distB="0" distL="0" distR="0">
                  <wp:extent cx="1732890" cy="3752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32890" cy="3752850"/>
                          </a:xfrm>
                          <a:prstGeom prst="rect">
                            <a:avLst/>
                          </a:prstGeom>
                        </pic:spPr>
                      </pic:pic>
                    </a:graphicData>
                  </a:graphic>
                </wp:inline>
              </w:drawing>
            </w:r>
          </w:p>
          <w:p>
            <w:pPr>
              <w:spacing w:after="120"/>
              <w:jc w:val="center"/>
            </w:pPr>
            <w:r>
              <w:rPr>
                <w:rFonts w:ascii="Times New Roman" w:cs="Times New Roman" w:eastAsia="Times New Roman" w:hAnsi="Times New Roman"/>
                <w:i/>
                <w:iCs/>
                <w:sz w:val="19"/>
                <w:szCs w:val="19"/>
              </w:rPr>
              <w:t xml:space="preserve">Figure 9: Landing page on a phone</w:t>
            </w:r>
          </w:p>
        </w:tc>
      </w:tr>
    </w:tbl>
    <w:p>
      <w:pPr>
        <w:spacing w:after="120"/>
      </w:pPr>
    </w:p>
    <w:p>
      <w:pPr>
        <w:pStyle w:val="Heading2"/>
        <w:keepNext/>
        <w:spacing w:after="100" w:before="220"/>
      </w:pPr>
      <w:r>
        <w:rPr>
          <w:rFonts w:ascii="Times New Roman" w:cs="Times New Roman" w:eastAsia="Times New Roman" w:hAnsi="Times New Roman"/>
          <w:b/>
          <w:bCs/>
          <w:color w:val="1F3864"/>
          <w:sz w:val="25"/>
          <w:szCs w:val="25"/>
        </w:rPr>
        <w:t xml:space="preserve">7.2 Stock analysis</w:t>
      </w:r>
    </w:p>
    <w:p>
      <w:pPr>
        <w:spacing w:after="140" w:line="312"/>
        <w:jc w:val="both"/>
      </w:pPr>
      <w:r>
        <w:rPr>
          <w:rFonts w:ascii="Times New Roman" w:cs="Times New Roman" w:eastAsia="Times New Roman" w:hAnsi="Times New Roman"/>
          <w:sz w:val="24"/>
          <w:szCs w:val="24"/>
        </w:rPr>
        <w:t xml:space="preserve">Searching a symbol opens its analysis page. The candlestick chart can show any combination of SMA 20/50/200, EMA 12/26, Bollinger Bands and the regression trend, with RSI, MACD or the Stochastic oscillator in the lower pane.</w:t>
      </w:r>
    </w:p>
    <w:p>
      <w:pPr>
        <w:keepNext/>
        <w:spacing w:after="60" w:before="120"/>
        <w:jc w:val="center"/>
      </w:pPr>
      <w:r>
        <w:drawing>
          <wp:inline distT="0" distB="0" distL="0" distR="0">
            <wp:extent cx="5943600" cy="3533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33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Stock analysis page for AAPL with SMA 50/200, Bollinger Bands and RSI</w:t>
      </w:r>
    </w:p>
    <w:p>
      <w:pPr>
        <w:keepNext/>
        <w:spacing w:after="60" w:before="120"/>
        <w:jc w:val="center"/>
      </w:pPr>
      <w:r>
        <w:drawing>
          <wp:inline distT="0" distB="0" distL="0" distR="0">
            <wp:extent cx="5943600" cy="2990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908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Same chart with the MACD line, signal line and histogram</w:t>
      </w:r>
    </w:p>
    <w:p>
      <w:pPr>
        <w:keepNext/>
        <w:spacing w:after="60" w:before="120"/>
        <w:jc w:val="center"/>
      </w:pPr>
      <w:r>
        <w:drawing>
          <wp:inline distT="0" distB="0" distL="0" distR="0">
            <wp:extent cx="5943600" cy="2990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9908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Same chart with the Stochastic oscillator and 20/80 levels</w:t>
      </w:r>
    </w:p>
    <w:p>
      <w:pPr>
        <w:spacing w:after="140" w:line="312"/>
        <w:jc w:val="both"/>
      </w:pPr>
      <w:r>
        <w:rPr>
          <w:rFonts w:ascii="Times New Roman" w:cs="Times New Roman" w:eastAsia="Times New Roman" w:hAnsi="Times New Roman"/>
          <w:sz w:val="24"/>
          <w:szCs w:val="24"/>
        </w:rPr>
        <w:t xml:space="preserve">Below the chart, the risk panel shows each metric with the formula that produced it, followed by the underwater drawdown chart and plain-language readings of the latest indicator values.</w:t>
      </w:r>
    </w:p>
    <w:p>
      <w:pPr>
        <w:keepNext/>
        <w:spacing w:after="60" w:before="120"/>
        <w:jc w:val="center"/>
      </w:pPr>
      <w:r>
        <w:drawing>
          <wp:inline distT="0" distB="0" distL="0" distR="0">
            <wp:extent cx="5943600" cy="13620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362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13: Risk metrics, each shown with its formula</w:t>
      </w:r>
    </w:p>
    <w:p>
      <w:pPr>
        <w:keepNext/>
        <w:spacing w:after="60" w:before="120"/>
        <w:jc w:val="center"/>
      </w:pPr>
      <w:r>
        <w:drawing>
          <wp:inline distT="0" distB="0" distL="0" distR="0">
            <wp:extent cx="5943600" cy="16002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600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14: Drawdown chart and latest indicator readings</w:t>
      </w:r>
    </w:p>
    <w:p>
      <w:pPr>
        <w:keepNext/>
        <w:spacing w:after="60" w:before="120"/>
        <w:jc w:val="center"/>
      </w:pPr>
      <w:r>
        <w:drawing>
          <wp:inline distT="0" distB="0" distL="0" distR="0">
            <wp:extent cx="5943600" cy="25622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562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15: Monte Carlo fan chart (1,000 paths) with the ending-price histogram</w:t>
      </w:r>
    </w:p>
    <w:p>
      <w:pPr>
        <w:keepNext/>
        <w:spacing w:after="60" w:before="120"/>
        <w:jc w:val="center"/>
      </w:pPr>
      <w:r>
        <w:drawing>
          <wp:inline distT="0" distB="0" distL="0" distR="0">
            <wp:extent cx="5943600" cy="5429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542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16: Creating a price alert (Pro) from the stock page</w:t>
      </w:r>
    </w:p>
    <w:p>
      <w:pPr>
        <w:pStyle w:val="Heading2"/>
        <w:keepNext/>
        <w:spacing w:after="100" w:before="220"/>
      </w:pPr>
      <w:r>
        <w:rPr>
          <w:rFonts w:ascii="Times New Roman" w:cs="Times New Roman" w:eastAsia="Times New Roman" w:hAnsi="Times New Roman"/>
          <w:b/>
          <w:bCs/>
          <w:color w:val="1F3864"/>
          <w:sz w:val="25"/>
          <w:szCs w:val="25"/>
        </w:rPr>
        <w:t xml:space="preserve">7.3 Comparing stocks</w:t>
      </w:r>
    </w:p>
    <w:p>
      <w:pPr>
        <w:keepNext/>
        <w:spacing w:after="60" w:before="120"/>
        <w:jc w:val="center"/>
      </w:pPr>
      <w:r>
        <w:drawing>
          <wp:inline distT="0" distB="0" distL="0" distR="0">
            <wp:extent cx="5943600" cy="21240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124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17: Correlation heatmap and growth chart for five stocks</w:t>
      </w:r>
    </w:p>
    <w:p>
      <w:pPr>
        <w:keepNext/>
        <w:spacing w:after="60" w:before="120"/>
        <w:jc w:val="center"/>
      </w:pPr>
      <w:r>
        <w:drawing>
          <wp:inline distT="0" distB="0" distL="0" distR="0">
            <wp:extent cx="5943600" cy="15621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1562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18: Risk side by side, with beta measured against the S&amp;P 500</w:t>
      </w:r>
    </w:p>
    <w:p>
      <w:pPr>
        <w:pStyle w:val="Heading2"/>
        <w:keepNext/>
        <w:spacing w:after="100" w:before="220"/>
      </w:pPr>
      <w:r>
        <w:rPr>
          <w:rFonts w:ascii="Times New Roman" w:cs="Times New Roman" w:eastAsia="Times New Roman" w:hAnsi="Times New Roman"/>
          <w:b/>
          <w:bCs/>
          <w:color w:val="1F3864"/>
          <w:sz w:val="25"/>
          <w:szCs w:val="25"/>
        </w:rPr>
        <w:t xml:space="preserve">7.4 Strategy backtester</w:t>
      </w:r>
    </w:p>
    <w:p>
      <w:pPr>
        <w:keepNext/>
        <w:spacing w:after="60" w:before="120"/>
        <w:jc w:val="center"/>
      </w:pPr>
      <w:r>
        <w:drawing>
          <wp:inline distT="0" distB="0" distL="0" distR="0">
            <wp:extent cx="5943600" cy="1819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1819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19: Rule builder: buy when SMA 50 crosses above SMA 200, sell on the reverse cross</w:t>
      </w:r>
    </w:p>
    <w:p>
      <w:pPr>
        <w:keepNext/>
        <w:spacing w:after="60" w:before="120"/>
        <w:jc w:val="center"/>
      </w:pPr>
      <w:r>
        <w:drawing>
          <wp:inline distT="0" distB="0" distL="0" distR="0">
            <wp:extent cx="5943600" cy="1905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20: Equity curve of the strategy (amber) against buy-and-hold (grey)</w:t>
      </w:r>
    </w:p>
    <w:p>
      <w:pPr>
        <w:keepNext/>
        <w:spacing w:after="60" w:before="120"/>
        <w:jc w:val="center"/>
      </w:pPr>
      <w:r>
        <w:drawing>
          <wp:inline distT="0" distB="0" distL="0" distR="0">
            <wp:extent cx="5943600" cy="11811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1181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21: Backtest statistics compared with buy-and-hold</w:t>
      </w:r>
    </w:p>
    <w:p>
      <w:pPr>
        <w:keepNext/>
        <w:spacing w:after="60" w:before="120"/>
        <w:jc w:val="center"/>
      </w:pPr>
      <w:r>
        <w:drawing>
          <wp:inline distT="0" distB="0" distL="0" distR="0">
            <wp:extent cx="5943600" cy="1428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428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22: Trade list with entry, exit, return and exit reason</w:t>
      </w:r>
    </w:p>
    <w:p>
      <w:pPr>
        <w:pStyle w:val="Heading2"/>
        <w:keepNext/>
        <w:spacing w:after="100" w:before="220"/>
      </w:pPr>
      <w:r>
        <w:rPr>
          <w:rFonts w:ascii="Times New Roman" w:cs="Times New Roman" w:eastAsia="Times New Roman" w:hAnsi="Times New Roman"/>
          <w:b/>
          <w:bCs/>
          <w:color w:val="1F3864"/>
          <w:sz w:val="25"/>
          <w:szCs w:val="25"/>
        </w:rPr>
        <w:t xml:space="preserve">7.5 Portfolio builder</w:t>
      </w:r>
    </w:p>
    <w:p>
      <w:pPr>
        <w:keepNext/>
        <w:spacing w:after="60" w:before="120"/>
        <w:jc w:val="center"/>
      </w:pPr>
      <w:r>
        <w:drawing>
          <wp:inline distT="0" distB="0" distL="0" distR="0">
            <wp:extent cx="5943600" cy="24955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495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23: Efficient frontier with max-Sharpe (star) and min-volatility (diamond) portfolios</w:t>
      </w:r>
    </w:p>
    <w:p>
      <w:pPr>
        <w:keepNext/>
        <w:spacing w:after="60" w:before="120"/>
        <w:jc w:val="center"/>
      </w:pPr>
      <w:r>
        <w:drawing>
          <wp:inline distT="0" distB="0" distL="0" distR="0">
            <wp:extent cx="5943600" cy="24384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24: Correlation matrix of the portfolio’s stocks</w:t>
      </w:r>
    </w:p>
    <w:p>
      <w:pPr>
        <w:pStyle w:val="Heading2"/>
        <w:keepNext/>
        <w:spacing w:after="100" w:before="220"/>
      </w:pPr>
      <w:r>
        <w:rPr>
          <w:rFonts w:ascii="Times New Roman" w:cs="Times New Roman" w:eastAsia="Times New Roman" w:hAnsi="Times New Roman"/>
          <w:b/>
          <w:bCs/>
          <w:color w:val="1F3864"/>
          <w:sz w:val="25"/>
          <w:szCs w:val="25"/>
        </w:rPr>
        <w:t xml:space="preserve">7.6 Dashboard, Pro plan and mobile layout</w:t>
      </w:r>
    </w:p>
    <w:p>
      <w:pPr>
        <w:keepNext/>
        <w:spacing w:after="60" w:before="120"/>
        <w:jc w:val="center"/>
      </w:pPr>
      <w:r>
        <w:drawing>
          <wp:inline distT="0" distB="0" distL="0" distR="0">
            <wp:extent cx="4938756" cy="41148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38756" cy="4114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25: User dashboard: watchlist with sparklines, saved strategies, price alerts and plan</w:t>
      </w:r>
    </w:p>
    <w:p>
      <w:pPr>
        <w:keepNext/>
        <w:spacing w:after="60" w:before="120"/>
        <w:jc w:val="center"/>
      </w:pPr>
      <w:r>
        <w:drawing>
          <wp:inline distT="0" distB="0" distL="0" distR="0">
            <wp:extent cx="5943600" cy="18669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1866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26: Pro features shown to a Free user, with the Razorpay upgrade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vAlign w:val="bottom"/>
          </w:tcPr>
          <w:p>
            <w:pPr>
              <w:spacing w:after="60" w:before="80"/>
              <w:jc w:val="center"/>
            </w:pPr>
            <w:r>
              <w:drawing>
                <wp:inline distT="0" distB="0" distL="0" distR="0">
                  <wp:extent cx="1690624" cy="36576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90624" cy="3657600"/>
                          </a:xfrm>
                          <a:prstGeom prst="rect">
                            <a:avLst/>
                          </a:prstGeom>
                        </pic:spPr>
                      </pic:pic>
                    </a:graphicData>
                  </a:graphic>
                </wp:inline>
              </w:drawing>
            </w:r>
          </w:p>
          <w:p>
            <w:pPr>
              <w:spacing w:after="120"/>
              <w:jc w:val="center"/>
            </w:pPr>
            <w:r>
              <w:rPr>
                <w:rFonts w:ascii="Times New Roman" w:cs="Times New Roman" w:eastAsia="Times New Roman" w:hAnsi="Times New Roman"/>
                <w:i/>
                <w:iCs/>
                <w:sz w:val="19"/>
                <w:szCs w:val="19"/>
              </w:rPr>
              <w:t xml:space="preserve">Figure 27: Stock page on a phone</w:t>
            </w:r>
          </w:p>
        </w:tc>
        <w:tc>
          <w:tcPr>
            <w:tcW w:type="dxa" w:w="3120"/>
            <w:tcBorders>
              <w:top w:val="none" w:color="FFFFFF" w:sz="0"/>
              <w:left w:val="none" w:color="FFFFFF" w:sz="0"/>
              <w:bottom w:val="none" w:color="FFFFFF" w:sz="0"/>
              <w:right w:val="none" w:color="FFFFFF" w:sz="0"/>
            </w:tcBorders>
            <w:vAlign w:val="bottom"/>
          </w:tcPr>
          <w:p>
            <w:pPr>
              <w:spacing w:after="60" w:before="80"/>
              <w:jc w:val="center"/>
            </w:pPr>
            <w:r>
              <w:drawing>
                <wp:inline distT="0" distB="0" distL="0" distR="0">
                  <wp:extent cx="1690624" cy="36576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90624" cy="3657600"/>
                          </a:xfrm>
                          <a:prstGeom prst="rect">
                            <a:avLst/>
                          </a:prstGeom>
                        </pic:spPr>
                      </pic:pic>
                    </a:graphicData>
                  </a:graphic>
                </wp:inline>
              </w:drawing>
            </w:r>
          </w:p>
          <w:p>
            <w:pPr>
              <w:spacing w:after="120"/>
              <w:jc w:val="center"/>
            </w:pPr>
            <w:r>
              <w:rPr>
                <w:rFonts w:ascii="Times New Roman" w:cs="Times New Roman" w:eastAsia="Times New Roman" w:hAnsi="Times New Roman"/>
                <w:i/>
                <w:iCs/>
                <w:sz w:val="19"/>
                <w:szCs w:val="19"/>
              </w:rPr>
              <w:t xml:space="preserve">Figure 28: Compare page on a phone</w:t>
            </w:r>
          </w:p>
        </w:tc>
        <w:tc>
          <w:tcPr>
            <w:tcW w:type="dxa" w:w="3120"/>
            <w:tcBorders>
              <w:top w:val="none" w:color="FFFFFF" w:sz="0"/>
              <w:left w:val="none" w:color="FFFFFF" w:sz="0"/>
              <w:bottom w:val="none" w:color="FFFFFF" w:sz="0"/>
              <w:right w:val="none" w:color="FFFFFF" w:sz="0"/>
            </w:tcBorders>
            <w:vAlign w:val="bottom"/>
          </w:tcPr>
          <w:p>
            <w:pPr>
              <w:spacing w:after="60" w:before="80"/>
              <w:jc w:val="center"/>
            </w:pPr>
            <w:r>
              <w:drawing>
                <wp:inline distT="0" distB="0" distL="0" distR="0">
                  <wp:extent cx="1844040" cy="23812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44040" cy="2381250"/>
                          </a:xfrm>
                          <a:prstGeom prst="rect">
                            <a:avLst/>
                          </a:prstGeom>
                        </pic:spPr>
                      </pic:pic>
                    </a:graphicData>
                  </a:graphic>
                </wp:inline>
              </w:drawing>
            </w:r>
          </w:p>
          <w:p>
            <w:pPr>
              <w:spacing w:after="120"/>
              <w:jc w:val="center"/>
            </w:pPr>
            <w:r>
              <w:rPr>
                <w:rFonts w:ascii="Times New Roman" w:cs="Times New Roman" w:eastAsia="Times New Roman" w:hAnsi="Times New Roman"/>
                <w:i/>
                <w:iCs/>
                <w:sz w:val="19"/>
                <w:szCs w:val="19"/>
              </w:rPr>
              <w:t xml:space="preserve">Figure 29: Minimum-volatility weights</w:t>
            </w:r>
          </w:p>
        </w:tc>
      </w:tr>
    </w:tbl>
    <w:p>
      <w:pPr>
        <w:spacing w:after="120"/>
      </w:pP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8. Results / Findings</w:t>
      </w:r>
    </w:p>
    <w:p>
      <w:pPr>
        <w:pStyle w:val="Heading2"/>
        <w:keepNext/>
        <w:spacing w:after="100" w:before="220"/>
      </w:pPr>
      <w:r>
        <w:rPr>
          <w:rFonts w:ascii="Times New Roman" w:cs="Times New Roman" w:eastAsia="Times New Roman" w:hAnsi="Times New Roman"/>
          <w:b/>
          <w:bCs/>
          <w:color w:val="1F3864"/>
          <w:sz w:val="25"/>
          <w:szCs w:val="25"/>
        </w:rPr>
        <w:t xml:space="preserve">8.1 Functional results</w:t>
      </w:r>
    </w:p>
    <w:p>
      <w:pPr>
        <w:keepNext/>
        <w:spacing w:after="80" w:before="100"/>
        <w:jc w:val="center"/>
      </w:pPr>
      <w:r>
        <w:rPr>
          <w:rFonts w:ascii="Times New Roman" w:cs="Times New Roman" w:eastAsia="Times New Roman" w:hAnsi="Times New Roman"/>
          <w:b/>
          <w:bCs/>
          <w:sz w:val="20"/>
          <w:szCs w:val="20"/>
        </w:rPr>
        <w:t xml:space="preserve">Table 10: Feature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3460"/>
      </w:tblGrid>
      <w:tr>
        <w:trPr>
          <w:cantSplit/>
          <w:tblHeader/>
        </w:trPr>
        <w:tc>
          <w:tcPr>
            <w:tcW w:type="dxa" w:w="43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Feature (in build order)</w:t>
            </w:r>
          </w:p>
        </w:tc>
        <w:tc>
          <w:tcPr>
            <w:tcW w:type="dxa" w:w="16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Status</w:t>
            </w:r>
          </w:p>
        </w:tc>
        <w:tc>
          <w:tcPr>
            <w:tcW w:type="dxa" w:w="34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Verified by</w:t>
            </w:r>
          </w:p>
        </w:tc>
      </w:tr>
      <w:tr>
        <w:trPr>
          <w:cantSplit/>
          <w:tblHeader w:val="off"/>
        </w:trPr>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Auth, stock search and price chart</w:t>
            </w:r>
          </w:p>
        </w:tc>
        <w:tc>
          <w:tcPr>
            <w:tcW w:type="dxa" w:w="1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UI test and API test</w:t>
            </w:r>
          </w:p>
        </w:tc>
      </w:tr>
      <w:tr>
        <w:trPr>
          <w:cantSplit/>
          <w:tblHeader w:val="off"/>
        </w:trPr>
        <w:tc>
          <w:tcPr>
            <w:tcW w:type="dxa" w:w="43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Indicator engine (SMA, EMA, RSI, MACD, Bollinger, Stochastic)</w:t>
            </w:r>
          </w:p>
        </w:tc>
        <w:tc>
          <w:tcPr>
            <w:tcW w:type="dxa" w:w="1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Unit tests against naive reference</w:t>
            </w:r>
          </w:p>
        </w:tc>
      </w:tr>
      <w:tr>
        <w:trPr>
          <w:cantSplit/>
          <w:tblHeader w:val="off"/>
        </w:trPr>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Risk metrics and watchlist</w:t>
            </w:r>
          </w:p>
        </w:tc>
        <w:tc>
          <w:tcPr>
            <w:tcW w:type="dxa" w:w="1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Unit tests, PostgreSQL integration</w:t>
            </w:r>
          </w:p>
        </w:tc>
      </w:tr>
      <w:tr>
        <w:trPr>
          <w:cantSplit/>
          <w:tblHeader w:val="off"/>
        </w:trPr>
        <w:tc>
          <w:tcPr>
            <w:tcW w:type="dxa" w:w="43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Strategy backtester</w:t>
            </w:r>
          </w:p>
        </w:tc>
        <w:tc>
          <w:tcPr>
            <w:tcW w:type="dxa" w:w="1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Unit test (no look-ahead), UI test</w:t>
            </w:r>
          </w:p>
        </w:tc>
      </w:tr>
      <w:tr>
        <w:trPr>
          <w:cantSplit/>
          <w:tblHeader w:val="off"/>
        </w:trPr>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Monte Carlo and efficient frontier</w:t>
            </w:r>
          </w:p>
        </w:tc>
        <w:tc>
          <w:tcPr>
            <w:tcW w:type="dxa" w:w="1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Unit tests, BullMQ integration</w:t>
            </w:r>
          </w:p>
        </w:tc>
      </w:tr>
      <w:tr>
        <w:trPr>
          <w:cantSplit/>
          <w:tblHeader w:val="off"/>
        </w:trPr>
        <w:tc>
          <w:tcPr>
            <w:tcW w:type="dxa" w:w="43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Correlation heatmap for 2–5 stocks</w:t>
            </w:r>
          </w:p>
        </w:tc>
        <w:tc>
          <w:tcPr>
            <w:tcW w:type="dxa" w:w="1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Unit test (symmetric, unit diagonal)</w:t>
            </w:r>
          </w:p>
        </w:tc>
      </w:tr>
      <w:tr>
        <w:trPr>
          <w:cantSplit/>
          <w:tblHeader w:val="off"/>
        </w:trPr>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Saved strategies and price-alert emails</w:t>
            </w:r>
          </w:p>
        </w:tc>
        <w:tc>
          <w:tcPr>
            <w:tcW w:type="dxa" w:w="1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Integration test (alert fired)</w:t>
            </w:r>
          </w:p>
        </w:tc>
      </w:tr>
      <w:tr>
        <w:trPr>
          <w:cantSplit/>
          <w:tblHeader w:val="off"/>
        </w:trPr>
        <w:tc>
          <w:tcPr>
            <w:tcW w:type="dxa" w:w="43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Razorpay payment for Pro</w:t>
            </w:r>
          </w:p>
        </w:tc>
        <w:tc>
          <w:tcPr>
            <w:tcW w:type="dxa" w:w="1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Signature test (forged rejected, valid accepted)</w:t>
            </w:r>
          </w:p>
        </w:tc>
      </w:tr>
      <w:tr>
        <w:trPr>
          <w:cantSplit/>
          <w:tblHeader w:val="off"/>
        </w:trPr>
        <w:tc>
          <w:tcPr>
            <w:tcW w:type="dxa" w:w="43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Responsive layout</w:t>
            </w:r>
          </w:p>
        </w:tc>
        <w:tc>
          <w:tcPr>
            <w:tcW w:type="dxa" w:w="1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Complete</w:t>
            </w:r>
          </w:p>
        </w:tc>
        <w:tc>
          <w:tcPr>
            <w:tcW w:type="dxa" w:w="34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Screenshots at 1,280 and 390 pixels</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8.2 Automated testing</w:t>
      </w:r>
    </w:p>
    <w:p>
      <w:pPr>
        <w:spacing w:after="140" w:line="312"/>
        <w:jc w:val="both"/>
      </w:pPr>
      <w:r>
        <w:rPr>
          <w:rFonts w:ascii="Times New Roman" w:cs="Times New Roman" w:eastAsia="Times New Roman" w:hAnsi="Times New Roman"/>
          <w:sz w:val="24"/>
          <w:szCs w:val="24"/>
        </w:rPr>
        <w:t xml:space="preserve">The math engine has 15 automated tests (npm test in the server folder), and all of them pass. Each optimised algorithm is checked against a brute-force implementation or a value known in advance.</w:t>
      </w:r>
    </w:p>
    <w:p>
      <w:pPr>
        <w:keepNext/>
        <w:spacing w:after="80" w:before="100"/>
        <w:jc w:val="center"/>
      </w:pPr>
      <w:r>
        <w:rPr>
          <w:rFonts w:ascii="Times New Roman" w:cs="Times New Roman" w:eastAsia="Times New Roman" w:hAnsi="Times New Roman"/>
          <w:b/>
          <w:bCs/>
          <w:sz w:val="20"/>
          <w:szCs w:val="20"/>
        </w:rPr>
        <w:t xml:space="preserve">Table 11: Automated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cantSplit/>
          <w:tblHeader/>
        </w:trPr>
        <w:tc>
          <w:tcPr>
            <w:tcW w:type="dxa" w:w="6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w:t>
            </w:r>
          </w:p>
        </w:tc>
        <w:tc>
          <w:tcPr>
            <w:tcW w:type="dxa" w:w="400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Test</w:t>
            </w:r>
          </w:p>
        </w:tc>
        <w:tc>
          <w:tcPr>
            <w:tcW w:type="dxa" w:w="4760"/>
            <w:tcBorders>
              <w:top w:val="single" w:color="8EA9C1" w:sz="4"/>
              <w:left w:val="single" w:color="8EA9C1" w:sz="4"/>
              <w:bottom w:val="single" w:color="8EA9C1" w:sz="4"/>
              <w:right w:val="single" w:color="8EA9C1" w:sz="4"/>
            </w:tcBorders>
            <w:shd w:fill="1F3864"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What it proves</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 matches the naive window average</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Rolling-sum SMA is exact</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 seeds with SMA and follows the recurrence</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 warm-up and smoothing are correct</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RSI is 100 on a rising series and within [0, 100]</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Wilder smoothing and bounds</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Bollinger middle = SMA, width = 2σ</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Sum-of-squares variance is exact</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MACD histogram = line − signal</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MACD chaining and warm-up length</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Rolling extrema match brute force</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Monotonic deque is correct; %K in range</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Regression recovers an exact line</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Slope, intercept and R² = 1</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Max drawdown finds deepest fall</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Peak and trough indexes</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Historical VaR picks the 5th percentile</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 ≤ expected shortfall</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Beta of a 2× levered copy is 2</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Covariance, variance and volatility</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Correlation matrix symmetric, unit diagonal</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Series and its negative give −1</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12</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Frontier weights sum to 1</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Max-Sharpe beats every sample; frontier rises</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Monte Carlo bands ordered and reproducible</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1,000 paths; same seed, same result</w:t>
            </w:r>
          </w:p>
        </w:tc>
      </w:tr>
      <w:tr>
        <w:trPr>
          <w:cantSplit/>
          <w:tblHeader w:val="off"/>
        </w:trPr>
        <w:tc>
          <w:tcPr>
            <w:tcW w:type="dxa" w:w="6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14</w:t>
            </w:r>
          </w:p>
        </w:tc>
        <w:tc>
          <w:tcPr>
            <w:tcW w:type="dxa" w:w="400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Backtest has no look-ahead</w:t>
            </w:r>
          </w:p>
        </w:tc>
        <w:tc>
          <w:tcPr>
            <w:tcW w:type="dxa" w:w="4760"/>
            <w:tcBorders>
              <w:top w:val="single" w:color="8EA9C1" w:sz="4"/>
              <w:left w:val="single" w:color="8EA9C1" w:sz="4"/>
              <w:bottom w:val="single" w:color="8EA9C1" w:sz="4"/>
              <w:right w:val="single" w:color="8EA9C1" w:sz="4"/>
            </w:tcBorders>
            <w:shd w:fill="EEF3F8"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Trades fill at the next bar’s open</w:t>
            </w:r>
          </w:p>
        </w:tc>
      </w:tr>
      <w:tr>
        <w:trPr>
          <w:cantSplit/>
          <w:tblHeader w:val="off"/>
        </w:trPr>
        <w:tc>
          <w:tcPr>
            <w:tcW w:type="dxa" w:w="6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15</w:t>
            </w:r>
          </w:p>
        </w:tc>
        <w:tc>
          <w:tcPr>
            <w:tcW w:type="dxa" w:w="400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Strategy validation rejects bad input</w:t>
            </w:r>
          </w:p>
        </w:tc>
        <w:tc>
          <w:tcPr>
            <w:tcW w:type="dxa" w:w="4760"/>
            <w:tcBorders>
              <w:top w:val="single" w:color="8EA9C1" w:sz="4"/>
              <w:left w:val="single" w:color="8EA9C1" w:sz="4"/>
              <w:bottom w:val="single" w:color="8EA9C1" w:sz="4"/>
              <w:right w:val="single" w:color="8EA9C1"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Unknown indicators and empty rules refused</w:t>
            </w:r>
          </w:p>
        </w:tc>
      </w:tr>
    </w:tbl>
    <w:p>
      <w:pPr>
        <w:spacing w:after="160"/>
      </w:pPr>
    </w:p>
    <w:p>
      <w:pPr>
        <w:pStyle w:val="Heading2"/>
        <w:keepNext/>
        <w:spacing w:after="100" w:before="220"/>
      </w:pPr>
      <w:r>
        <w:rPr>
          <w:rFonts w:ascii="Times New Roman" w:cs="Times New Roman" w:eastAsia="Times New Roman" w:hAnsi="Times New Roman"/>
          <w:b/>
          <w:bCs/>
          <w:color w:val="1F3864"/>
          <w:sz w:val="25"/>
          <w:szCs w:val="25"/>
        </w:rPr>
        <w:t xml:space="preserve">8.3 Integration testing</w:t>
      </w:r>
    </w:p>
    <w:p>
      <w:pPr>
        <w:spacing w:after="140" w:line="312"/>
        <w:jc w:val="both"/>
      </w:pPr>
      <w:r>
        <w:rPr>
          <w:rFonts w:ascii="Times New Roman" w:cs="Times New Roman" w:eastAsia="Times New Roman" w:hAnsi="Times New Roman"/>
          <w:sz w:val="24"/>
          <w:szCs w:val="24"/>
        </w:rPr>
        <w:t xml:space="preserve">The full production stack was run with PostgreSQL, Redis and BullMQ. Registration, login, plan upgrade, watchlist, saved strategies and alerts were written to and read back from PostgreSQL; price series appeared as Redis keys; a backtest ran as a BullMQ job and an identical second request was served instantly from the result cache; and the alert checker detected a crossed target and produced the notification email. For payments, a forged Razorpay signature was rejected and a correctly signed one upgraded the account to Pro.</w:t>
      </w:r>
    </w:p>
    <w:p>
      <w:pPr>
        <w:pStyle w:val="Heading2"/>
        <w:keepNext/>
        <w:spacing w:after="100" w:before="220"/>
      </w:pPr>
      <w:r>
        <w:rPr>
          <w:rFonts w:ascii="Times New Roman" w:cs="Times New Roman" w:eastAsia="Times New Roman" w:hAnsi="Times New Roman"/>
          <w:b/>
          <w:bCs/>
          <w:color w:val="1F3864"/>
          <w:sz w:val="25"/>
          <w:szCs w:val="25"/>
        </w:rPr>
        <w:t xml:space="preserve">8.4 Findings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Rolling-window algorithms make indicator computation linear in the number of trading days, so a five-year series of about 1,260 sessions is analysed in milliseconds.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Caching is essential with free data APIs: after the first request, every further analysis, comparison or job on the same symbol needs no external call.</w:t>
      </w:r>
    </w:p>
    <w:p>
      <w:pPr>
        <w:pStyle w:val="ListParagraph"/>
        <w:numPr>
          <w:ilvl w:val="0"/>
          <w:numId w:val="3"/>
        </w:numPr>
        <w:spacing w:after="70" w:line="300"/>
        <w:jc w:val="both"/>
      </w:pPr>
      <w:r>
        <w:rPr>
          <w:rFonts w:ascii="Times New Roman" w:cs="Times New Roman" w:eastAsia="Times New Roman" w:hAnsi="Times New Roman"/>
          <w:sz w:val="24"/>
          <w:szCs w:val="24"/>
        </w:rPr>
        <w:t xml:space="preserve">In the example backtest, the 50/200-day golden-cross rule returned +6.0% over five years against +142.3% for buy-and-hold with a similar maximum drawdown, which shows why every strategy must be compared with the passive baseline.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efficient frontier shows that combining stocks with low correlation produces portfolios with lower volatility than most individual stocks for the same expected return, which is the central result of Markowitz theory.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Running heavy computations as background jobs keeps every page responsive, and showing the formula next to each number makes the analysis transparent and suitable for learning.</w:t>
      </w: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9. Conclusion</w:t>
      </w:r>
    </w:p>
    <w:p>
      <w:pPr>
        <w:spacing w:after="140" w:line="312"/>
        <w:jc w:val="both"/>
      </w:pPr>
      <w:r>
        <w:rPr>
          <w:rFonts w:ascii="Times New Roman" w:cs="Times New Roman" w:eastAsia="Times New Roman" w:hAnsi="Times New Roman"/>
          <w:sz w:val="24"/>
          <w:szCs w:val="24"/>
        </w:rPr>
        <w:t xml:space="preserve">QuantLens meets its objectives as a complete full-stack web application. A responsive React single-page application connects to a secure Express REST API backed by PostgreSQL and Redis, and a tested mathematical engine computes trend, momentum, risk, portfolio and forecasting metrics from price history. Heavy computations run as background jobs, market data is cached to respect API limits, and a Free/Pro model with Razorpay payments shows how the product could be offered commercially. Replacing the random charts and AI verdicts of the earlier version with transparent, reproducible mathematics has made the application more accurate, easier to verify and more useful for learning how markets are measured.</w:t>
      </w:r>
    </w:p>
    <w:p>
      <w:pPr>
        <w:pStyle w:val="Heading1"/>
        <w:keepNext/>
        <w:pBdr>
          <w:bottom w:val="single" w:color="1F3864" w:sz="6" w:space="4"/>
        </w:pBdr>
        <w:spacing w:after="160" w:before="320"/>
      </w:pPr>
      <w:r>
        <w:rPr>
          <w:rFonts w:ascii="Times New Roman" w:cs="Times New Roman" w:eastAsia="Times New Roman" w:hAnsi="Times New Roman"/>
          <w:b/>
          <w:bCs/>
          <w:color w:val="1F3864"/>
          <w:sz w:val="30"/>
          <w:szCs w:val="30"/>
        </w:rPr>
        <w:t xml:space="preserve">10. Future Enhancement of the Project in Real-Time Applications</w:t>
      </w:r>
    </w:p>
    <w:p>
      <w:pPr>
        <w:pStyle w:val="Heading2"/>
        <w:keepNext/>
        <w:spacing w:after="100" w:before="220"/>
      </w:pPr>
      <w:r>
        <w:rPr>
          <w:rFonts w:ascii="Times New Roman" w:cs="Times New Roman" w:eastAsia="Times New Roman" w:hAnsi="Times New Roman"/>
          <w:b/>
          <w:bCs/>
          <w:color w:val="1F3864"/>
          <w:sz w:val="25"/>
          <w:szCs w:val="25"/>
        </w:rPr>
        <w:t xml:space="preserve">Frontend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Live intraday prices over WebSockets with streaming candle updates on the chart.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Drag-and-drop strategy builder with more indicators (ATR, ADX, VWAP, Ichimoku) and multi-stock strategies.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Progressive Web App with an offline watchlist and push notifications for alerts; a light theme and an accessibility audit.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Downloadable PDF reports of an analysis, a backtest or a portfolio.</w:t>
      </w:r>
    </w:p>
    <w:p>
      <w:pPr>
        <w:pStyle w:val="Heading2"/>
        <w:keepNext/>
        <w:spacing w:after="100" w:before="220"/>
      </w:pPr>
      <w:r>
        <w:rPr>
          <w:rFonts w:ascii="Times New Roman" w:cs="Times New Roman" w:eastAsia="Times New Roman" w:hAnsi="Times New Roman"/>
          <w:b/>
          <w:bCs/>
          <w:color w:val="1F3864"/>
          <w:sz w:val="25"/>
          <w:szCs w:val="25"/>
        </w:rPr>
        <w:t xml:space="preserve">Backend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Razorpay Subscriptions with webhooks for automatic monthly renewal, invoices and cancellation.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Walk-forward optimisation and parameter sweeps for strategies, run in parallel across worker processes.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An exact quadratic-programming optimiser for the frontier with constraints such as sector limits and maximum weights.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Daily prices stored in a time-series database (TimescaleDB) with indicators pre-computed in nightly jobs.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Deployment with Docker: frontend on Vercel, API and workers on Render or AWS, managed PostgreSQL and Redis, and continuous integration running the test suite on every commit.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SMS and WhatsApp alerts, and support for mutual funds, ETFs and cryptocurrencies.</w:t>
      </w:r>
    </w:p>
    <w:sectPr>
      <w:headerReference w:type="default" r:id="rId6"/>
      <w:footerReference w:type="default" r:id="rId7"/>
      <w:pgSz w:w="12240" w:h="15840" w:orient="portrait"/>
      <w:pgMar w:top="1300" w:right="1440" w:bottom="1200" w:left="1440" w:header="600" w:footer="6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Full Stack Web Development (22CAC11N)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4"/>
      </w:pBdr>
      <w:jc w:val="right"/>
    </w:pPr>
    <w:r>
      <w:rPr>
        <w:rFonts w:ascii="Times New Roman" w:cs="Times New Roman" w:eastAsia="Times New Roman" w:hAnsi="Times New Roman"/>
        <w:i/>
        <w:iCs/>
        <w:color w:val="555555"/>
        <w:sz w:val="18"/>
        <w:szCs w:val="18"/>
      </w:rPr>
      <w:t xml:space="preserve">QuantLens: A Mathematical Stock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b6568c90724bed9fa343d2b1aeea54923da1154.png"/><Relationship Id="rId10" Type="http://schemas.openxmlformats.org/officeDocument/2006/relationships/image" Target="media/537399375642ad50fe6939579a1db39531d894ea.png"/><Relationship Id="rId11" Type="http://schemas.openxmlformats.org/officeDocument/2006/relationships/image" Target="media/7421555ea23a6ce2747ee12847b94b56655cf0b8.png"/><Relationship Id="rId12" Type="http://schemas.openxmlformats.org/officeDocument/2006/relationships/image" Target="media/b7b9befd9b330695423aef6e77623c3b0c77d6ce.png"/><Relationship Id="rId13" Type="http://schemas.openxmlformats.org/officeDocument/2006/relationships/image" Target="media/e4dd94c73e41b853f16b54fd96d3444b1c7016d2.png"/><Relationship Id="rId14" Type="http://schemas.openxmlformats.org/officeDocument/2006/relationships/image" Target="media/151671967ac40e5daa275efbe70a87e7faf6712f.png"/><Relationship Id="rId15" Type="http://schemas.openxmlformats.org/officeDocument/2006/relationships/image" Target="media/b106c3c1d53e70c3ba1327b26927c926bf94d15c.png"/><Relationship Id="rId16" Type="http://schemas.openxmlformats.org/officeDocument/2006/relationships/image" Target="media/e496173d1cf8c034ffedd8cd45814806283a312b.png"/><Relationship Id="rId17" Type="http://schemas.openxmlformats.org/officeDocument/2006/relationships/image" Target="media/a9af18ba1469652d2be1eca9c9702884340136d7.png"/><Relationship Id="rId18" Type="http://schemas.openxmlformats.org/officeDocument/2006/relationships/image" Target="media/ccea5902859f186b99bf35ac8bb13de0576f7720.png"/><Relationship Id="rId19" Type="http://schemas.openxmlformats.org/officeDocument/2006/relationships/image" Target="media/bb031b384fd12e3aab7b1c536b294092e4bbbc2b.png"/><Relationship Id="rId20" Type="http://schemas.openxmlformats.org/officeDocument/2006/relationships/image" Target="media/3cb39560ce6b38fbf0990d0d992924563ae58417.png"/><Relationship Id="rId21" Type="http://schemas.openxmlformats.org/officeDocument/2006/relationships/image" Target="media/4e4ad2971289f3d753745c4b2985953c6ba13af3.png"/><Relationship Id="rId22" Type="http://schemas.openxmlformats.org/officeDocument/2006/relationships/image" Target="media/a81d72662ed2f1478748d8f0b3416823833cb1b3.png"/><Relationship Id="rId23" Type="http://schemas.openxmlformats.org/officeDocument/2006/relationships/image" Target="media/884fa388314fe1ae1dd8f210dc8c139d994c033f.png"/><Relationship Id="rId24" Type="http://schemas.openxmlformats.org/officeDocument/2006/relationships/image" Target="media/3b3349b0fda639793343a30fd62f6752d173cd4b.png"/><Relationship Id="rId25" Type="http://schemas.openxmlformats.org/officeDocument/2006/relationships/image" Target="media/ac769239ff7d469c25d5e37c579cdff3564ee6e4.png"/><Relationship Id="rId26" Type="http://schemas.openxmlformats.org/officeDocument/2006/relationships/image" Target="media/c417e1275e25d7660ea281a8630b0eba4bf72693.png"/><Relationship Id="rId27" Type="http://schemas.openxmlformats.org/officeDocument/2006/relationships/image" Target="media/5d4bb6ba8494b27a967b1fa36640bab685fce743.png"/><Relationship Id="rId28" Type="http://schemas.openxmlformats.org/officeDocument/2006/relationships/image" Target="media/a41e597534eb2a93b56661ec2adb257d6e7d9301.png"/><Relationship Id="rId29" Type="http://schemas.openxmlformats.org/officeDocument/2006/relationships/image" Target="media/d473c0f0989089545971ee1b071897bbf3043ec8.png"/><Relationship Id="rId30" Type="http://schemas.openxmlformats.org/officeDocument/2006/relationships/image" Target="media/51729d85d864b171246e9b22bb7bd227d0e75eaa.png"/><Relationship Id="rId31" Type="http://schemas.openxmlformats.org/officeDocument/2006/relationships/image" Target="media/adf8aa503ee81e7da5b5edb776ce31a894d5554b.png"/><Relationship Id="rId32" Type="http://schemas.openxmlformats.org/officeDocument/2006/relationships/image" Target="media/8a37ce9162d230fcfd1ad3486089908b21a1f2a8.png"/><Relationship Id="rId33" Type="http://schemas.openxmlformats.org/officeDocument/2006/relationships/image" Target="media/a2a597fc86a7c0ce5af92fbe4065837f2976856d.png"/><Relationship Id="rId34" Type="http://schemas.openxmlformats.org/officeDocument/2006/relationships/image" Target="media/ba1c8227ab5d12023f03568625442cd9ff480105.png"/><Relationship Id="rId35" Type="http://schemas.openxmlformats.org/officeDocument/2006/relationships/image" Target="media/2148671307e452a394320abd234b8742813d9c8f.png"/><Relationship Id="rId36" Type="http://schemas.openxmlformats.org/officeDocument/2006/relationships/image" Target="media/d0628e87a55a8da6c289a6440e591bd20745e29b.png"/><Relationship Id="rId37" Type="http://schemas.openxmlformats.org/officeDocument/2006/relationships/image" Target="media/921436c2f37f8cfe04cb3373d9a03db7a23cde05.png"/><Relationship Id="rId38" Type="http://schemas.openxmlformats.org/officeDocument/2006/relationships/image" Target="media/dc34ca903ae6f2587caa56363f56ac8fec7090de.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QuantLens – Full Stack Web Development Project Report</dc:title>
  <dc:creator>Mohammed Raahil Ali, Shaik Mohammed Younus Saqib</dc:creator>
  <cp:lastModifiedBy>Un-named</cp:lastModifiedBy>
  <cp:revision>1</cp:revision>
  <dcterms:created xsi:type="dcterms:W3CDTF">2026-10-29T07:13:01.116Z</dcterms:created>
  <dcterms:modified xsi:type="dcterms:W3CDTF">2026-10-29T07:13:01.116Z</dcterms:modified>
</cp:coreProperties>
</file>

<file path=docProps/custom.xml><?xml version="1.0" encoding="utf-8"?>
<Properties xmlns="http://schemas.openxmlformats.org/officeDocument/2006/custom-properties" xmlns:vt="http://schemas.openxmlformats.org/officeDocument/2006/docPropsVTypes"/>
</file>