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26A1B"/>
          <w:sz w:val="20"/>
        </w:rPr>
        <w:t>SMART INDIA HACKATHON 2026 — TECHNICAL DOSSIER</w:t>
        <w:br/>
        <w:t>PROBLEM STATEMENT PS 26263</w:t>
      </w:r>
    </w:p>
    <w:p>
      <w:pPr>
        <w:jc w:val="center"/>
      </w:pPr>
      <w:r>
        <w:rPr>
          <w:b/>
          <w:color w:val="0B2545"/>
          <w:sz w:val="52"/>
        </w:rPr>
        <w:t>APAARSetu (अपार सेतु)</w:t>
      </w:r>
    </w:p>
    <w:p>
      <w:pPr>
        <w:jc w:val="center"/>
      </w:pPr>
      <w:r>
        <w:rPr>
          <w:color w:val="64748B"/>
          <w:sz w:val="24"/>
        </w:rPr>
        <w:t>APAAR ID-Based Student Data Management &amp; Verification Platform</w:t>
        <w:br/>
        <w:t>All India Council for Technical Education (AICTE) — Regulation Bureau</w:t>
      </w:r>
    </w:p>
    <w:p>
      <w:pPr>
        <w:spacing w:after="240"/>
      </w:pPr>
    </w:p>
    <w:p>
      <w:pPr>
        <w:pStyle w:val="Heading1"/>
      </w:pPr>
      <w:r>
        <w:t>1. Executive Summary &amp; Problem Scope</w:t>
      </w:r>
    </w:p>
    <w:p>
      <w:r>
        <w:t>Under the National Education Policy (NEP 2020), the Ministry of Education instituted the Automated Permanent Academic Account Registry (APAAR) — a 12-digit lifelong digital identity assigned to students across India. For the All India Council for Technical Education (AICTE), regulating over 10,000 approved technical institutions requires real-time reconciliation of student enrolments against approved annual intake limits across disciplines.</w:t>
      </w:r>
    </w:p>
    <w:p>
      <w:r>
        <w:t>APAARSetu resolves critical systemic challenges in technical education regulation:</w:t>
        <w:br/>
        <w:t>• Intake Quota Enforcement: Detecting unapproved excess admissions across engineering and management branches.</w:t>
        <w:br/>
        <w:t>• Supernumerary Quota Monitoring: Tracking NRI, Foreign National (FN), OCI, and PIO candidate distributions.</w:t>
        <w:br/>
        <w:t>• Zero-Knowledge Dual Enrolment Detection: Flagging cross-institutional duplicate enrolments without exposing plaintext student identifiers.</w:t>
        <w:br/>
        <w:t>• Controlled Academic Verification: Standardizing third-party background checks with verified student consent.</w:t>
        <w:br/>
        <w:t>• Non-Privileged Institution Onboarding: Enforcing strict AICTE Central Bureau regulatory review before activation.</w:t>
      </w:r>
    </w:p>
    <w:p>
      <w:pPr>
        <w:pStyle w:val="Heading1"/>
      </w:pPr>
      <w:r>
        <w:t>2. Architectural Overview &amp; Component Structure</w:t>
      </w:r>
    </w:p>
    <w:p>
      <w:r>
        <w:t>APAARSetu is structured around clean, microservices-ready separation of concerns adhering to Government of India Digital Service and SwaaS standards: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2545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fill="0B2545"/>
          </w:tcPr>
          <w:p>
            <w:r>
              <w:rPr>
                <w:b/>
                <w:color w:val="FFFFFF"/>
              </w:rPr>
              <w:t>Technology / Specification</w:t>
            </w:r>
          </w:p>
        </w:tc>
        <w:tc>
          <w:tcPr>
            <w:tcW w:type="dxa" w:w="3120"/>
            <w:shd w:fill="0B2545"/>
          </w:tcPr>
          <w:p>
            <w:r>
              <w:rPr>
                <w:b/>
                <w:color w:val="FFFFFF"/>
              </w:rPr>
              <w:t>Engineering Role &amp; Security Function</w:t>
            </w:r>
          </w:p>
        </w:tc>
      </w:tr>
      <w:tr>
        <w:tc>
          <w:tcPr>
            <w:tcW w:type="dxa" w:w="3120"/>
          </w:tcPr>
          <w:p>
            <w:r>
              <w:t>Frontend Client</w:t>
            </w:r>
          </w:p>
        </w:tc>
        <w:tc>
          <w:tcPr>
            <w:tcW w:type="dxa" w:w="3120"/>
          </w:tcPr>
          <w:p>
            <w:r>
              <w:t>React 18.3.1, Vite 5.4.2 (Pure JavaScript)</w:t>
            </w:r>
          </w:p>
        </w:tc>
        <w:tc>
          <w:tcPr>
            <w:tcW w:type="dxa" w:w="3120"/>
          </w:tcPr>
          <w:p>
            <w:r>
              <w:t>Government-portal UI, bilingual translation, WCAG 2.1 AA accessibility.</w:t>
            </w:r>
          </w:p>
        </w:tc>
      </w:tr>
      <w:tr>
        <w:tc>
          <w:tcPr>
            <w:tcW w:type="dxa" w:w="3120"/>
            <w:shd w:fill="F8FAFC"/>
          </w:tcPr>
          <w:p>
            <w:r>
              <w:t>Backend API</w:t>
            </w:r>
          </w:p>
        </w:tc>
        <w:tc>
          <w:tcPr>
            <w:tcW w:type="dxa" w:w="3120"/>
            <w:shd w:fill="F8FAFC"/>
          </w:tcPr>
          <w:p>
            <w:r>
              <w:t>Python 3.13, FastAPI (Async ASGI)</w:t>
            </w:r>
          </w:p>
        </w:tc>
        <w:tc>
          <w:tcPr>
            <w:tcW w:type="dxa" w:w="3120"/>
            <w:shd w:fill="F8FAFC"/>
          </w:tcPr>
          <w:p>
            <w:r>
              <w:t>Stateless REST API, OpenAPI docs, strict Pydantic schemas, RBAC middleware.</w:t>
            </w:r>
          </w:p>
        </w:tc>
      </w:tr>
      <w:tr>
        <w:tc>
          <w:tcPr>
            <w:tcW w:type="dxa" w:w="3120"/>
          </w:tcPr>
          <w:p>
            <w:r>
              <w:t>Database Engine</w:t>
            </w:r>
          </w:p>
        </w:tc>
        <w:tc>
          <w:tcPr>
            <w:tcW w:type="dxa" w:w="3120"/>
          </w:tcPr>
          <w:p>
            <w:r>
              <w:t>PostgreSQL 15 via Supabase</w:t>
            </w:r>
          </w:p>
        </w:tc>
        <w:tc>
          <w:tcPr>
            <w:tcW w:type="dxa" w:w="3120"/>
          </w:tcPr>
          <w:p>
            <w:r>
              <w:t>Transaction pooler (port 6543), additive migrations, relational integrity.</w:t>
            </w:r>
          </w:p>
        </w:tc>
      </w:tr>
      <w:tr>
        <w:tc>
          <w:tcPr>
            <w:tcW w:type="dxa" w:w="3120"/>
            <w:shd w:fill="F8FAFC"/>
          </w:tcPr>
          <w:p>
            <w:r>
              <w:t>Identity Authority</w:t>
            </w:r>
          </w:p>
        </w:tc>
        <w:tc>
          <w:tcPr>
            <w:tcW w:type="dxa" w:w="3120"/>
            <w:shd w:fill="F8FAFC"/>
          </w:tcPr>
          <w:p>
            <w:r>
              <w:t>Supabase Auth + JWT Verification</w:t>
            </w:r>
          </w:p>
        </w:tc>
        <w:tc>
          <w:tcPr>
            <w:tcW w:type="dxa" w:w="3120"/>
            <w:shd w:fill="F8FAFC"/>
          </w:tcPr>
          <w:p>
            <w:r>
              <w:t>Cryptographic HS256/RS256 JWT validation, session persistence.</w:t>
            </w:r>
          </w:p>
        </w:tc>
      </w:tr>
      <w:tr>
        <w:tc>
          <w:tcPr>
            <w:tcW w:type="dxa" w:w="3120"/>
          </w:tcPr>
          <w:p>
            <w:r>
              <w:t>Cryptographic Vault</w:t>
            </w:r>
          </w:p>
        </w:tc>
        <w:tc>
          <w:tcPr>
            <w:tcW w:type="dxa" w:w="3120"/>
          </w:tcPr>
          <w:p>
            <w:r>
              <w:t>AES-256-GCM &amp; HMAC-SHA-256</w:t>
            </w:r>
          </w:p>
        </w:tc>
        <w:tc>
          <w:tcPr>
            <w:tcW w:type="dxa" w:w="3120"/>
          </w:tcPr>
          <w:p>
            <w:r>
              <w:t>Field-level encryption at rest with AAD binding; privacy-preserving blind indexing.</w:t>
            </w:r>
          </w:p>
        </w:tc>
      </w:tr>
    </w:tbl>
    <w:p>
      <w:pPr>
        <w:spacing w:after="240"/>
      </w:pPr>
    </w:p>
    <w:p>
      <w:pPr>
        <w:pStyle w:val="Heading1"/>
      </w:pPr>
      <w:r>
        <w:t>3. Security Architecture &amp; Threat Defenses</w:t>
      </w:r>
    </w:p>
    <w:p>
      <w:r>
        <w:t>APAARSetu adheres to zero-trust defense-in-depth principles across all institutional interfaces:</w:t>
      </w:r>
    </w:p>
    <w:p>
      <w:r>
        <w:t>1. Field-Level AES-256-GCM Encryption:</w:t>
        <w:br/>
        <w:t>Every APAAR ID is encrypted before persistence using AES-256 in Galois/Counter Mode. Each record receives a unique 96-bit random initialization vector (nonce) and binds the institution UUID as Associated Authenticated Data (AAD) to prevent cross-institution ciphertext swapping.</w:t>
        <w:br/>
        <w:br/>
        <w:t>2. Privacy-Preserving HMAC-SHA-256 Blind Indexing:</w:t>
        <w:br/>
        <w:t>To enable national duplicate detection across disconnected institutional tenants without decrypting data, a keyed HMAC-SHA-256 hash is generated using an isolated server secret. Collisions identify duplicate student candidates without disclosing plaintext identifiers.</w:t>
        <w:br/>
        <w:br/>
        <w:t>3. Server-Enforced Role-Based Access Control (RBAC):</w:t>
        <w:br/>
        <w:t>Rigorous role hierarchies distinguish Central Regulatory roles (AICTE_ADMIN, AICTE_ANALYST, AUDITOR) from Institutional staff (INSTITUTE_ADMIN, INSTITUTE_OPERATOR). Multi-tenant isolation prevents institutional staff from accessing or querying other institutions' data.</w:t>
        <w:br/>
        <w:br/>
        <w:t>4. Non-Privileged Institution Registration:</w:t>
        <w:br/>
        <w:t>Institutions register with status PENDING_VERIFICATION. Upload and data ingestion endpoints strictly return HTTP 403 Forbidden until credentials are affirmatively verified and approved by the AICTE Central Director.</w:t>
        <w:br/>
        <w:br/>
        <w:t>5. Hardened CSV Formula Injection Defense (CWE-1236):</w:t>
        <w:br/>
        <w:t>All CSV exports prepend a single apostrophe (') to cells beginning with formula triggers (=, +, -, @, \t, \r), neutralizing spreadsheet code execution.</w:t>
      </w:r>
    </w:p>
    <w:p>
      <w:pPr>
        <w:pStyle w:val="Heading1"/>
      </w:pPr>
      <w:r>
        <w:t>4. Inter-Institutional Mobility &amp; Transfer Workflow</w:t>
      </w:r>
    </w:p>
    <w:p>
      <w:r>
        <w:t>Under AICTE Regulations, student migration between technical institutions requires strict verification to ensure intake quotas are not violated. APAARSetu introduces an audited Student Transfer Ledger:</w:t>
        <w:br/>
        <w:t>• Source institutions initiate transfer requests specifying the destination institution code and official transfer justification.</w:t>
        <w:br/>
        <w:t>• Receiving institutions review incoming requests.</w:t>
        <w:br/>
        <w:t>• Central AICTE Regulatory Bureau oversees cross-institution transfers and flags concurrent enrolments for policy review (REQUIRES_POLICY_REVIEW).</w:t>
      </w:r>
    </w:p>
    <w:p>
      <w:pPr>
        <w:pStyle w:val="Heading1"/>
      </w:pPr>
      <w:r>
        <w:t>5. Verification Results &amp; Test Evidence</w:t>
      </w:r>
    </w:p>
    <w:p>
      <w:r>
        <w:t>The system has been verified through exhaustive automated unit testing and end-to-end live testing against remote Supabase PostgreSQL:</w:t>
        <w:br/>
        <w:t>• Pytest Automated Test Suite: 38 passed, 0 failed (1.46s execution time).</w:t>
        <w:br/>
        <w:t>• Live Supabase PostgreSQL Verification: 100% verified (Health, Registration, Isolation, Approval, Transfers, Recovery).</w:t>
        <w:br/>
        <w:t>• Frontend Production Build: 46 modules transformed, zero compilation warnings, clean production bundle in dist/.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