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EDC" w:rsidRDefault="001A1208">
      <w:r>
        <w:t>These are the Routing services groups typically used for MEMS application.</w:t>
      </w:r>
      <w:bookmarkStart w:id="0" w:name="_GoBack"/>
      <w:bookmarkEnd w:id="0"/>
    </w:p>
    <w:p w:rsidR="001A1208" w:rsidRDefault="001A1208">
      <w:r>
        <w:rPr>
          <w:noProof/>
        </w:rPr>
        <w:drawing>
          <wp:inline distT="0" distB="0" distL="0" distR="0" wp14:anchorId="69716DDA" wp14:editId="19D125EF">
            <wp:extent cx="4904762" cy="23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08"/>
    <w:rsid w:val="00113D27"/>
    <w:rsid w:val="001A1208"/>
    <w:rsid w:val="00E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UnitedHealth Group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Ananth Raghav</dc:creator>
  <cp:lastModifiedBy>M, Ananth Raghav</cp:lastModifiedBy>
  <cp:revision>1</cp:revision>
  <dcterms:created xsi:type="dcterms:W3CDTF">2017-08-07T10:29:00Z</dcterms:created>
  <dcterms:modified xsi:type="dcterms:W3CDTF">2017-08-07T10:31:00Z</dcterms:modified>
</cp:coreProperties>
</file>