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1770" w14:textId="77777777" w:rsidR="004A7CBE" w:rsidRDefault="00000000">
      <w:pPr>
        <w:spacing w:after="80"/>
      </w:pPr>
      <w:r>
        <w:rPr>
          <w:b/>
          <w:bCs/>
          <w:sz w:val="44"/>
          <w:szCs w:val="44"/>
        </w:rPr>
        <w:t>EQAITE Framework Refresh — Draft Question Wording</w:t>
      </w:r>
    </w:p>
    <w:p w14:paraId="16A71771" w14:textId="77777777" w:rsidR="004A7CBE" w:rsidRDefault="00000000">
      <w:pPr>
        <w:spacing w:after="400"/>
      </w:pPr>
      <w:r>
        <w:rPr>
          <w:i/>
          <w:iCs/>
          <w:color w:val="666666"/>
          <w:sz w:val="22"/>
          <w:szCs w:val="22"/>
        </w:rPr>
        <w:t>For co-founder review before build · 7 August 2026</w:t>
      </w:r>
    </w:p>
    <w:p w14:paraId="16A71772" w14:textId="77777777" w:rsidR="004A7CBE" w:rsidRDefault="00000000">
      <w:pPr>
        <w:spacing w:after="160"/>
      </w:pPr>
      <w:r>
        <w:t xml:space="preserve">This is a working draft, not final copy. It proposes wording for everything agreed in the full-refresh scope: the four DfE categories currently missing from EQAITE (as pass/fail safety-gate questions, per the agreed scoring model), plus scored 0–10 additions for agentic AI, curriculum alignment, and a restructured Stated Purpose / Educational Use Case capture. Please </w:t>
      </w:r>
      <w:proofErr w:type="spellStart"/>
      <w:r>
        <w:t>mark up</w:t>
      </w:r>
      <w:proofErr w:type="spellEnd"/>
      <w:r>
        <w:t xml:space="preserve"> directly rather than treat as final — particularly the Mental Health section, given the sensitivity.</w:t>
      </w:r>
    </w:p>
    <w:p w14:paraId="16A71773" w14:textId="77777777" w:rsidR="004A7CBE" w:rsidRDefault="00000000">
      <w:pPr>
        <w:pStyle w:val="Heading1"/>
        <w:spacing w:before="360" w:after="160"/>
      </w:pPr>
      <w:r>
        <w:t>1. New safety-gate sections (pass / partial / fail)</w:t>
      </w:r>
    </w:p>
    <w:p w14:paraId="16A71774" w14:textId="77777777" w:rsidR="004A7CBE" w:rsidRDefault="00000000">
      <w:pPr>
        <w:spacing w:after="160"/>
      </w:pPr>
      <w:r>
        <w:rPr>
          <w:i/>
          <w:iCs/>
          <w:color w:val="666666"/>
        </w:rPr>
        <w:t>Each gate question is answered Pass, Partial, or Fail (with a free-text note field), not scored 0–10. A tool with any Fail is flagged prominently in the report, separate from the radar chart. Partial exists for "vendor states this but school hasn't verified it" — avoids forcing evaluators into a false binary when they genuinely don't know.</w:t>
      </w:r>
    </w:p>
    <w:p w14:paraId="16A71775" w14:textId="77777777" w:rsidR="004A7CBE" w:rsidRDefault="00000000">
      <w:pPr>
        <w:pStyle w:val="Heading2"/>
        <w:spacing w:before="280" w:after="100"/>
      </w:pPr>
      <w:r>
        <w:t>G1. Cognitive Development</w:t>
      </w:r>
    </w:p>
    <w:p w14:paraId="16A71776" w14:textId="77777777" w:rsidR="004A7CBE" w:rsidRDefault="00000000">
      <w:pPr>
        <w:spacing w:after="200"/>
      </w:pPr>
      <w:r>
        <w:rPr>
          <w:i/>
          <w:iCs/>
          <w:color w:val="666666"/>
        </w:rPr>
        <w:t>Directly reflects the co-founders' cognitive-offloading concern — this is the section most worth getting right.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7"/>
        <w:gridCol w:w="4193"/>
      </w:tblGrid>
      <w:tr w:rsidR="004A7CBE" w14:paraId="16A7177A" w14:textId="77777777" w:rsidTr="00A6412D">
        <w:trPr>
          <w:tblHeader/>
        </w:trPr>
        <w:tc>
          <w:tcPr>
            <w:tcW w:w="1200" w:type="dxa"/>
            <w:shd w:val="clear" w:color="auto" w:fill="F2F2F2"/>
          </w:tcPr>
          <w:p w14:paraId="16A71777" w14:textId="77777777" w:rsidR="004A7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4607" w:type="dxa"/>
            <w:shd w:val="clear" w:color="auto" w:fill="F2F2F2"/>
          </w:tcPr>
          <w:p w14:paraId="16A71778" w14:textId="77777777" w:rsidR="004A7CBE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4193" w:type="dxa"/>
            <w:shd w:val="clear" w:color="auto" w:fill="F2F2F2"/>
          </w:tcPr>
          <w:p w14:paraId="16A71779" w14:textId="77777777" w:rsidR="004A7CBE" w:rsidRDefault="00000000">
            <w:r>
              <w:rPr>
                <w:b/>
                <w:bCs/>
              </w:rPr>
              <w:t>Pass looks like</w:t>
            </w:r>
          </w:p>
        </w:tc>
      </w:tr>
      <w:tr w:rsidR="004A7CBE" w14:paraId="16A7177E" w14:textId="77777777" w:rsidTr="00A6412D">
        <w:tc>
          <w:tcPr>
            <w:tcW w:w="1200" w:type="dxa"/>
          </w:tcPr>
          <w:p w14:paraId="16A7177B" w14:textId="77777777" w:rsidR="004A7CBE" w:rsidRDefault="00000000">
            <w:r>
              <w:rPr>
                <w:b/>
                <w:bCs/>
              </w:rPr>
              <w:t>G1.1</w:t>
            </w:r>
          </w:p>
        </w:tc>
        <w:tc>
          <w:tcPr>
            <w:tcW w:w="4607" w:type="dxa"/>
          </w:tcPr>
          <w:p w14:paraId="16A7177C" w14:textId="77777777" w:rsidR="004A7CBE" w:rsidRDefault="00000000">
            <w:r>
              <w:t>Scaffolded independence: is the tool designed to build toward pupil independence (e.g. fading support, requiring an attempt before giving answers) rather than defaulting to completing the task for the pupil?</w:t>
            </w:r>
          </w:p>
        </w:tc>
        <w:tc>
          <w:tcPr>
            <w:tcW w:w="4193" w:type="dxa"/>
          </w:tcPr>
          <w:p w14:paraId="16A7177D" w14:textId="77777777" w:rsidR="004A7CBE" w:rsidRDefault="00000000">
            <w:r>
              <w:t>Tool has a visible "try first" step, hints before answers, or a fading-scaffold mode — not just an instant-answer default.</w:t>
            </w:r>
          </w:p>
        </w:tc>
      </w:tr>
      <w:tr w:rsidR="004A7CBE" w14:paraId="16A71782" w14:textId="77777777" w:rsidTr="00A6412D">
        <w:tc>
          <w:tcPr>
            <w:tcW w:w="1200" w:type="dxa"/>
          </w:tcPr>
          <w:p w14:paraId="16A7177F" w14:textId="77777777" w:rsidR="004A7CBE" w:rsidRDefault="00000000">
            <w:r>
              <w:rPr>
                <w:b/>
                <w:bCs/>
              </w:rPr>
              <w:t>G1.2</w:t>
            </w:r>
          </w:p>
        </w:tc>
        <w:tc>
          <w:tcPr>
            <w:tcW w:w="4607" w:type="dxa"/>
          </w:tcPr>
          <w:p w14:paraId="16A71780" w14:textId="77777777" w:rsidR="004A7CBE" w:rsidRDefault="00000000">
            <w:r>
              <w:t>Effortful engagement preserved: are core cognitive tasks central to the learning objective (composing an argument, doing the calculation, retrieving prior knowledge) left for the pupil rather than fully offloaded by default?</w:t>
            </w:r>
          </w:p>
        </w:tc>
        <w:tc>
          <w:tcPr>
            <w:tcW w:w="4193" w:type="dxa"/>
          </w:tcPr>
          <w:p w14:paraId="16A71781" w14:textId="77777777" w:rsidR="004A7CBE" w:rsidRDefault="00000000">
            <w:r>
              <w:t>The tool's default mode leaves the target skill with the pupil; full automation is opt-in/teacher-gated, not default.</w:t>
            </w:r>
          </w:p>
        </w:tc>
      </w:tr>
      <w:tr w:rsidR="004A7CBE" w14:paraId="16A71786" w14:textId="77777777" w:rsidTr="00A6412D">
        <w:tc>
          <w:tcPr>
            <w:tcW w:w="1200" w:type="dxa"/>
          </w:tcPr>
          <w:p w14:paraId="16A71783" w14:textId="77777777" w:rsidR="004A7CBE" w:rsidRDefault="00000000">
            <w:r>
              <w:rPr>
                <w:b/>
                <w:bCs/>
              </w:rPr>
              <w:t>G1.3</w:t>
            </w:r>
          </w:p>
        </w:tc>
        <w:tc>
          <w:tcPr>
            <w:tcW w:w="4607" w:type="dxa"/>
          </w:tcPr>
          <w:p w14:paraId="16A71784" w14:textId="77777777" w:rsidR="004A7CBE" w:rsidRDefault="00000000">
            <w:r>
              <w:t>Transparency of reasoning: where the tool produces an answer, does it show or explain the reasoning/steps rather than only the end result?</w:t>
            </w:r>
          </w:p>
        </w:tc>
        <w:tc>
          <w:tcPr>
            <w:tcW w:w="4193" w:type="dxa"/>
          </w:tcPr>
          <w:p w14:paraId="16A71785" w14:textId="77777777" w:rsidR="004A7CBE" w:rsidRDefault="00000000">
            <w:r>
              <w:t>Working, method, or explanation is visible alongside (or instead of) the final answer.</w:t>
            </w:r>
          </w:p>
        </w:tc>
      </w:tr>
      <w:tr w:rsidR="004A7CBE" w14:paraId="16A7178A" w14:textId="77777777" w:rsidTr="00A6412D">
        <w:tc>
          <w:tcPr>
            <w:tcW w:w="1200" w:type="dxa"/>
          </w:tcPr>
          <w:p w14:paraId="16A71787" w14:textId="77777777" w:rsidR="004A7CBE" w:rsidRDefault="00000000">
            <w:r>
              <w:rPr>
                <w:b/>
                <w:bCs/>
              </w:rPr>
              <w:t>G1.4</w:t>
            </w:r>
          </w:p>
        </w:tc>
        <w:tc>
          <w:tcPr>
            <w:tcW w:w="4607" w:type="dxa"/>
          </w:tcPr>
          <w:p w14:paraId="16A71788" w14:textId="77777777" w:rsidR="004A7CBE" w:rsidRDefault="00000000">
            <w:r>
              <w:t>No premature rescue: does the tool avoid pushing pupils toward an AI-generated answer while they are still productively struggling?</w:t>
            </w:r>
          </w:p>
        </w:tc>
        <w:tc>
          <w:tcPr>
            <w:tcW w:w="4193" w:type="dxa"/>
          </w:tcPr>
          <w:p w14:paraId="16A71789" w14:textId="77777777" w:rsidR="004A7CBE" w:rsidRDefault="00000000">
            <w:r>
              <w:t>No aggressive "want help?" prompts within the first attempt; nudges are paced, not immediate.</w:t>
            </w:r>
          </w:p>
        </w:tc>
      </w:tr>
      <w:tr w:rsidR="004A7CBE" w14:paraId="16A7178E" w14:textId="77777777" w:rsidTr="00A6412D">
        <w:tc>
          <w:tcPr>
            <w:tcW w:w="1200" w:type="dxa"/>
          </w:tcPr>
          <w:p w14:paraId="16A7178B" w14:textId="77777777" w:rsidR="004A7CBE" w:rsidRDefault="00000000">
            <w:r>
              <w:rPr>
                <w:b/>
                <w:bCs/>
              </w:rPr>
              <w:t>G1.5</w:t>
            </w:r>
          </w:p>
        </w:tc>
        <w:tc>
          <w:tcPr>
            <w:tcW w:w="4607" w:type="dxa"/>
          </w:tcPr>
          <w:p w14:paraId="16A7178C" w14:textId="77777777" w:rsidR="004A7CBE" w:rsidRDefault="00000000">
            <w:r>
              <w:t>Evidence and monitoring: can the vendor point to evidence — internal or independent — that use of the tool does not measurably erode the target skill over time, or that they are actively monitoring for this?</w:t>
            </w:r>
          </w:p>
        </w:tc>
        <w:tc>
          <w:tcPr>
            <w:tcW w:w="4193" w:type="dxa"/>
          </w:tcPr>
          <w:p w14:paraId="16A7178D" w14:textId="77777777" w:rsidR="004A7CBE" w:rsidRDefault="00000000">
            <w:r>
              <w:t>Vendor has data, a named study, or an active monitoring commitment — not just an assurance.</w:t>
            </w:r>
          </w:p>
        </w:tc>
      </w:tr>
    </w:tbl>
    <w:p w14:paraId="16A7178F" w14:textId="77777777" w:rsidR="004A7CBE" w:rsidRDefault="00000000">
      <w:pPr>
        <w:pStyle w:val="Heading2"/>
        <w:spacing w:before="280" w:after="100"/>
      </w:pPr>
      <w:r>
        <w:t>G2. Emotional &amp; Social Development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7"/>
        <w:gridCol w:w="4193"/>
      </w:tblGrid>
      <w:tr w:rsidR="004A7CBE" w14:paraId="16A71793" w14:textId="77777777" w:rsidTr="00D470A0">
        <w:trPr>
          <w:tblHeader/>
        </w:trPr>
        <w:tc>
          <w:tcPr>
            <w:tcW w:w="1200" w:type="dxa"/>
            <w:shd w:val="clear" w:color="auto" w:fill="F2F2F2"/>
          </w:tcPr>
          <w:p w14:paraId="16A71790" w14:textId="77777777" w:rsidR="004A7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4607" w:type="dxa"/>
            <w:shd w:val="clear" w:color="auto" w:fill="F2F2F2"/>
          </w:tcPr>
          <w:p w14:paraId="16A71791" w14:textId="77777777" w:rsidR="004A7CBE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4193" w:type="dxa"/>
            <w:shd w:val="clear" w:color="auto" w:fill="F2F2F2"/>
          </w:tcPr>
          <w:p w14:paraId="16A71792" w14:textId="77777777" w:rsidR="004A7CBE" w:rsidRDefault="00000000">
            <w:r>
              <w:rPr>
                <w:b/>
                <w:bCs/>
              </w:rPr>
              <w:t>Pass looks like</w:t>
            </w:r>
          </w:p>
        </w:tc>
      </w:tr>
      <w:tr w:rsidR="004A7CBE" w14:paraId="16A71797" w14:textId="77777777" w:rsidTr="00D470A0">
        <w:tc>
          <w:tcPr>
            <w:tcW w:w="1200" w:type="dxa"/>
          </w:tcPr>
          <w:p w14:paraId="16A71794" w14:textId="77777777" w:rsidR="004A7CBE" w:rsidRDefault="00000000">
            <w:r>
              <w:rPr>
                <w:b/>
                <w:bCs/>
              </w:rPr>
              <w:t>G2.1</w:t>
            </w:r>
          </w:p>
        </w:tc>
        <w:tc>
          <w:tcPr>
            <w:tcW w:w="4607" w:type="dxa"/>
          </w:tcPr>
          <w:p w14:paraId="16A71795" w14:textId="77777777" w:rsidR="004A7CBE" w:rsidRDefault="00000000">
            <w:r>
              <w:t>Peer interaction preserved: does the tool avoid substantially reducing or replacing peer-to-peer interaction and collaboration where that is part of the learning design?</w:t>
            </w:r>
          </w:p>
        </w:tc>
        <w:tc>
          <w:tcPr>
            <w:tcW w:w="4193" w:type="dxa"/>
          </w:tcPr>
          <w:p w14:paraId="16A71796" w14:textId="77777777" w:rsidR="004A7CBE" w:rsidRDefault="00000000">
            <w:r>
              <w:t>Tool is additive to peer work, or explicitly designed for group/paired use, not a silent substitute for it.</w:t>
            </w:r>
          </w:p>
        </w:tc>
      </w:tr>
      <w:tr w:rsidR="004A7CBE" w14:paraId="16A7179B" w14:textId="77777777" w:rsidTr="00D470A0">
        <w:tc>
          <w:tcPr>
            <w:tcW w:w="1200" w:type="dxa"/>
          </w:tcPr>
          <w:p w14:paraId="16A71798" w14:textId="77777777" w:rsidR="004A7CBE" w:rsidRDefault="00000000">
            <w:r>
              <w:rPr>
                <w:b/>
                <w:bCs/>
              </w:rPr>
              <w:t>G2.2</w:t>
            </w:r>
          </w:p>
        </w:tc>
        <w:tc>
          <w:tcPr>
            <w:tcW w:w="4607" w:type="dxa"/>
          </w:tcPr>
          <w:p w14:paraId="16A71799" w14:textId="77777777" w:rsidR="004A7CBE" w:rsidRDefault="00000000">
            <w:r>
              <w:t>Emotional attachment safeguards: does the tool avoid design features that encourage pupils to form parasocial or emotionally dependent relationships with it (persistent "friend" personas, excessive anthropomorphism, remembered personal disclosures used to drive engagement)?</w:t>
            </w:r>
          </w:p>
        </w:tc>
        <w:tc>
          <w:tcPr>
            <w:tcW w:w="4193" w:type="dxa"/>
          </w:tcPr>
          <w:p w14:paraId="16A7179A" w14:textId="77777777" w:rsidR="004A7CBE" w:rsidRDefault="00000000">
            <w:r>
              <w:t>No persistent character/companion framing aimed at emotional bonding; personal disclosures aren't stored to increase engagement.</w:t>
            </w:r>
          </w:p>
        </w:tc>
      </w:tr>
      <w:tr w:rsidR="004A7CBE" w14:paraId="16A7179F" w14:textId="77777777" w:rsidTr="00D470A0">
        <w:tc>
          <w:tcPr>
            <w:tcW w:w="1200" w:type="dxa"/>
          </w:tcPr>
          <w:p w14:paraId="16A7179C" w14:textId="77777777" w:rsidR="004A7CBE" w:rsidRDefault="00000000">
            <w:r>
              <w:rPr>
                <w:b/>
                <w:bCs/>
              </w:rPr>
              <w:lastRenderedPageBreak/>
              <w:t>G2.3</w:t>
            </w:r>
          </w:p>
        </w:tc>
        <w:tc>
          <w:tcPr>
            <w:tcW w:w="4607" w:type="dxa"/>
          </w:tcPr>
          <w:p w14:paraId="16A7179D" w14:textId="77777777" w:rsidR="004A7CBE" w:rsidRDefault="00000000">
            <w:r>
              <w:t>Healthy social modelling: where the tool simulates conversation, does it model communication norms appropriate to the age group?</w:t>
            </w:r>
          </w:p>
        </w:tc>
        <w:tc>
          <w:tcPr>
            <w:tcW w:w="4193" w:type="dxa"/>
          </w:tcPr>
          <w:p w14:paraId="16A7179E" w14:textId="77777777" w:rsidR="004A7CBE" w:rsidRDefault="00000000">
            <w:r>
              <w:t>Tone, boundaries, and conflict-handling in simulated dialogue match what the school would want modelled.</w:t>
            </w:r>
          </w:p>
        </w:tc>
      </w:tr>
      <w:tr w:rsidR="004A7CBE" w14:paraId="16A717A3" w14:textId="77777777" w:rsidTr="00D470A0">
        <w:tc>
          <w:tcPr>
            <w:tcW w:w="1200" w:type="dxa"/>
          </w:tcPr>
          <w:p w14:paraId="16A717A0" w14:textId="77777777" w:rsidR="004A7CBE" w:rsidRDefault="00000000">
            <w:r>
              <w:rPr>
                <w:b/>
                <w:bCs/>
              </w:rPr>
              <w:t>G2.4</w:t>
            </w:r>
          </w:p>
        </w:tc>
        <w:tc>
          <w:tcPr>
            <w:tcW w:w="4607" w:type="dxa"/>
          </w:tcPr>
          <w:p w14:paraId="16A717A1" w14:textId="77777777" w:rsidR="004A7CBE" w:rsidRDefault="00000000">
            <w:r>
              <w:t>Escalation to humans: does the tool have a clear, working mechanism to direct pupils toward a trusted adult when social or emotional distress is detected, rather than trying to resolve it itself?</w:t>
            </w:r>
          </w:p>
        </w:tc>
        <w:tc>
          <w:tcPr>
            <w:tcW w:w="4193" w:type="dxa"/>
          </w:tcPr>
          <w:p w14:paraId="16A717A2" w14:textId="77777777" w:rsidR="004A7CBE" w:rsidRDefault="00000000">
            <w:r>
              <w:t>A tested, visible escalation path exists and routes to a real person (DSL, pastoral staff), not just a canned message.</w:t>
            </w:r>
          </w:p>
        </w:tc>
      </w:tr>
    </w:tbl>
    <w:p w14:paraId="16A717A4" w14:textId="77777777" w:rsidR="004A7CBE" w:rsidRDefault="00000000">
      <w:pPr>
        <w:pStyle w:val="Heading2"/>
        <w:spacing w:before="280" w:after="100"/>
      </w:pPr>
      <w:r>
        <w:t>G3. Mental Health</w:t>
      </w:r>
    </w:p>
    <w:p w14:paraId="16A717A5" w14:textId="77777777" w:rsidR="004A7CBE" w:rsidRDefault="00000000">
      <w:pPr>
        <w:spacing w:after="200"/>
      </w:pPr>
      <w:r>
        <w:rPr>
          <w:i/>
          <w:iCs/>
          <w:color w:val="666666"/>
        </w:rPr>
        <w:t>Flagging for extra care in review: this section touches self-harm and crisis content. Wording below deliberately avoids describing methods or specifics — please check it stays that way.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7"/>
        <w:gridCol w:w="4193"/>
      </w:tblGrid>
      <w:tr w:rsidR="004A7CBE" w14:paraId="16A717A9" w14:textId="77777777" w:rsidTr="00FE647B">
        <w:trPr>
          <w:tblHeader/>
        </w:trPr>
        <w:tc>
          <w:tcPr>
            <w:tcW w:w="1200" w:type="dxa"/>
            <w:shd w:val="clear" w:color="auto" w:fill="F2F2F2"/>
          </w:tcPr>
          <w:p w14:paraId="16A717A6" w14:textId="77777777" w:rsidR="004A7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4607" w:type="dxa"/>
            <w:shd w:val="clear" w:color="auto" w:fill="F2F2F2"/>
          </w:tcPr>
          <w:p w14:paraId="16A717A7" w14:textId="77777777" w:rsidR="004A7CBE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4193" w:type="dxa"/>
            <w:shd w:val="clear" w:color="auto" w:fill="F2F2F2"/>
          </w:tcPr>
          <w:p w14:paraId="16A717A8" w14:textId="77777777" w:rsidR="004A7CBE" w:rsidRDefault="00000000">
            <w:r>
              <w:rPr>
                <w:b/>
                <w:bCs/>
              </w:rPr>
              <w:t>Pass looks like</w:t>
            </w:r>
          </w:p>
        </w:tc>
      </w:tr>
      <w:tr w:rsidR="004A7CBE" w14:paraId="16A717AD" w14:textId="77777777" w:rsidTr="00FE647B">
        <w:tc>
          <w:tcPr>
            <w:tcW w:w="1200" w:type="dxa"/>
          </w:tcPr>
          <w:p w14:paraId="16A717AA" w14:textId="77777777" w:rsidR="004A7CBE" w:rsidRDefault="00000000">
            <w:r>
              <w:rPr>
                <w:b/>
                <w:bCs/>
              </w:rPr>
              <w:t>G3.1</w:t>
            </w:r>
          </w:p>
        </w:tc>
        <w:tc>
          <w:tcPr>
            <w:tcW w:w="4607" w:type="dxa"/>
          </w:tcPr>
          <w:p w14:paraId="16A717AB" w14:textId="77777777" w:rsidR="004A7CBE" w:rsidRDefault="00000000">
            <w:r>
              <w:t>Crisis recognition and escalation: does the tool reliably recognise signals of self-harm, suicidal ideation, or acute distress in pupil input, and respond by directing to appropriate human support rather than attempting to resolve it itself?</w:t>
            </w:r>
          </w:p>
        </w:tc>
        <w:tc>
          <w:tcPr>
            <w:tcW w:w="4193" w:type="dxa"/>
          </w:tcPr>
          <w:p w14:paraId="16A717AC" w14:textId="77777777" w:rsidR="004A7CBE" w:rsidRDefault="00000000">
            <w:r>
              <w:t>Vendor can demonstrate detection + escalation to a human/helpline, tested against realistic inputs, not just a stated policy.</w:t>
            </w:r>
          </w:p>
        </w:tc>
      </w:tr>
      <w:tr w:rsidR="004A7CBE" w14:paraId="16A717B1" w14:textId="77777777" w:rsidTr="00FE647B">
        <w:tc>
          <w:tcPr>
            <w:tcW w:w="1200" w:type="dxa"/>
          </w:tcPr>
          <w:p w14:paraId="16A717AE" w14:textId="77777777" w:rsidR="004A7CBE" w:rsidRDefault="00000000">
            <w:r>
              <w:rPr>
                <w:b/>
                <w:bCs/>
              </w:rPr>
              <w:t>G3.2</w:t>
            </w:r>
          </w:p>
        </w:tc>
        <w:tc>
          <w:tcPr>
            <w:tcW w:w="4607" w:type="dxa"/>
          </w:tcPr>
          <w:p w14:paraId="16A717AF" w14:textId="77777777" w:rsidR="004A7CBE" w:rsidRDefault="00000000">
            <w:r>
              <w:t>No harmful content generation: will the tool decline to generate content that could encourage or enable self-harm or other harmful behaviours, including under indirect or adversarial prompting?</w:t>
            </w:r>
          </w:p>
        </w:tc>
        <w:tc>
          <w:tcPr>
            <w:tcW w:w="4193" w:type="dxa"/>
          </w:tcPr>
          <w:p w14:paraId="16A717B0" w14:textId="77777777" w:rsidR="004A7CBE" w:rsidRDefault="00000000">
            <w:r>
              <w:t>Tool has been tested against adversarial prompts on this specific risk, with evidence of refusal, not just a general safety claim.</w:t>
            </w:r>
          </w:p>
        </w:tc>
      </w:tr>
      <w:tr w:rsidR="004A7CBE" w14:paraId="16A717B5" w14:textId="77777777" w:rsidTr="00FE647B">
        <w:tc>
          <w:tcPr>
            <w:tcW w:w="1200" w:type="dxa"/>
          </w:tcPr>
          <w:p w14:paraId="16A717B2" w14:textId="77777777" w:rsidR="004A7CBE" w:rsidRDefault="00000000">
            <w:r>
              <w:rPr>
                <w:b/>
                <w:bCs/>
              </w:rPr>
              <w:t>G3.3</w:t>
            </w:r>
          </w:p>
        </w:tc>
        <w:tc>
          <w:tcPr>
            <w:tcW w:w="4607" w:type="dxa"/>
          </w:tcPr>
          <w:p w14:paraId="16A717B3" w14:textId="77777777" w:rsidR="004A7CBE" w:rsidRDefault="00000000">
            <w:r>
              <w:t>Wellbeing-neutral engagement design: do the tool's engagement mechanics (notifications, streaks, rewards) avoid exploiting anxiety, fear of missing out, or compulsive-use patterns?</w:t>
            </w:r>
          </w:p>
        </w:tc>
        <w:tc>
          <w:tcPr>
            <w:tcW w:w="4193" w:type="dxa"/>
          </w:tcPr>
          <w:p w14:paraId="16A717B4" w14:textId="77777777" w:rsidR="004A7CBE" w:rsidRDefault="00000000">
            <w:r>
              <w:t>No streak-loss guilt messaging, urgency countdowns, or reward loops aimed at maximising time-on-tool.</w:t>
            </w:r>
          </w:p>
        </w:tc>
      </w:tr>
      <w:tr w:rsidR="004A7CBE" w14:paraId="16A717B9" w14:textId="77777777" w:rsidTr="00FE647B">
        <w:tc>
          <w:tcPr>
            <w:tcW w:w="1200" w:type="dxa"/>
          </w:tcPr>
          <w:p w14:paraId="16A717B6" w14:textId="77777777" w:rsidR="004A7CBE" w:rsidRDefault="00000000">
            <w:r>
              <w:rPr>
                <w:b/>
                <w:bCs/>
              </w:rPr>
              <w:t>G3.4</w:t>
            </w:r>
          </w:p>
        </w:tc>
        <w:tc>
          <w:tcPr>
            <w:tcW w:w="4607" w:type="dxa"/>
          </w:tcPr>
          <w:p w14:paraId="16A717B7" w14:textId="77777777" w:rsidR="004A7CBE" w:rsidRDefault="00000000">
            <w:r>
              <w:t>Vendor incident process: does the vendor have a documented, tested process for handling safeguarding disclosures made via the tool, and has this been shared with the school?</w:t>
            </w:r>
          </w:p>
        </w:tc>
        <w:tc>
          <w:tcPr>
            <w:tcW w:w="4193" w:type="dxa"/>
          </w:tcPr>
          <w:p w14:paraId="16A717B8" w14:textId="77777777" w:rsidR="004A7CBE" w:rsidRDefault="00000000">
            <w:r>
              <w:t>A written process exists, has been shared with and understood by the school's DSL, and ideally has been tested/drilled.</w:t>
            </w:r>
          </w:p>
        </w:tc>
      </w:tr>
    </w:tbl>
    <w:p w14:paraId="16A717BA" w14:textId="77777777" w:rsidR="004A7CBE" w:rsidRDefault="00000000">
      <w:pPr>
        <w:pStyle w:val="Heading2"/>
        <w:spacing w:before="280" w:after="100"/>
      </w:pPr>
      <w:r>
        <w:t>G4. Manipulation &amp; Exploitation Safeguards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7"/>
        <w:gridCol w:w="4193"/>
      </w:tblGrid>
      <w:tr w:rsidR="004A7CBE" w14:paraId="16A717BE" w14:textId="77777777" w:rsidTr="00853F20">
        <w:trPr>
          <w:tblHeader/>
        </w:trPr>
        <w:tc>
          <w:tcPr>
            <w:tcW w:w="1200" w:type="dxa"/>
            <w:shd w:val="clear" w:color="auto" w:fill="F2F2F2"/>
          </w:tcPr>
          <w:p w14:paraId="16A717BB" w14:textId="77777777" w:rsidR="004A7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4607" w:type="dxa"/>
            <w:shd w:val="clear" w:color="auto" w:fill="F2F2F2"/>
          </w:tcPr>
          <w:p w14:paraId="16A717BC" w14:textId="77777777" w:rsidR="004A7CBE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4193" w:type="dxa"/>
            <w:shd w:val="clear" w:color="auto" w:fill="F2F2F2"/>
          </w:tcPr>
          <w:p w14:paraId="16A717BD" w14:textId="77777777" w:rsidR="004A7CBE" w:rsidRDefault="00000000">
            <w:r>
              <w:rPr>
                <w:b/>
                <w:bCs/>
              </w:rPr>
              <w:t>Pass looks like</w:t>
            </w:r>
          </w:p>
        </w:tc>
      </w:tr>
      <w:tr w:rsidR="004A7CBE" w14:paraId="16A717C2" w14:textId="77777777" w:rsidTr="00853F20">
        <w:tc>
          <w:tcPr>
            <w:tcW w:w="1200" w:type="dxa"/>
          </w:tcPr>
          <w:p w14:paraId="16A717BF" w14:textId="77777777" w:rsidR="004A7CBE" w:rsidRDefault="00000000">
            <w:r>
              <w:rPr>
                <w:b/>
                <w:bCs/>
              </w:rPr>
              <w:t>G4.1</w:t>
            </w:r>
          </w:p>
        </w:tc>
        <w:tc>
          <w:tcPr>
            <w:tcW w:w="4607" w:type="dxa"/>
          </w:tcPr>
          <w:p w14:paraId="16A717C0" w14:textId="77777777" w:rsidR="004A7CBE" w:rsidRDefault="00000000">
            <w:r>
              <w:t>No dark patterns: does the tool avoid manipulative design (guilt-tripping prompts, false urgency, hidden costs, subscriptions that are hard to cancel) aimed at pupils or staff?</w:t>
            </w:r>
          </w:p>
        </w:tc>
        <w:tc>
          <w:tcPr>
            <w:tcW w:w="4193" w:type="dxa"/>
          </w:tcPr>
          <w:p w14:paraId="16A717C1" w14:textId="77777777" w:rsidR="004A7CBE" w:rsidRDefault="00000000">
            <w:r>
              <w:t>No known dark patterns in sign-up, use, or cancellation flows — check both pupil- and admin-facing surfaces.</w:t>
            </w:r>
          </w:p>
        </w:tc>
      </w:tr>
      <w:tr w:rsidR="004A7CBE" w14:paraId="16A717C6" w14:textId="77777777" w:rsidTr="00853F20">
        <w:tc>
          <w:tcPr>
            <w:tcW w:w="1200" w:type="dxa"/>
          </w:tcPr>
          <w:p w14:paraId="16A717C3" w14:textId="77777777" w:rsidR="004A7CBE" w:rsidRDefault="00000000">
            <w:r>
              <w:rPr>
                <w:b/>
                <w:bCs/>
              </w:rPr>
              <w:t>G4.2</w:t>
            </w:r>
          </w:p>
        </w:tc>
        <w:tc>
          <w:tcPr>
            <w:tcW w:w="4607" w:type="dxa"/>
          </w:tcPr>
          <w:p w14:paraId="16A717C4" w14:textId="77777777" w:rsidR="004A7CBE" w:rsidRDefault="00000000">
            <w:r>
              <w:t>No commercial exploitation of pupils: does the tool avoid using pupil data or interactions to target pupils with advertising, upselling, or engagement content unrelated to learning?</w:t>
            </w:r>
          </w:p>
        </w:tc>
        <w:tc>
          <w:tcPr>
            <w:tcW w:w="4193" w:type="dxa"/>
          </w:tcPr>
          <w:p w14:paraId="16A717C5" w14:textId="77777777" w:rsidR="004A7CBE" w:rsidRDefault="00000000">
            <w:r>
              <w:t>No ads, no upsell prompts directed at pupils, no use of pupil interaction data for marketing purposes.</w:t>
            </w:r>
          </w:p>
        </w:tc>
      </w:tr>
      <w:tr w:rsidR="004A7CBE" w14:paraId="16A717CA" w14:textId="77777777" w:rsidTr="00853F20">
        <w:tc>
          <w:tcPr>
            <w:tcW w:w="1200" w:type="dxa"/>
          </w:tcPr>
          <w:p w14:paraId="16A717C7" w14:textId="77777777" w:rsidR="004A7CBE" w:rsidRDefault="00000000">
            <w:r>
              <w:rPr>
                <w:b/>
                <w:bCs/>
              </w:rPr>
              <w:t>G4.3</w:t>
            </w:r>
          </w:p>
        </w:tc>
        <w:tc>
          <w:tcPr>
            <w:tcW w:w="4607" w:type="dxa"/>
          </w:tcPr>
          <w:p w14:paraId="16A717C8" w14:textId="77777777" w:rsidR="004A7CBE" w:rsidRDefault="00000000">
            <w:r>
              <w:t>Honest capability representation: are the vendor's marketing and in-product claims about what the AI can do accurate, without overstating capability in ways that could cause over-trust?</w:t>
            </w:r>
          </w:p>
        </w:tc>
        <w:tc>
          <w:tcPr>
            <w:tcW w:w="4193" w:type="dxa"/>
          </w:tcPr>
          <w:p w14:paraId="16A717C9" w14:textId="77777777" w:rsidR="004A7CBE" w:rsidRDefault="00000000">
            <w:r>
              <w:t>Claims match observed behaviour; no language implying the tool "understands," "cares," or is infallible where it isn't.</w:t>
            </w:r>
          </w:p>
        </w:tc>
      </w:tr>
      <w:tr w:rsidR="004A7CBE" w14:paraId="16A717CE" w14:textId="77777777" w:rsidTr="00853F20">
        <w:tc>
          <w:tcPr>
            <w:tcW w:w="1200" w:type="dxa"/>
          </w:tcPr>
          <w:p w14:paraId="16A717CB" w14:textId="77777777" w:rsidR="004A7CBE" w:rsidRDefault="00000000">
            <w:r>
              <w:rPr>
                <w:b/>
                <w:bCs/>
              </w:rPr>
              <w:t>G4.4</w:t>
            </w:r>
          </w:p>
        </w:tc>
        <w:tc>
          <w:tcPr>
            <w:tcW w:w="4607" w:type="dxa"/>
          </w:tcPr>
          <w:p w14:paraId="16A717CC" w14:textId="77777777" w:rsidR="004A7CBE" w:rsidRDefault="00000000">
            <w:r>
              <w:t>Age-appropriate persuasion resistance: does the tool avoid using persuasive techniques disproportionate to the target age group's ability to recognise and resist them?</w:t>
            </w:r>
          </w:p>
        </w:tc>
        <w:tc>
          <w:tcPr>
            <w:tcW w:w="4193" w:type="dxa"/>
          </w:tcPr>
          <w:p w14:paraId="16A717CD" w14:textId="77777777" w:rsidR="004A7CBE" w:rsidRDefault="00000000">
            <w:r>
              <w:t>Persuasive/behavioural-nudge techniques, where present, are proportionate to what this age group can reasonably see through.</w:t>
            </w:r>
          </w:p>
        </w:tc>
      </w:tr>
    </w:tbl>
    <w:p w14:paraId="16A717CF" w14:textId="77777777" w:rsidR="004A7CBE" w:rsidRDefault="00000000">
      <w:pPr>
        <w:pStyle w:val="Heading1"/>
        <w:spacing w:before="360" w:after="160"/>
      </w:pPr>
      <w:r>
        <w:t>2. Scored additions (0–10, existing sections)</w:t>
      </w:r>
    </w:p>
    <w:p w14:paraId="16A717D0" w14:textId="77777777" w:rsidR="004A7CBE" w:rsidRDefault="00000000">
      <w:pPr>
        <w:spacing w:after="160"/>
      </w:pPr>
      <w:r>
        <w:t>These extend the existing radar-chart sections rather than creating new ones.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4400"/>
      </w:tblGrid>
      <w:tr w:rsidR="004A7CBE" w14:paraId="16A717D4" w14:textId="77777777">
        <w:trPr>
          <w:tblHeader/>
        </w:trPr>
        <w:tc>
          <w:tcPr>
            <w:tcW w:w="1400" w:type="dxa"/>
            <w:shd w:val="clear" w:color="auto" w:fill="F2F2F2"/>
          </w:tcPr>
          <w:p w14:paraId="16A717D1" w14:textId="77777777" w:rsidR="004A7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4200" w:type="dxa"/>
            <w:shd w:val="clear" w:color="auto" w:fill="F2F2F2"/>
          </w:tcPr>
          <w:p w14:paraId="16A717D2" w14:textId="77777777" w:rsidR="004A7CBE" w:rsidRDefault="00000000">
            <w:r>
              <w:rPr>
                <w:b/>
                <w:bCs/>
              </w:rPr>
              <w:t>Question (0–10)</w:t>
            </w:r>
          </w:p>
        </w:tc>
        <w:tc>
          <w:tcPr>
            <w:tcW w:w="4400" w:type="dxa"/>
            <w:shd w:val="clear" w:color="auto" w:fill="F2F2F2"/>
          </w:tcPr>
          <w:p w14:paraId="16A717D3" w14:textId="77777777" w:rsidR="004A7CBE" w:rsidRDefault="00000000">
            <w:r>
              <w:rPr>
                <w:b/>
                <w:bCs/>
              </w:rPr>
              <w:t>Where it fits</w:t>
            </w:r>
          </w:p>
        </w:tc>
      </w:tr>
      <w:tr w:rsidR="004A7CBE" w14:paraId="16A717D8" w14:textId="77777777">
        <w:tc>
          <w:tcPr>
            <w:tcW w:w="1400" w:type="dxa"/>
          </w:tcPr>
          <w:p w14:paraId="16A717D5" w14:textId="77777777" w:rsidR="004A7CBE" w:rsidRDefault="00000000">
            <w:r>
              <w:rPr>
                <w:b/>
                <w:bCs/>
              </w:rPr>
              <w:t>1.19</w:t>
            </w:r>
          </w:p>
        </w:tc>
        <w:tc>
          <w:tcPr>
            <w:tcW w:w="4200" w:type="dxa"/>
          </w:tcPr>
          <w:p w14:paraId="16A717D6" w14:textId="77777777" w:rsidR="004A7CBE" w:rsidRDefault="00000000">
            <w:r>
              <w:t xml:space="preserve">Curriculum alignment: Supports delivery of the reformed National Curriculum's AI/digital literacy </w:t>
            </w:r>
            <w:r>
              <w:lastRenderedPageBreak/>
              <w:t>expectations (post-Curriculum &amp; Assessment Review, e.g. AI literacy, data science skills)</w:t>
            </w:r>
          </w:p>
        </w:tc>
        <w:tc>
          <w:tcPr>
            <w:tcW w:w="4400" w:type="dxa"/>
          </w:tcPr>
          <w:p w14:paraId="16A717D7" w14:textId="77777777" w:rsidR="004A7CBE" w:rsidRDefault="00000000">
            <w:r>
              <w:lastRenderedPageBreak/>
              <w:t>Add to Section 1.1 Pedagogical Value – All Use Cases</w:t>
            </w:r>
          </w:p>
        </w:tc>
      </w:tr>
      <w:tr w:rsidR="004A7CBE" w14:paraId="16A717DC" w14:textId="77777777">
        <w:tc>
          <w:tcPr>
            <w:tcW w:w="1400" w:type="dxa"/>
          </w:tcPr>
          <w:p w14:paraId="16A717D9" w14:textId="77777777" w:rsidR="004A7CBE" w:rsidRDefault="00000000">
            <w:r>
              <w:rPr>
                <w:b/>
                <w:bCs/>
              </w:rPr>
              <w:t>1.46</w:t>
            </w:r>
          </w:p>
        </w:tc>
        <w:tc>
          <w:tcPr>
            <w:tcW w:w="4200" w:type="dxa"/>
          </w:tcPr>
          <w:p w14:paraId="16A717DA" w14:textId="77777777" w:rsidR="004A7CBE" w:rsidRDefault="00000000">
            <w:r>
              <w:t>Independence by design: Actively builds pupil capability to work without the tool over time, rather than only in the moment of use</w:t>
            </w:r>
          </w:p>
        </w:tc>
        <w:tc>
          <w:tcPr>
            <w:tcW w:w="4400" w:type="dxa"/>
          </w:tcPr>
          <w:p w14:paraId="16A717DB" w14:textId="77777777" w:rsidR="004A7CBE" w:rsidRDefault="00000000">
            <w:r>
              <w:t>Add to Section 1.4 Learning with AI — makes the cognitive-offloading concern visible in the score, not just the gate</w:t>
            </w:r>
          </w:p>
        </w:tc>
      </w:tr>
      <w:tr w:rsidR="004A7CBE" w14:paraId="16A717E0" w14:textId="77777777">
        <w:tc>
          <w:tcPr>
            <w:tcW w:w="1400" w:type="dxa"/>
          </w:tcPr>
          <w:p w14:paraId="16A717DD" w14:textId="77777777" w:rsidR="004A7CBE" w:rsidRDefault="00000000">
            <w:r>
              <w:rPr>
                <w:b/>
                <w:bCs/>
              </w:rPr>
              <w:t>2.9</w:t>
            </w:r>
          </w:p>
        </w:tc>
        <w:tc>
          <w:tcPr>
            <w:tcW w:w="4200" w:type="dxa"/>
          </w:tcPr>
          <w:p w14:paraId="16A717DE" w14:textId="77777777" w:rsidR="004A7CBE" w:rsidRDefault="00000000">
            <w:r>
              <w:t>Agentic autonomy boundaries: Where the tool acts autonomously across multiple steps, it has clear boundaries and human-in-the-loop checkpoints, and does not take consequential actions (e.g. contacting parents, changing records) without explicit teacher approval</w:t>
            </w:r>
          </w:p>
        </w:tc>
        <w:tc>
          <w:tcPr>
            <w:tcW w:w="4400" w:type="dxa"/>
          </w:tcPr>
          <w:p w14:paraId="16A717DF" w14:textId="77777777" w:rsidR="004A7CBE" w:rsidRDefault="00000000">
            <w:r>
              <w:t>Add to Section 2 Safeguarding &amp; Security</w:t>
            </w:r>
          </w:p>
        </w:tc>
      </w:tr>
      <w:tr w:rsidR="004A7CBE" w14:paraId="16A717E4" w14:textId="77777777">
        <w:tc>
          <w:tcPr>
            <w:tcW w:w="1400" w:type="dxa"/>
          </w:tcPr>
          <w:p w14:paraId="16A717E1" w14:textId="77777777" w:rsidR="004A7CBE" w:rsidRDefault="00000000">
            <w:r>
              <w:rPr>
                <w:b/>
                <w:bCs/>
              </w:rPr>
              <w:t>1.10</w:t>
            </w:r>
          </w:p>
        </w:tc>
        <w:tc>
          <w:tcPr>
            <w:tcW w:w="4200" w:type="dxa"/>
          </w:tcPr>
          <w:p w14:paraId="16A717E2" w14:textId="77777777" w:rsidR="004A7CBE" w:rsidRDefault="00000000">
            <w:r>
              <w:t>Purpose–use alignment: The tool is used in ways consistent with its stated/marketed purpose</w:t>
            </w:r>
          </w:p>
        </w:tc>
        <w:tc>
          <w:tcPr>
            <w:tcW w:w="4400" w:type="dxa"/>
          </w:tcPr>
          <w:p w14:paraId="16A717E3" w14:textId="77777777" w:rsidR="004A7CBE" w:rsidRDefault="00000000">
            <w:r>
              <w:t>Add to Section 1.1 Pedagogical Value — pairs with the restructured purpose capture below</w:t>
            </w:r>
          </w:p>
        </w:tc>
      </w:tr>
    </w:tbl>
    <w:p w14:paraId="16A717E5" w14:textId="77777777" w:rsidR="004A7CBE" w:rsidRDefault="00000000">
      <w:pPr>
        <w:pStyle w:val="Heading1"/>
        <w:spacing w:before="360" w:after="160"/>
      </w:pPr>
      <w:r>
        <w:t>3. Restructured Stated Purpose / Educational Use Case capture</w:t>
      </w:r>
    </w:p>
    <w:p w14:paraId="16A717E6" w14:textId="77777777" w:rsidR="004A7CBE" w:rsidRDefault="00000000">
      <w:pPr>
        <w:spacing w:after="160"/>
      </w:pPr>
      <w:r>
        <w:t>Currently a free-text "tool" field and a single "setting" dropdown (Primary/Secondary/Tertiary). Proposed replacement — not scored, but structures the report and lets the gate/scored questions above be answered against something concrete:</w:t>
      </w:r>
    </w:p>
    <w:p w14:paraId="16A717E7" w14:textId="77777777" w:rsidR="004A7CBE" w:rsidRDefault="00000000">
      <w:pPr>
        <w:spacing w:after="80"/>
      </w:pPr>
      <w:r>
        <w:rPr>
          <w:sz w:val="22"/>
          <w:szCs w:val="22"/>
        </w:rPr>
        <w:t>• Tool name — keep as free text.</w:t>
      </w:r>
    </w:p>
    <w:p w14:paraId="16A717E8" w14:textId="77777777" w:rsidR="004A7CBE" w:rsidRDefault="00000000">
      <w:pPr>
        <w:spacing w:after="80"/>
      </w:pPr>
      <w:r>
        <w:rPr>
          <w:sz w:val="22"/>
          <w:szCs w:val="22"/>
        </w:rPr>
        <w:t>• Vendor's stated purpose — free text: "What does the vendor say this tool is for?" (short answer, encourages the evaluator to actually check).</w:t>
      </w:r>
    </w:p>
    <w:p w14:paraId="16A717E9" w14:textId="77777777" w:rsidR="004A7CBE" w:rsidRDefault="00000000">
      <w:pPr>
        <w:spacing w:after="80"/>
      </w:pPr>
      <w:r>
        <w:rPr>
          <w:sz w:val="22"/>
          <w:szCs w:val="22"/>
        </w:rPr>
        <w:t>• Primary use case — select, single choice: Tutoring / Teacher productivity / Assessment &amp; feedback / Content creation / Admin &amp; operations / Other.</w:t>
      </w:r>
    </w:p>
    <w:p w14:paraId="16A717EA" w14:textId="77777777" w:rsidR="004A7CBE" w:rsidRDefault="00000000">
      <w:pPr>
        <w:spacing w:after="80"/>
      </w:pPr>
      <w:r>
        <w:rPr>
          <w:sz w:val="22"/>
          <w:szCs w:val="22"/>
        </w:rPr>
        <w:t>• Educational setting — keep existing Primary/Secondary/Tertiary select.</w:t>
      </w:r>
    </w:p>
    <w:p w14:paraId="16A717EB" w14:textId="77777777" w:rsidR="004A7CBE" w:rsidRDefault="00000000">
      <w:pPr>
        <w:spacing w:after="200"/>
      </w:pPr>
      <w:r>
        <w:rPr>
          <w:sz w:val="22"/>
          <w:szCs w:val="22"/>
        </w:rPr>
        <w:t>• School AI maturity (new) — select, single choice: "No formal AI policy yet" / "Policy in place, limited staff training" / "Policy and trained staff, some tools embedded" / "Mature — widespread trained use, regular review". Not scored; captured for context and to inform future report differentiation by school maturity. Recommend this stays data-capture-only in this phase rather than changing report content yet — that's a bigger UX decision worth its own discussion.</w:t>
      </w:r>
    </w:p>
    <w:p w14:paraId="16A717EC" w14:textId="77777777" w:rsidR="004A7CBE" w:rsidRDefault="00000000">
      <w:pPr>
        <w:pStyle w:val="Heading1"/>
        <w:spacing w:before="360" w:after="160"/>
      </w:pPr>
      <w:r>
        <w:t>4. What's deliberately not included here</w:t>
      </w:r>
    </w:p>
    <w:p w14:paraId="16A717ED" w14:textId="77777777" w:rsidR="004A7CBE" w:rsidRDefault="00000000">
      <w:pPr>
        <w:spacing w:after="160"/>
      </w:pPr>
      <w:r>
        <w:t>Full Governance and Design &amp; Testing standards remain only partially captured (existing 2.3 and 2.8 touch them but don't reach DfE's depth) — not extended in this pass since the four missing categories and the scoring-model change were the agreed priority. Worth a follow-up pass once this lands.</w:t>
      </w:r>
    </w:p>
    <w:p w14:paraId="16A717EE" w14:textId="77777777" w:rsidR="004A7CBE" w:rsidRDefault="00000000">
      <w:pPr>
        <w:pStyle w:val="Heading1"/>
        <w:spacing w:before="360" w:after="160"/>
      </w:pPr>
      <w:r>
        <w:t>5. Requested from the group</w:t>
      </w:r>
    </w:p>
    <w:p w14:paraId="16A717EF" w14:textId="77777777" w:rsidR="004A7CBE" w:rsidRDefault="00000000">
      <w:pPr>
        <w:spacing w:after="80"/>
      </w:pPr>
      <w:r>
        <w:rPr>
          <w:sz w:val="22"/>
          <w:szCs w:val="22"/>
        </w:rPr>
        <w:t xml:space="preserve">• Sign off on the wording above, or </w:t>
      </w:r>
      <w:proofErr w:type="spellStart"/>
      <w:r>
        <w:rPr>
          <w:sz w:val="22"/>
          <w:szCs w:val="22"/>
        </w:rPr>
        <w:t>mark up</w:t>
      </w:r>
      <w:proofErr w:type="spellEnd"/>
      <w:r>
        <w:rPr>
          <w:sz w:val="22"/>
          <w:szCs w:val="22"/>
        </w:rPr>
        <w:t xml:space="preserve"> changes directly in this document.</w:t>
      </w:r>
    </w:p>
    <w:p w14:paraId="16A717F0" w14:textId="77777777" w:rsidR="004A7CBE" w:rsidRDefault="00000000">
      <w:pPr>
        <w:spacing w:after="80"/>
      </w:pPr>
      <w:r>
        <w:rPr>
          <w:sz w:val="22"/>
          <w:szCs w:val="22"/>
        </w:rPr>
        <w:t>• Specific check on G3 (Mental Health) — is the tone and level of detail right, or too much/too little given who'll read the finished report?</w:t>
      </w:r>
    </w:p>
    <w:p w14:paraId="16A717F1" w14:textId="77777777" w:rsidR="004A7CBE" w:rsidRDefault="00000000">
      <w:pPr>
        <w:spacing w:after="200"/>
      </w:pPr>
      <w:r>
        <w:rPr>
          <w:sz w:val="22"/>
          <w:szCs w:val="22"/>
        </w:rPr>
        <w:t>• Confirm whether "School AI maturity" should be data-capture-only for now, or whether the report should actually change based on it in this build.</w:t>
      </w:r>
    </w:p>
    <w:sectPr w:rsidR="004A7CBE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2476"/>
    <w:multiLevelType w:val="hybridMultilevel"/>
    <w:tmpl w:val="02582280"/>
    <w:lvl w:ilvl="0" w:tplc="0784A112">
      <w:start w:val="1"/>
      <w:numFmt w:val="bullet"/>
      <w:lvlText w:val="●"/>
      <w:lvlJc w:val="left"/>
      <w:pPr>
        <w:ind w:left="720" w:hanging="360"/>
      </w:pPr>
    </w:lvl>
    <w:lvl w:ilvl="1" w:tplc="97C020C4">
      <w:start w:val="1"/>
      <w:numFmt w:val="bullet"/>
      <w:lvlText w:val="○"/>
      <w:lvlJc w:val="left"/>
      <w:pPr>
        <w:ind w:left="1440" w:hanging="360"/>
      </w:pPr>
    </w:lvl>
    <w:lvl w:ilvl="2" w:tplc="5A086940">
      <w:start w:val="1"/>
      <w:numFmt w:val="bullet"/>
      <w:lvlText w:val="■"/>
      <w:lvlJc w:val="left"/>
      <w:pPr>
        <w:ind w:left="2160" w:hanging="360"/>
      </w:pPr>
    </w:lvl>
    <w:lvl w:ilvl="3" w:tplc="3B22F78E">
      <w:start w:val="1"/>
      <w:numFmt w:val="bullet"/>
      <w:lvlText w:val="●"/>
      <w:lvlJc w:val="left"/>
      <w:pPr>
        <w:ind w:left="2880" w:hanging="360"/>
      </w:pPr>
    </w:lvl>
    <w:lvl w:ilvl="4" w:tplc="B9D471C0">
      <w:start w:val="1"/>
      <w:numFmt w:val="bullet"/>
      <w:lvlText w:val="○"/>
      <w:lvlJc w:val="left"/>
      <w:pPr>
        <w:ind w:left="3600" w:hanging="360"/>
      </w:pPr>
    </w:lvl>
    <w:lvl w:ilvl="5" w:tplc="50820776">
      <w:start w:val="1"/>
      <w:numFmt w:val="bullet"/>
      <w:lvlText w:val="■"/>
      <w:lvlJc w:val="left"/>
      <w:pPr>
        <w:ind w:left="4320" w:hanging="360"/>
      </w:pPr>
    </w:lvl>
    <w:lvl w:ilvl="6" w:tplc="AFB8DBF6">
      <w:start w:val="1"/>
      <w:numFmt w:val="bullet"/>
      <w:lvlText w:val="●"/>
      <w:lvlJc w:val="left"/>
      <w:pPr>
        <w:ind w:left="5040" w:hanging="360"/>
      </w:pPr>
    </w:lvl>
    <w:lvl w:ilvl="7" w:tplc="EE20D7BE">
      <w:start w:val="1"/>
      <w:numFmt w:val="bullet"/>
      <w:lvlText w:val="●"/>
      <w:lvlJc w:val="left"/>
      <w:pPr>
        <w:ind w:left="5760" w:hanging="360"/>
      </w:pPr>
    </w:lvl>
    <w:lvl w:ilvl="8" w:tplc="19E6DC70">
      <w:start w:val="1"/>
      <w:numFmt w:val="bullet"/>
      <w:lvlText w:val="●"/>
      <w:lvlJc w:val="left"/>
      <w:pPr>
        <w:ind w:left="6480" w:hanging="360"/>
      </w:pPr>
    </w:lvl>
  </w:abstractNum>
  <w:num w:numId="1" w16cid:durableId="307973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CBE"/>
    <w:rsid w:val="001470CF"/>
    <w:rsid w:val="004A7CBE"/>
    <w:rsid w:val="007D17B5"/>
    <w:rsid w:val="00853F20"/>
    <w:rsid w:val="00A6412D"/>
    <w:rsid w:val="00D470A0"/>
    <w:rsid w:val="00FE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1770"/>
  <w15:docId w15:val="{FBE0BC23-AC8D-412F-A81A-432797E9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Harrison</cp:lastModifiedBy>
  <cp:revision>5</cp:revision>
  <dcterms:created xsi:type="dcterms:W3CDTF">2026-08-17T16:09:00Z</dcterms:created>
  <dcterms:modified xsi:type="dcterms:W3CDTF">2026-08-24T17:54:00Z</dcterms:modified>
</cp:coreProperties>
</file>