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8807450</wp:posOffset>
            </wp:positionV>
            <wp:extent cx="4572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0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8" w:after="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954" w:right="0" w:firstLine="0"/>
        <w:jc w:val="left"/>
      </w:pPr>
      <w:r>
        <w:rPr>
          <w:spacing w:val="-10"/>
          <w:rFonts w:ascii="CMBX12" w:hAnsi="CMBX12" w:eastAsia="CMBX12"/>
          <w:b/>
          <w:color w:val="000000"/>
          <w:sz w:val="24"/>
        </w:rPr>
        <w:t>CausalGuard</w:t>
      </w:r>
      <w:r>
        <w:rPr>
          <w:spacing w:val="-10"/>
          <w:rFonts w:ascii="SFBX1200" w:hAnsi="SFBX1200" w:eastAsia="SFBX1200"/>
          <w:b/>
          <w:color w:val="000000"/>
          <w:sz w:val="24"/>
        </w:rPr>
        <w:t>™</w:t>
      </w:r>
      <w:r>
        <w:rPr>
          <w:spacing w:val="-10"/>
          <w:rFonts w:ascii="CMBX12" w:hAnsi="CMBX12" w:eastAsia="CMBX12"/>
          <w:b/>
          <w:color w:val="000000"/>
          <w:sz w:val="24"/>
        </w:rPr>
        <w:t>Unified Action: The Information-Geometric Origin of Spacetime and</w:t>
      </w:r>
    </w:p>
    <w:p>
      <w:pPr>
        <w:autoSpaceDN w:val="0"/>
        <w:autoSpaceDE w:val="0"/>
        <w:widowControl/>
        <w:spacing w:line="166" w:lineRule="exact" w:before="68" w:after="0"/>
        <w:ind w:left="0" w:right="5424" w:firstLine="0"/>
        <w:jc w:val="right"/>
      </w:pPr>
      <w:r>
        <w:rPr>
          <w:spacing w:val="-10"/>
          <w:rFonts w:ascii="CMBX12" w:hAnsi="CMBX12" w:eastAsia="CMBX12"/>
          <w:b/>
          <w:color w:val="000000"/>
          <w:sz w:val="24"/>
        </w:rPr>
        <w:t>Matter</w:t>
      </w:r>
    </w:p>
    <w:p>
      <w:pPr>
        <w:autoSpaceDN w:val="0"/>
        <w:autoSpaceDE w:val="0"/>
        <w:widowControl/>
        <w:spacing w:line="140" w:lineRule="exact" w:before="338" w:after="0"/>
        <w:ind w:left="0" w:right="0" w:firstLine="0"/>
        <w:jc w:val="center"/>
      </w:pPr>
      <w:r>
        <w:rPr>
          <w:spacing w:val="-10"/>
          <w:rFonts w:ascii="CMR10" w:hAnsi="CMR10" w:eastAsia="CMR10"/>
          <w:color w:val="000000"/>
          <w:sz w:val="20"/>
        </w:rPr>
        <w:t>Mrahat Hicham</w:t>
      </w:r>
      <w:hyperlink r:id="rId9" w:history="1">
        <w:r>
          <w:rPr>
            <w:rStyle w:val="Hyperlink"/>
            <w:rFonts w:ascii="CMSY7" w:hAnsi="CMSY7" w:eastAsia="CMSY7" w:cs="CMSY7"/>
            <w:sz w:val="13.947600364685059"/>
            <w:i/>
            <w:color w:val="000000"/>
            <w:spacing w:val="-10"/>
          </w:rPr>
          <w:t>∗</w:t>
        </w:r>
      </w:hyperlink>
    </w:p>
    <w:p>
      <w:pPr>
        <w:autoSpaceDN w:val="0"/>
        <w:autoSpaceDE w:val="0"/>
        <w:widowControl/>
        <w:spacing w:line="218" w:lineRule="exact" w:before="24" w:after="0"/>
        <w:ind w:left="3600" w:right="3456" w:firstLine="0"/>
        <w:jc w:val="center"/>
      </w:pPr>
      <w:r>
        <w:rPr>
          <w:spacing w:val="-10"/>
          <w:rFonts w:ascii="CMTI9" w:hAnsi="CMTI9" w:eastAsia="CMTI9"/>
          <w:i/>
          <w:color w:val="000000"/>
          <w:sz w:val="18"/>
        </w:rPr>
        <w:t>Founder, CausalGuard</w:t>
      </w:r>
      <w:r>
        <w:rPr>
          <w:spacing w:val="-10"/>
          <w:rFonts w:ascii="SFTI0900" w:hAnsi="SFTI0900" w:eastAsia="SFTI0900"/>
          <w:i/>
          <w:color w:val="000000"/>
          <w:sz w:val="18"/>
        </w:rPr>
        <w:t>™</w:t>
      </w:r>
      <w:r>
        <w:rPr>
          <w:spacing w:val="-10"/>
          <w:rFonts w:ascii="CMTI9" w:hAnsi="CMTI9" w:eastAsia="CMTI9"/>
          <w:i/>
          <w:color w:val="000000"/>
          <w:sz w:val="18"/>
        </w:rPr>
        <w:t xml:space="preserve">Research, Casablanca, Morocco </w:t>
      </w:r>
      <w:r>
        <w:br/>
      </w:r>
      <w:r>
        <w:rPr>
          <w:spacing w:val="-10"/>
          <w:rFonts w:ascii="CMR9" w:hAnsi="CMR9" w:eastAsia="CMR9"/>
          <w:color w:val="000000"/>
          <w:sz w:val="18"/>
        </w:rPr>
        <w:t>(Dated: February 18, 2026)</w:t>
      </w:r>
    </w:p>
    <w:p>
      <w:pPr>
        <w:autoSpaceDN w:val="0"/>
        <w:tabs>
          <w:tab w:pos="2120" w:val="left"/>
          <w:tab w:pos="4270" w:val="left"/>
        </w:tabs>
        <w:autoSpaceDE w:val="0"/>
        <w:widowControl/>
        <w:spacing w:line="210" w:lineRule="exact" w:before="122" w:after="400"/>
        <w:ind w:left="1936" w:right="1728" w:firstLine="0"/>
        <w:jc w:val="left"/>
      </w:pPr>
      <w:r>
        <w:tab/>
      </w:r>
      <w:r>
        <w:rPr>
          <w:spacing w:val="-10"/>
          <w:rFonts w:ascii="CMR9" w:hAnsi="CMR9" w:eastAsia="CMR9"/>
          <w:color w:val="000000"/>
          <w:sz w:val="18"/>
        </w:rPr>
        <w:t xml:space="preserve">We propose the first unified </w:t>
      </w:r>
      <w:r>
        <w:rPr>
          <w:spacing w:val="-10"/>
          <w:rFonts w:ascii="CMR9" w:hAnsi="CMR9" w:eastAsia="CMR9"/>
          <w:color w:val="000000"/>
          <w:sz w:val="18"/>
          <w:u w:val="single"/>
        </w:rPr>
        <w:t>act</w:t>
      </w:r>
      <w:r>
        <w:rPr>
          <w:spacing w:val="-10"/>
          <w:rFonts w:ascii="CMR9" w:hAnsi="CMR9" w:eastAsia="CMR9"/>
          <w:color w:val="000000"/>
          <w:sz w:val="18"/>
        </w:rPr>
        <w:t xml:space="preserve">ion principle integrating General Relativity, Quantum Mechanics, </w:t>
      </w:r>
      <w:r>
        <w:br/>
      </w:r>
      <w:r>
        <w:rPr>
          <w:spacing w:val="-10"/>
          <w:rFonts w:ascii="CMR9" w:hAnsi="CMR9" w:eastAsia="CMR9"/>
          <w:color w:val="000000"/>
          <w:sz w:val="18"/>
        </w:rPr>
        <w:t>and Information Theory:</w:t>
      </w:r>
      <w:r>
        <w:rPr>
          <w:spacing w:val="-10"/>
          <w:rFonts w:ascii="CMMI9" w:hAnsi="CMMI9" w:eastAsia="CMMI9"/>
          <w:i/>
          <w:color w:val="000000"/>
          <w:sz w:val="18"/>
        </w:rPr>
        <w:t xml:space="preserve"> δ</w:t>
      </w:r>
      <w:r>
        <w:tab/>
      </w:r>
      <w:r>
        <w:rPr>
          <w:spacing w:val="-10"/>
          <w:rFonts w:ascii="CMSY9" w:hAnsi="CMSY9" w:eastAsia="CMSY9"/>
          <w:i/>
          <w:color w:val="000000"/>
          <w:sz w:val="18"/>
        </w:rPr>
        <w:t>√</w:t>
      </w:r>
      <w:r>
        <w:rPr>
          <w:spacing w:val="-10"/>
          <w:rFonts w:ascii="CMSY9" w:hAnsi="CMSY9" w:eastAsia="CMSY9"/>
          <w:i/>
          <w:color w:val="000000"/>
          <w:sz w:val="18"/>
          <w:u w:val="single"/>
        </w:rPr>
        <w:t>−</w:t>
      </w:r>
      <w:r>
        <w:rPr>
          <w:spacing w:val="-10"/>
          <w:rFonts w:ascii="CMMI9" w:hAnsi="CMMI9" w:eastAsia="CMMI9"/>
          <w:i/>
          <w:color w:val="000000"/>
          <w:sz w:val="18"/>
        </w:rPr>
        <w:t>g</w:t>
      </w:r>
      <w:r>
        <w:rPr>
          <w:spacing w:val="-10"/>
          <w:rFonts w:ascii="CMR9" w:hAnsi="CMR9" w:eastAsia="CMR9"/>
          <w:color w:val="000000"/>
          <w:sz w:val="18"/>
        </w:rPr>
        <w:t>[</w:t>
      </w:r>
      <w:r>
        <w:rPr>
          <w:spacing w:val="-10"/>
          <w:rFonts w:ascii="CMMI9" w:hAnsi="CMMI9" w:eastAsia="CMMI9"/>
          <w:i/>
          <w:color w:val="000000"/>
          <w:sz w:val="18"/>
        </w:rPr>
        <w:t>R/</w:t>
      </w:r>
      <w:r>
        <w:rPr>
          <w:spacing w:val="-10"/>
          <w:rFonts w:ascii="CMR9" w:hAnsi="CMR9" w:eastAsia="CMR9"/>
          <w:color w:val="000000"/>
          <w:sz w:val="18"/>
        </w:rPr>
        <w:t>16</w:t>
      </w:r>
      <w:r>
        <w:rPr>
          <w:spacing w:val="-10"/>
          <w:rFonts w:ascii="CMMI9" w:hAnsi="CMMI9" w:eastAsia="CMMI9"/>
          <w:i/>
          <w:color w:val="000000"/>
          <w:sz w:val="18"/>
        </w:rPr>
        <w:t>πG</w:t>
      </w:r>
      <w:r>
        <w:rPr>
          <w:spacing w:val="-10"/>
          <w:rFonts w:ascii="CMR9" w:hAnsi="CMR9" w:eastAsia="CMR9"/>
          <w:color w:val="000000"/>
          <w:sz w:val="18"/>
        </w:rPr>
        <w:t>+</w:t>
      </w:r>
      <w:r>
        <w:rPr>
          <w:spacing w:val="-10"/>
          <w:rFonts w:ascii="CMSY9" w:hAnsi="CMSY9" w:eastAsia="CMSY9"/>
          <w:i/>
          <w:color w:val="000000"/>
          <w:sz w:val="18"/>
        </w:rPr>
        <w:t>I</w:t>
      </w:r>
      <w:r>
        <w:rPr>
          <w:spacing w:val="-10"/>
          <w:rFonts w:ascii="CMMI6" w:hAnsi="CMMI6" w:eastAsia="CMMI6"/>
          <w:i/>
          <w:color w:val="000000"/>
          <w:sz w:val="12"/>
        </w:rPr>
        <w:t>F</w:t>
      </w:r>
      <w:r>
        <w:rPr>
          <w:spacing w:val="-10"/>
          <w:rFonts w:ascii="CMR9" w:hAnsi="CMR9" w:eastAsia="CMR9"/>
          <w:color w:val="000000"/>
          <w:sz w:val="18"/>
        </w:rPr>
        <w:t xml:space="preserve"> +</w:t>
      </w:r>
      <w:r>
        <w:rPr>
          <w:spacing w:val="-10"/>
          <w:rFonts w:ascii="CMMI9" w:hAnsi="CMMI9" w:eastAsia="CMMI9"/>
          <w:i/>
          <w:color w:val="000000"/>
          <w:sz w:val="18"/>
        </w:rPr>
        <w:t>αS</w:t>
      </w:r>
      <w:r>
        <w:rPr>
          <w:spacing w:val="-10"/>
          <w:rFonts w:ascii="CMR6" w:hAnsi="CMR6" w:eastAsia="CMR6"/>
          <w:color w:val="000000"/>
          <w:sz w:val="12"/>
        </w:rPr>
        <w:t>vN</w:t>
      </w:r>
      <w:r>
        <w:rPr>
          <w:spacing w:val="-10"/>
          <w:rFonts w:ascii="CMR9" w:hAnsi="CMR9" w:eastAsia="CMR9"/>
          <w:color w:val="000000"/>
          <w:sz w:val="18"/>
        </w:rPr>
        <w:t>]</w:t>
      </w:r>
      <w:r>
        <w:rPr>
          <w:spacing w:val="-10"/>
          <w:rFonts w:ascii="CMMI9" w:hAnsi="CMMI9" w:eastAsia="CMMI9"/>
          <w:i/>
          <w:color w:val="000000"/>
          <w:sz w:val="18"/>
        </w:rPr>
        <w:t>d</w:t>
      </w:r>
      <w:r>
        <w:rPr>
          <w:spacing w:val="-10"/>
          <w:rFonts w:ascii="CMR6" w:hAnsi="CMR6" w:eastAsia="CMR6"/>
          <w:color w:val="000000"/>
          <w:sz w:val="12"/>
        </w:rPr>
        <w:t>4</w:t>
      </w:r>
      <w:r>
        <w:rPr>
          <w:spacing w:val="-10"/>
          <w:rFonts w:ascii="CMMI9" w:hAnsi="CMMI9" w:eastAsia="CMMI9"/>
          <w:i/>
          <w:color w:val="000000"/>
          <w:sz w:val="18"/>
        </w:rPr>
        <w:t>x</w:t>
      </w:r>
      <w:r>
        <w:rPr>
          <w:spacing w:val="-10"/>
          <w:rFonts w:ascii="CMR9" w:hAnsi="CMR9" w:eastAsia="CMR9"/>
          <w:color w:val="000000"/>
          <w:sz w:val="18"/>
        </w:rPr>
        <w:t xml:space="preserve"> = 0. This formulation derives modified </w:t>
      </w:r>
      <w:r>
        <w:br/>
      </w:r>
      <w:r>
        <w:rPr>
          <w:spacing w:val="-10"/>
          <w:rFonts w:ascii="CMR9" w:hAnsi="CMR9" w:eastAsia="CMR9"/>
          <w:color w:val="000000"/>
          <w:sz w:val="18"/>
        </w:rPr>
        <w:t>Einstein field equations and predicts a 1</w:t>
      </w:r>
      <w:r>
        <w:rPr>
          <w:spacing w:val="-10"/>
          <w:rFonts w:ascii="CMMI9" w:hAnsi="CMMI9" w:eastAsia="CMMI9"/>
          <w:i/>
          <w:color w:val="000000"/>
          <w:sz w:val="18"/>
        </w:rPr>
        <w:t>.</w:t>
      </w:r>
      <w:r>
        <w:rPr>
          <w:spacing w:val="-10"/>
          <w:rFonts w:ascii="CMR9" w:hAnsi="CMR9" w:eastAsia="CMR9"/>
          <w:color w:val="000000"/>
          <w:sz w:val="18"/>
        </w:rPr>
        <w:t>5 kHz frequency shift in trapped ions, testable in 2026.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" w:type="dxa"/>
      </w:tblPr>
      <w:tblGrid>
        <w:gridCol w:w="1200" w:type="dxa"/>
        <w:gridCol w:w="3500" w:type="dxa"/>
        <w:gridCol w:w="1340" w:type="dxa"/>
        <w:gridCol w:w="4080" w:type="dxa"/>
      </w:tblGrid>
      <w:tr>
        <w:trPr>
          <w:trHeight w:hRule="exact" w:val="248"/>
        </w:trPr>
        <w:tc>
          <w:tcPr>
            <w:tcW w:type="dxa" w:w="1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4" w:after="0"/>
              <w:ind w:left="0" w:right="94" w:firstLine="0"/>
              <w:jc w:val="right"/>
            </w:pPr>
            <w:r>
              <w:rPr>
                <w:spacing w:val="-10"/>
                <w:rFonts w:ascii="CMBX9" w:hAnsi="CMBX9" w:eastAsia="CMBX9"/>
                <w:b/>
                <w:color w:val="000000"/>
                <w:sz w:val="18"/>
              </w:rPr>
              <w:t>I.</w:t>
            </w:r>
          </w:p>
        </w:tc>
        <w:tc>
          <w:tcPr>
            <w:tcW w:type="dxa" w:w="3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0" w:after="0"/>
              <w:ind w:left="118" w:right="0" w:firstLine="0"/>
              <w:jc w:val="left"/>
            </w:pPr>
            <w:r>
              <w:rPr>
                <w:spacing w:val="-10"/>
                <w:rFonts w:ascii="CMBX9" w:hAnsi="CMBX9" w:eastAsia="CMBX9"/>
                <w:b/>
                <w:color w:val="000000"/>
                <w:sz w:val="18"/>
              </w:rPr>
              <w:t>THE UNIFIED ACTION</w:t>
            </w:r>
          </w:p>
        </w:tc>
        <w:tc>
          <w:tcPr>
            <w:tcW w:type="dxa" w:w="1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4" w:after="0"/>
              <w:ind w:left="0" w:right="106" w:firstLine="0"/>
              <w:jc w:val="right"/>
            </w:pPr>
            <w:r>
              <w:rPr>
                <w:spacing w:val="-10"/>
                <w:rFonts w:ascii="CMBX9" w:hAnsi="CMBX9" w:eastAsia="CMBX9"/>
                <w:b/>
                <w:color w:val="000000"/>
                <w:sz w:val="18"/>
              </w:rPr>
              <w:t>II.</w:t>
            </w:r>
          </w:p>
        </w:tc>
        <w:tc>
          <w:tcPr>
            <w:tcW w:type="dxa" w:w="4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CMBX9" w:hAnsi="CMBX9" w:eastAsia="CMBX9"/>
                <w:b/>
                <w:color w:val="000000"/>
                <w:sz w:val="18"/>
              </w:rPr>
              <w:t>EXPERIMENTAL PREDICTIONS</w:t>
            </w:r>
          </w:p>
        </w:tc>
      </w:tr>
    </w:tbl>
    <w:p>
      <w:pPr>
        <w:autoSpaceDN w:val="0"/>
        <w:autoSpaceDE w:val="0"/>
        <w:widowControl/>
        <w:spacing w:line="228" w:lineRule="exact" w:before="264" w:after="0"/>
        <w:ind w:left="6100" w:right="720" w:firstLine="200"/>
        <w:jc w:val="left"/>
      </w:pPr>
      <w:r>
        <w:rPr>
          <w:spacing w:val="-10"/>
          <w:rFonts w:ascii="CMR10" w:hAnsi="CMR10" w:eastAsia="CMR10"/>
          <w:color w:val="000000"/>
          <w:sz w:val="20"/>
        </w:rPr>
        <w:t>A primary prediction is the frequency shift ∆</w:t>
      </w:r>
      <w:r>
        <w:rPr>
          <w:spacing w:val="-10"/>
          <w:rFonts w:ascii="CMMI10" w:hAnsi="CMMI10" w:eastAsia="CMMI10"/>
          <w:i/>
          <w:color w:val="000000"/>
          <w:sz w:val="20"/>
        </w:rPr>
        <w:t>ω</w:t>
      </w:r>
      <w:r>
        <w:rPr>
          <w:spacing w:val="-10"/>
          <w:rFonts w:ascii="CMSY10" w:hAnsi="CMSY10" w:eastAsia="CMSY10"/>
          <w:i/>
          <w:color w:val="000000"/>
          <w:sz w:val="20"/>
        </w:rPr>
        <w:t xml:space="preserve"> ≈</w:t>
      </w:r>
      <w:r>
        <w:rPr>
          <w:spacing w:val="-10"/>
          <w:rFonts w:ascii="CMR10" w:hAnsi="CMR10" w:eastAsia="CMR10"/>
          <w:color w:val="000000"/>
          <w:sz w:val="20"/>
        </w:rPr>
        <w:t>1</w:t>
      </w:r>
      <w:r>
        <w:rPr>
          <w:spacing w:val="-10"/>
          <w:rFonts w:ascii="CMMI10" w:hAnsi="CMMI10" w:eastAsia="CMMI10"/>
          <w:i/>
          <w:color w:val="000000"/>
          <w:sz w:val="20"/>
        </w:rPr>
        <w:t>.</w:t>
      </w:r>
      <w:r>
        <w:rPr>
          <w:spacing w:val="-10"/>
          <w:rFonts w:ascii="CMR10" w:hAnsi="CMR10" w:eastAsia="CMR10"/>
          <w:color w:val="000000"/>
          <w:sz w:val="20"/>
        </w:rPr>
        <w:t xml:space="preserve">5 </w:t>
      </w:r>
      <w:r>
        <w:br/>
      </w:r>
      <w:r>
        <w:rPr>
          <w:spacing w:val="-10"/>
          <w:rFonts w:ascii="CMR10" w:hAnsi="CMR10" w:eastAsia="CMR10"/>
          <w:color w:val="000000"/>
          <w:sz w:val="20"/>
        </w:rPr>
        <w:t>kHz for</w:t>
      </w:r>
      <w:r>
        <w:rPr>
          <w:spacing w:val="-10"/>
          <w:rFonts w:ascii="CMR7" w:hAnsi="CMR7" w:eastAsia="CMR7"/>
          <w:color w:val="000000"/>
          <w:sz w:val="14"/>
        </w:rPr>
        <w:t>174</w:t>
      </w:r>
      <w:r>
        <w:rPr>
          <w:spacing w:val="-10"/>
          <w:rFonts w:ascii="CMR10" w:hAnsi="CMR10" w:eastAsia="CMR10"/>
          <w:color w:val="000000"/>
          <w:sz w:val="20"/>
        </w:rPr>
        <w:t>Yb</w:t>
      </w:r>
      <w:r>
        <w:rPr>
          <w:spacing w:val="-10"/>
          <w:rFonts w:ascii="CMR7" w:hAnsi="CMR7" w:eastAsia="CMR7"/>
          <w:color w:val="000000"/>
          <w:sz w:val="14"/>
        </w:rPr>
        <w:t>+</w:t>
      </w:r>
      <w:r>
        <w:rPr>
          <w:spacing w:val="-10"/>
          <w:rFonts w:ascii="CMR10" w:hAnsi="CMR10" w:eastAsia="CMR10"/>
          <w:color w:val="000000"/>
          <w:sz w:val="20"/>
        </w:rPr>
        <w:t>ions, within the sensitivity of IonQ Aria</w:t>
      </w:r>
    </w:p>
    <w:p>
      <w:pPr>
        <w:autoSpaceDN w:val="0"/>
        <w:autoSpaceDE w:val="0"/>
        <w:widowControl/>
        <w:spacing w:line="164" w:lineRule="exact" w:before="66" w:after="0"/>
        <w:ind w:left="0" w:right="4932" w:firstLine="0"/>
        <w:jc w:val="right"/>
      </w:pPr>
      <w:r>
        <w:rPr>
          <w:spacing w:val="-10"/>
          <w:rFonts w:ascii="CMR10" w:hAnsi="CMR10" w:eastAsia="CMR10"/>
          <w:color w:val="000000"/>
          <w:sz w:val="20"/>
        </w:rPr>
        <w:t>systems.</w:t>
      </w:r>
    </w:p>
    <w:p>
      <w:pPr>
        <w:autoSpaceDN w:val="0"/>
        <w:tabs>
          <w:tab w:pos="8090" w:val="left"/>
        </w:tabs>
        <w:autoSpaceDE w:val="0"/>
        <w:widowControl/>
        <w:spacing w:line="128" w:lineRule="exact" w:before="492" w:after="0"/>
        <w:ind w:left="7566" w:right="0" w:firstLine="0"/>
        <w:jc w:val="left"/>
      </w:pPr>
      <w:r>
        <w:rPr>
          <w:spacing w:val="-10"/>
          <w:rFonts w:ascii="CMBX9" w:hAnsi="CMBX9" w:eastAsia="CMBX9"/>
          <w:b/>
          <w:color w:val="000000"/>
          <w:sz w:val="18"/>
        </w:rPr>
        <w:t xml:space="preserve">III. </w:t>
      </w:r>
      <w:r>
        <w:tab/>
      </w:r>
      <w:r>
        <w:rPr>
          <w:spacing w:val="-10"/>
          <w:rFonts w:ascii="CMBX9" w:hAnsi="CMBX9" w:eastAsia="CMBX9"/>
          <w:b/>
          <w:color w:val="000000"/>
          <w:sz w:val="18"/>
        </w:rPr>
        <w:t>CONCLUSION</w:t>
      </w:r>
    </w:p>
    <w:p>
      <w:pPr>
        <w:autoSpaceDN w:val="0"/>
        <w:tabs>
          <w:tab w:pos="1040" w:val="left"/>
          <w:tab w:pos="6100" w:val="left"/>
          <w:tab w:pos="6300" w:val="left"/>
        </w:tabs>
        <w:autoSpaceDE w:val="0"/>
        <w:widowControl/>
        <w:spacing w:line="228" w:lineRule="exact" w:before="94" w:after="0"/>
        <w:ind w:left="840" w:right="720" w:firstLine="0"/>
        <w:jc w:val="left"/>
      </w:pPr>
      <w:r>
        <w:tab/>
      </w:r>
      <w:r>
        <w:rPr>
          <w:spacing w:val="-10"/>
          <w:rFonts w:ascii="CMR10" w:hAnsi="CMR10" w:eastAsia="CMR10"/>
          <w:color w:val="000000"/>
          <w:sz w:val="20"/>
        </w:rPr>
        <w:t>The CausalGuard</w:t>
      </w:r>
      <w:r>
        <w:rPr>
          <w:spacing w:val="-10"/>
          <w:rFonts w:ascii="SFRM1000" w:hAnsi="SFRM1000" w:eastAsia="SFRM1000"/>
          <w:color w:val="000000"/>
          <w:sz w:val="20"/>
        </w:rPr>
        <w:t>™</w:t>
      </w:r>
      <w:r>
        <w:rPr>
          <w:spacing w:val="-10"/>
          <w:rFonts w:ascii="CMR10" w:hAnsi="CMR10" w:eastAsia="CMR10"/>
          <w:color w:val="000000"/>
          <w:sz w:val="20"/>
        </w:rPr>
        <w:t>action integrates Fisher Informa-</w:t>
      </w:r>
      <w:r>
        <w:br/>
      </w:r>
      <w:r>
        <w:rPr>
          <w:spacing w:val="-10"/>
          <w:rFonts w:ascii="CMR10" w:hAnsi="CMR10" w:eastAsia="CMR10"/>
          <w:color w:val="000000"/>
          <w:sz w:val="20"/>
        </w:rPr>
        <w:t>tion (</w:t>
      </w:r>
      <w:r>
        <w:rPr>
          <w:spacing w:val="-10"/>
          <w:rFonts w:ascii="CMSY10" w:hAnsi="CMSY10" w:eastAsia="CMSY10"/>
          <w:i/>
          <w:color w:val="000000"/>
          <w:sz w:val="20"/>
        </w:rPr>
        <w:t>I</w:t>
      </w:r>
      <w:r>
        <w:rPr>
          <w:spacing w:val="-10"/>
          <w:rFonts w:ascii="CMMI7" w:hAnsi="CMMI7" w:eastAsia="CMMI7"/>
          <w:i/>
          <w:color w:val="000000"/>
          <w:sz w:val="14"/>
        </w:rPr>
        <w:t>F</w:t>
      </w:r>
      <w:r>
        <w:rPr>
          <w:spacing w:val="-10"/>
          <w:rFonts w:ascii="CMR10" w:hAnsi="CMR10" w:eastAsia="CMR10"/>
          <w:color w:val="000000"/>
          <w:sz w:val="20"/>
        </w:rPr>
        <w:t xml:space="preserve"> ) and von Neumann Entropy (</w:t>
      </w:r>
      <w:r>
        <w:rPr>
          <w:spacing w:val="-10"/>
          <w:rFonts w:ascii="CMMI10" w:hAnsi="CMMI10" w:eastAsia="CMMI10"/>
          <w:i/>
          <w:color w:val="000000"/>
          <w:sz w:val="20"/>
        </w:rPr>
        <w:t>S</w:t>
      </w:r>
      <w:r>
        <w:rPr>
          <w:spacing w:val="-10"/>
          <w:rFonts w:ascii="CMR7" w:hAnsi="CMR7" w:eastAsia="CMR7"/>
          <w:color w:val="000000"/>
          <w:sz w:val="14"/>
        </w:rPr>
        <w:t>vN</w:t>
      </w:r>
      <w:r>
        <w:rPr>
          <w:spacing w:val="-10"/>
          <w:rFonts w:ascii="CMR10" w:hAnsi="CMR10" w:eastAsia="CMR10"/>
          <w:color w:val="000000"/>
          <w:sz w:val="20"/>
        </w:rPr>
        <w:t xml:space="preserve">) into the </w:t>
      </w:r>
      <w:r>
        <w:tab/>
      </w:r>
      <w:r>
        <w:tab/>
      </w:r>
      <w:r>
        <w:rPr>
          <w:spacing w:val="-10"/>
          <w:rFonts w:ascii="CMR10" w:hAnsi="CMR10" w:eastAsia="CMR10"/>
          <w:color w:val="000000"/>
          <w:sz w:val="20"/>
        </w:rPr>
        <w:t xml:space="preserve">This framework suggests that matter is a concentration </w:t>
      </w:r>
      <w:r>
        <w:br/>
      </w:r>
      <w:r>
        <w:rPr>
          <w:spacing w:val="-10"/>
          <w:rFonts w:ascii="CMR10" w:hAnsi="CMR10" w:eastAsia="CMR10"/>
          <w:color w:val="000000"/>
          <w:sz w:val="20"/>
        </w:rPr>
        <w:t xml:space="preserve">spacetime manifold. </w:t>
      </w:r>
      <w:r>
        <w:tab/>
      </w:r>
      <w:r>
        <w:rPr>
          <w:spacing w:val="-10"/>
          <w:rFonts w:ascii="CMR10" w:hAnsi="CMR10" w:eastAsia="CMR10"/>
          <w:color w:val="000000"/>
          <w:sz w:val="20"/>
        </w:rPr>
        <w:t>of Fisher information.</w:t>
      </w:r>
    </w:p>
    <w:p>
      <w:pPr>
        <w:autoSpaceDN w:val="0"/>
        <w:autoSpaceDE w:val="0"/>
        <w:widowControl/>
        <w:spacing w:line="146" w:lineRule="exact" w:before="8052" w:after="0"/>
        <w:ind w:left="866" w:right="0" w:firstLine="0"/>
        <w:jc w:val="left"/>
      </w:pPr>
      <w:r>
        <w:rPr>
          <w:spacing w:val="-10"/>
          <w:rFonts w:ascii="CMSY6" w:hAnsi="CMSY6" w:eastAsia="CMSY6"/>
          <w:i/>
          <w:color w:val="000000"/>
          <w:sz w:val="12"/>
        </w:rPr>
        <w:t>∗</w:t>
      </w:r>
      <w:hyperlink r:id="rId10" w:history="1">
        <w:r>
          <w:rPr>
            <w:rStyle w:val="Hyperlink"/>
            <w:rFonts w:ascii="CMR8" w:hAnsi="CMR8" w:eastAsia="CMR8" w:cs="CMR8"/>
            <w:sz w:val="15.940199851989746"/>
            <w:color w:val="000000"/>
            <w:spacing w:val="-10"/>
          </w:rPr>
          <w:t>qaqa16161@gmail.com</w:t>
        </w:r>
      </w:hyperlink>
    </w:p>
    <w:sectPr w:rsidR="00FC693F" w:rsidRPr="0006063C" w:rsidSect="00034616">
      <w:pgSz w:w="12240" w:h="15840"/>
      <w:pgMar w:top="240" w:right="240" w:bottom="144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nameddest=frontmatter.1" TargetMode="External"/><Relationship Id="rId10" Type="http://schemas.openxmlformats.org/officeDocument/2006/relationships/hyperlink" Target="mailto:qaqa16161@gmail.com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