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461D7C"/>
          <w:sz w:val="36"/>
          <w:szCs w:val="36"/>
        </w:rPr>
        <w:t xml:space="preserve">LOUISIANA STATE UNIVERSITY</w:t>
      </w:r>
    </w:p>
    <w:p>
      <w:pPr>
        <w:spacing w:after="60"/>
        <w:jc w:val="center"/>
      </w:pPr>
      <w:r>
        <w:rPr>
          <w:rFonts w:ascii="Arial" w:cs="Arial" w:eastAsia="Arial" w:hAnsi="Arial"/>
          <w:color w:val="461D7C"/>
          <w:sz w:val="26"/>
          <w:szCs w:val="26"/>
        </w:rPr>
        <w:t xml:space="preserve">Institutional Review Board (IRB)</w:t>
      </w:r>
    </w:p>
    <w:p>
      <w:pPr>
        <w:spacing w:after="60"/>
        <w:jc w:val="center"/>
      </w:pPr>
      <w:r>
        <w:rPr>
          <w:rFonts w:ascii="Arial" w:cs="Arial" w:eastAsia="Arial" w:hAnsi="Arial"/>
          <w:color w:val="555555"/>
          <w:sz w:val="20"/>
          <w:szCs w:val="20"/>
        </w:rPr>
        <w:t xml:space="preserve">Office of Research &amp; Economic Development</w:t>
      </w:r>
    </w:p>
    <w:p>
      <w:pPr>
        <w:spacing w:after="60"/>
        <w:jc w:val="center"/>
      </w:pPr>
      <w:r>
        <w:rPr>
          <w:rFonts w:ascii="Arial" w:cs="Arial" w:eastAsia="Arial" w:hAnsi="Arial"/>
          <w:color w:val="555555"/>
          <w:sz w:val="20"/>
          <w:szCs w:val="20"/>
        </w:rPr>
        <w:t xml:space="preserve">Baton Rouge, Louisiana 70803</w:t>
      </w:r>
    </w:p>
    <w:p>
      <w:pPr>
        <w:spacing w:after="200"/>
        <w:jc w:val="center"/>
      </w:pPr>
      <w:r>
        <w:rPr>
          <w:rFonts w:ascii="Arial" w:cs="Arial" w:eastAsia="Arial" w:hAnsi="Arial"/>
          <w:color w:val="555555"/>
          <w:sz w:val="20"/>
          <w:szCs w:val="20"/>
        </w:rPr>
        <w:t xml:space="preserve">irb@lsu.edu  |  (225) 578-8692</w:t>
      </w:r>
    </w:p>
    <w:p>
      <w:pPr>
        <w:shd w:fill="461D7C" w:val="clear"/>
        <w:spacing w:after="60" w:before="100"/>
        <w:jc w:val="center"/>
      </w:pPr>
      <w:r>
        <w:rPr>
          <w:rFonts w:ascii="Arial" w:cs="Arial" w:eastAsia="Arial" w:hAnsi="Arial"/>
          <w:b/>
          <w:bCs/>
          <w:color w:val="FFFFFF"/>
          <w:sz w:val="28"/>
          <w:szCs w:val="28"/>
        </w:rPr>
        <w:t xml:space="preserve">  EXEMPT RESEARCH PROTOCOL APPLICATION  </w:t>
      </w:r>
    </w:p>
    <w:p>
      <w:pPr>
        <w:spacing w:after="240"/>
        <w:jc w:val="center"/>
      </w:pPr>
      <w:r>
        <w:rPr>
          <w:rFonts w:ascii="Arial" w:cs="Arial" w:eastAsia="Arial" w:hAnsi="Arial"/>
          <w:i/>
          <w:iCs/>
          <w:color w:val="555555"/>
          <w:sz w:val="20"/>
          <w:szCs w:val="20"/>
        </w:rPr>
        <w:t xml:space="preserve">45 CFR 46.104(d)(2) — Survey/Interview Research, Minimal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Protocol Number</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LSU-IRB-2025-____  (assigned by iRIS)</w:t>
            </w:r>
          </w:p>
        </w:tc>
      </w:tr>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Submission Date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___________________</w:t>
            </w:r>
          </w:p>
        </w:tc>
      </w:tr>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Review Category</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Exempt — Category 2</w:t>
            </w:r>
          </w:p>
        </w:tc>
      </w:tr>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iRIS Submission ID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___________________</w:t>
            </w:r>
          </w:p>
        </w:tc>
      </w:tr>
    </w:tbl>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1. PERSONNEL</w:t>
      </w:r>
    </w:p>
    <w:p>
      <w:pPr>
        <w:spacing w:after="100" w:before="200"/>
      </w:pPr>
      <w:r>
        <w:rPr>
          <w:rFonts w:ascii="Arial" w:cs="Arial" w:eastAsia="Arial" w:hAnsi="Arial"/>
          <w:b/>
          <w:bCs/>
          <w:color w:val="2C2C2C"/>
          <w:sz w:val="22"/>
          <w:szCs w:val="22"/>
          <w:u w:val="single"/>
        </w:rPr>
        <w:t xml:space="preserve">1.1 Principal Investigator (Faculty Supervisor)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Name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___________________</w:t>
            </w:r>
          </w:p>
        </w:tc>
      </w:tr>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Title/Rank</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Assistant / Associate / Full Professor</w:t>
            </w:r>
          </w:p>
        </w:tc>
      </w:tr>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Department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Division of Computer Science &amp; Engineering</w:t>
            </w:r>
          </w:p>
        </w:tc>
      </w:tr>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College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College of Engineering</w:t>
            </w:r>
          </w:p>
        </w:tc>
      </w:tr>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LSU Email</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___________________@lsu.edu</w:t>
            </w:r>
          </w:p>
        </w:tc>
      </w:tr>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Phone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___________________</w:t>
            </w:r>
          </w:p>
        </w:tc>
      </w:tr>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CITI Training Expiry</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___________________</w:t>
            </w:r>
          </w:p>
        </w:tc>
      </w:tr>
    </w:tbl>
    <w:p>
      <w:pPr>
        <w:spacing w:after="80"/>
      </w:pPr>
      <w:r>
        <w:t xml:space="preserve"/>
      </w:r>
    </w:p>
    <w:p>
      <w:pPr>
        <w:spacing w:after="100" w:before="200"/>
      </w:pPr>
      <w:r>
        <w:rPr>
          <w:rFonts w:ascii="Arial" w:cs="Arial" w:eastAsia="Arial" w:hAnsi="Arial"/>
          <w:b/>
          <w:bCs/>
          <w:color w:val="2C2C2C"/>
          <w:sz w:val="22"/>
          <w:szCs w:val="22"/>
          <w:u w:val="single"/>
        </w:rPr>
        <w:t xml:space="preserve">1.2 Co-Investigator / Graduate Student Researcher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Name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Md. Saidur Rahman</w:t>
            </w:r>
          </w:p>
        </w:tc>
      </w:tr>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Role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Ph.D. Student — Co-Investigator</w:t>
            </w:r>
          </w:p>
        </w:tc>
      </w:tr>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Department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Division of Computer Science &amp; Engineering</w:t>
            </w:r>
          </w:p>
        </w:tc>
      </w:tr>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LSU Email</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saidur@lsu.edu  (or current LSU email)</w:t>
            </w:r>
          </w:p>
        </w:tc>
      </w:tr>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CITI Training Expiry</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___________________</w:t>
            </w:r>
          </w:p>
        </w:tc>
      </w:tr>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ORCID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___________________</w:t>
            </w:r>
          </w:p>
        </w:tc>
      </w:tr>
    </w:tbl>
    <w:p>
      <w:pPr>
        <w:spacing w:after="80"/>
      </w:pPr>
      <w:r>
        <w:t xml:space="preserve"/>
      </w:r>
    </w:p>
    <w:p>
      <w:pPr>
        <w:spacing w:after="100"/>
      </w:pPr>
      <w:r>
        <w:rPr>
          <w:rFonts w:ascii="Arial" w:cs="Arial" w:eastAsia="Arial" w:hAnsi="Arial"/>
          <w:color w:val="1A1A1A"/>
          <w:sz w:val="22"/>
          <w:szCs w:val="22"/>
        </w:rPr>
        <w:t xml:space="preserve">Note: Per LSU IRB policy, a faculty member must serve as Principal Investigator for all student-initiated research. The graduate student researcher conducts day-to-day research activities under PI supervision.</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2. PROJECT OVERVIEW</w:t>
      </w:r>
    </w:p>
    <w:p>
      <w:pPr>
        <w:spacing w:after="100" w:before="200"/>
      </w:pPr>
      <w:r>
        <w:rPr>
          <w:rFonts w:ascii="Arial" w:cs="Arial" w:eastAsia="Arial" w:hAnsi="Arial"/>
          <w:b/>
          <w:bCs/>
          <w:color w:val="2C2C2C"/>
          <w:sz w:val="22"/>
          <w:szCs w:val="22"/>
          <w:u w:val="single"/>
        </w:rPr>
        <w:t xml:space="preserve">2.1 Full Title</w:t>
      </w:r>
    </w:p>
    <w:p>
      <w:pPr>
        <w:spacing w:after="100"/>
      </w:pPr>
      <w:r>
        <w:rPr>
          <w:rFonts w:ascii="Arial" w:cs="Arial" w:eastAsia="Arial" w:hAnsi="Arial"/>
          <w:color w:val="1A1A1A"/>
          <w:sz w:val="22"/>
          <w:szCs w:val="22"/>
        </w:rPr>
        <w:t xml:space="preserve">Measuring the Mobile Financial Service (MFS) Scam Ecosystem in Bangladesh: A Multi-Stream Empirical Study of bKash, Nagad, and Rocket</w:t>
      </w:r>
    </w:p>
    <w:p>
      <w:pPr>
        <w:spacing w:after="100" w:before="200"/>
      </w:pPr>
      <w:r>
        <w:rPr>
          <w:rFonts w:ascii="Arial" w:cs="Arial" w:eastAsia="Arial" w:hAnsi="Arial"/>
          <w:b/>
          <w:bCs/>
          <w:color w:val="2C2C2C"/>
          <w:sz w:val="22"/>
          <w:szCs w:val="22"/>
          <w:u w:val="single"/>
        </w:rPr>
        <w:t xml:space="preserve">2.2 Short Title (for iRIS)</w:t>
      </w:r>
    </w:p>
    <w:p>
      <w:pPr>
        <w:spacing w:after="100"/>
      </w:pPr>
      <w:r>
        <w:rPr>
          <w:rFonts w:ascii="Arial" w:cs="Arial" w:eastAsia="Arial" w:hAnsi="Arial"/>
          <w:color w:val="1A1A1A"/>
          <w:sz w:val="22"/>
          <w:szCs w:val="22"/>
        </w:rPr>
        <w:t xml:space="preserve">MFS Scam Ecosystem Bangladesh</w:t>
      </w:r>
    </w:p>
    <w:p>
      <w:pPr>
        <w:spacing w:after="100" w:before="200"/>
      </w:pPr>
      <w:r>
        <w:rPr>
          <w:rFonts w:ascii="Arial" w:cs="Arial" w:eastAsia="Arial" w:hAnsi="Arial"/>
          <w:b/>
          <w:bCs/>
          <w:color w:val="2C2C2C"/>
          <w:sz w:val="22"/>
          <w:szCs w:val="22"/>
          <w:u w:val="single"/>
        </w:rPr>
        <w:t xml:space="preserve">2.3 Funding Source</w:t>
      </w:r>
    </w:p>
    <w:p>
      <w:pPr>
        <w:spacing w:after="100"/>
      </w:pPr>
      <w:r>
        <w:rPr>
          <w:rFonts w:ascii="Arial" w:cs="Arial" w:eastAsia="Arial" w:hAnsi="Arial"/>
          <w:color w:val="1A1A1A"/>
          <w:sz w:val="22"/>
          <w:szCs w:val="22"/>
        </w:rPr>
        <w:t xml:space="preserve">Unfunded — Ph.D. dissertation research. No external sponsors.</w:t>
      </w:r>
    </w:p>
    <w:p>
      <w:pPr>
        <w:spacing w:after="100" w:before="200"/>
      </w:pPr>
      <w:r>
        <w:rPr>
          <w:rFonts w:ascii="Arial" w:cs="Arial" w:eastAsia="Arial" w:hAnsi="Arial"/>
          <w:b/>
          <w:bCs/>
          <w:color w:val="2C2C2C"/>
          <w:sz w:val="22"/>
          <w:szCs w:val="22"/>
          <w:u w:val="single"/>
        </w:rPr>
        <w:t xml:space="preserve">2.4 Proposed Start Date</w:t>
      </w:r>
    </w:p>
    <w:p>
      <w:pPr>
        <w:spacing w:after="100"/>
      </w:pPr>
      <w:r>
        <w:rPr>
          <w:rFonts w:ascii="Arial" w:cs="Arial" w:eastAsia="Arial" w:hAnsi="Arial"/>
          <w:color w:val="1A1A1A"/>
          <w:sz w:val="22"/>
          <w:szCs w:val="22"/>
        </w:rPr>
        <w:t xml:space="preserve">Upon IRB approval</w:t>
      </w:r>
    </w:p>
    <w:p>
      <w:pPr>
        <w:spacing w:after="100" w:before="200"/>
      </w:pPr>
      <w:r>
        <w:rPr>
          <w:rFonts w:ascii="Arial" w:cs="Arial" w:eastAsia="Arial" w:hAnsi="Arial"/>
          <w:b/>
          <w:bCs/>
          <w:color w:val="2C2C2C"/>
          <w:sz w:val="22"/>
          <w:szCs w:val="22"/>
          <w:u w:val="single"/>
        </w:rPr>
        <w:t xml:space="preserve">2.5 Proposed End Date</w:t>
      </w:r>
    </w:p>
    <w:p>
      <w:pPr>
        <w:spacing w:after="100"/>
      </w:pPr>
      <w:r>
        <w:rPr>
          <w:rFonts w:ascii="Arial" w:cs="Arial" w:eastAsia="Arial" w:hAnsi="Arial"/>
          <w:color w:val="1A1A1A"/>
          <w:sz w:val="22"/>
          <w:szCs w:val="22"/>
        </w:rPr>
        <w:t xml:space="preserve">December 31, 2026 (anticipated)</w:t>
      </w:r>
    </w:p>
    <w:p>
      <w:pPr>
        <w:spacing w:after="100" w:before="200"/>
      </w:pPr>
      <w:r>
        <w:rPr>
          <w:rFonts w:ascii="Arial" w:cs="Arial" w:eastAsia="Arial" w:hAnsi="Arial"/>
          <w:b/>
          <w:bCs/>
          <w:color w:val="2C2C2C"/>
          <w:sz w:val="22"/>
          <w:szCs w:val="22"/>
          <w:u w:val="single"/>
        </w:rPr>
        <w:t xml:space="preserve">2.6 Study Summary (250 words)</w:t>
      </w:r>
    </w:p>
    <w:p>
      <w:pPr>
        <w:spacing w:after="100"/>
      </w:pPr>
      <w:r>
        <w:rPr>
          <w:rFonts w:ascii="Arial" w:cs="Arial" w:eastAsia="Arial" w:hAnsi="Arial"/>
          <w:color w:val="1A1A1A"/>
          <w:sz w:val="22"/>
          <w:szCs w:val="22"/>
        </w:rPr>
        <w:t xml:space="preserve">This study conducts the first systematic measurement of the Mobile Financial Service (MFS) scam ecosystem in Bangladesh. Bangladesh has over 200 million registered MFS accounts (bKash, Nagad, Rocket) yet no peer-reviewed empirical study exists on scam prevalence, tactics, or NLP-based detection specific to this ecosystem.</w:t>
      </w:r>
    </w:p>
    <w:p>
      <w:pPr>
        <w:spacing w:after="80"/>
      </w:pPr>
      <w:r>
        <w:t xml:space="preserve"/>
      </w:r>
    </w:p>
    <w:p>
      <w:pPr>
        <w:spacing w:after="100"/>
      </w:pPr>
      <w:r>
        <w:rPr>
          <w:rFonts w:ascii="Arial" w:cs="Arial" w:eastAsia="Arial" w:hAnsi="Arial"/>
          <w:color w:val="1A1A1A"/>
          <w:sz w:val="22"/>
          <w:szCs w:val="22"/>
        </w:rPr>
        <w:t xml:space="preserve">The research employs a mixed-methods design across five data streams: (A) secondary analysis of publicly available SMS fraud datasets (Mendeley Data); (B) Google Play Store review analysis; (C) open-source phishing URL intelligence feeds; (D) public Telegram channel content; and (E) an online survey of adult MFS users. Streams A–D involve no human subjects and rely entirely on publicly available data. Only Stream E — the online survey — involves human subjects and is covered by this protocol.</w:t>
      </w:r>
    </w:p>
    <w:p>
      <w:pPr>
        <w:spacing w:after="80"/>
      </w:pPr>
      <w:r>
        <w:t xml:space="preserve"/>
      </w:r>
    </w:p>
    <w:p>
      <w:pPr>
        <w:spacing w:after="100"/>
      </w:pPr>
      <w:r>
        <w:rPr>
          <w:rFonts w:ascii="Arial" w:cs="Arial" w:eastAsia="Arial" w:hAnsi="Arial"/>
          <w:color w:val="1A1A1A"/>
          <w:sz w:val="22"/>
          <w:szCs w:val="22"/>
        </w:rPr>
        <w:t xml:space="preserve">The survey will recruit approximately 400 adult MFS users in Bangladesh via social media and diaspora networks. Participants will complete an anonymous online questionnaire (Google Forms, ~15 minutes) covering MFS usage patterns, scam exposure history, digital literacy, and susceptibility indicators. No sensitive personally identifiable information (PII) is collected. Results will be used to train NLP detection models and inform policy recommendations for Bangladesh Bank and MFS operators.</w:t>
      </w:r>
    </w:p>
    <w:p>
      <w:pPr>
        <w:spacing w:after="80"/>
      </w:pPr>
      <w:r>
        <w:t xml:space="preserve"/>
      </w:r>
    </w:p>
    <w:p>
      <w:pPr>
        <w:spacing w:after="100"/>
      </w:pPr>
      <w:r>
        <w:rPr>
          <w:rFonts w:ascii="Arial" w:cs="Arial" w:eastAsia="Arial" w:hAnsi="Arial"/>
          <w:color w:val="1A1A1A"/>
          <w:sz w:val="22"/>
          <w:szCs w:val="22"/>
        </w:rPr>
        <w:t xml:space="preserve">Risks are minimal: participation is voluntary, anonymous, and limited to completing an online questionnaire. The study qualifies for Exempt Review under 45 CFR 46.104(d)(2).</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3. EXEMPT REVIEW JUSTIFICATION</w:t>
      </w:r>
    </w:p>
    <w:p>
      <w:pPr>
        <w:spacing w:after="100" w:before="200"/>
      </w:pPr>
      <w:r>
        <w:rPr>
          <w:rFonts w:ascii="Arial" w:cs="Arial" w:eastAsia="Arial" w:hAnsi="Arial"/>
          <w:b/>
          <w:bCs/>
          <w:color w:val="2C2C2C"/>
          <w:sz w:val="22"/>
          <w:szCs w:val="22"/>
          <w:u w:val="single"/>
        </w:rPr>
        <w:t xml:space="preserve">3.1 Claimed Exemption Category</w:t>
      </w:r>
    </w:p>
    <w:p>
      <w:pPr>
        <w:shd w:fill="EDE7F6" w:val="clear"/>
        <w:spacing w:after="100"/>
      </w:pPr>
      <w:r>
        <w:rPr>
          <w:rFonts w:ascii="Arial" w:cs="Arial" w:eastAsia="Arial" w:hAnsi="Arial"/>
          <w:b/>
          <w:bCs/>
          <w:color w:val="1A1A1A"/>
          <w:sz w:val="22"/>
          <w:szCs w:val="22"/>
        </w:rPr>
        <w:t xml:space="preserve">Category 2 (45 CFR 46.104(d)(2)): </w:t>
      </w:r>
      <w:r>
        <w:rPr>
          <w:rFonts w:ascii="Arial" w:cs="Arial" w:eastAsia="Arial" w:hAnsi="Arial"/>
          <w:color w:val="1A1A1A"/>
          <w:sz w:val="22"/>
          <w:szCs w:val="22"/>
        </w:rPr>
        <w:t xml:space="preserve">Research that only includes interactions involving educational tests, survey procedures, interview procedures, or observation of public behavior — where (i) the information obtained is recorded by the investigator in such a manner that the identity of the subjects cannot readily be ascertained, directly or through identifiers linked to the subjects, and (ii) any disclosure of the responses outside of research could not reasonably place the subjects at risk.</w:t>
      </w:r>
    </w:p>
    <w:p>
      <w:pPr>
        <w:spacing w:after="80"/>
      </w:pPr>
      <w:r>
        <w:t xml:space="preserve"/>
      </w:r>
    </w:p>
    <w:p>
      <w:pPr>
        <w:spacing w:after="100" w:before="200"/>
      </w:pPr>
      <w:r>
        <w:rPr>
          <w:rFonts w:ascii="Arial" w:cs="Arial" w:eastAsia="Arial" w:hAnsi="Arial"/>
          <w:b/>
          <w:bCs/>
          <w:color w:val="2C2C2C"/>
          <w:sz w:val="22"/>
          <w:szCs w:val="22"/>
          <w:u w:val="single"/>
        </w:rPr>
        <w:t xml:space="preserve">3.2 Justification</w:t>
      </w:r>
    </w:p>
    <w:p>
      <w:pPr>
        <w:pStyle w:val="ListParagraph"/>
        <w:numPr>
          <w:ilvl w:val="0"/>
          <w:numId w:val="2"/>
        </w:numPr>
        <w:spacing w:after="80"/>
      </w:pPr>
      <w:r>
        <w:rPr>
          <w:rFonts w:ascii="Arial" w:cs="Arial" w:eastAsia="Arial" w:hAnsi="Arial"/>
          <w:color w:val="1A1A1A"/>
          <w:sz w:val="22"/>
          <w:szCs w:val="22"/>
        </w:rPr>
        <w:t xml:space="preserve">The human subjects component consists solely of an anonymous online survey.</w:t>
      </w:r>
    </w:p>
    <w:p>
      <w:pPr>
        <w:pStyle w:val="ListParagraph"/>
        <w:numPr>
          <w:ilvl w:val="0"/>
          <w:numId w:val="2"/>
        </w:numPr>
        <w:spacing w:after="80"/>
      </w:pPr>
      <w:r>
        <w:rPr>
          <w:rFonts w:ascii="Arial" w:cs="Arial" w:eastAsia="Arial" w:hAnsi="Arial"/>
          <w:color w:val="1A1A1A"/>
          <w:sz w:val="22"/>
          <w:szCs w:val="22"/>
        </w:rPr>
        <w:t xml:space="preserve">No names, contact details, NID numbers, financial account numbers, or IP addresses are collected.</w:t>
      </w:r>
    </w:p>
    <w:p>
      <w:pPr>
        <w:pStyle w:val="ListParagraph"/>
        <w:numPr>
          <w:ilvl w:val="0"/>
          <w:numId w:val="2"/>
        </w:numPr>
        <w:spacing w:after="80"/>
      </w:pPr>
      <w:r>
        <w:rPr>
          <w:rFonts w:ascii="Arial" w:cs="Arial" w:eastAsia="Arial" w:hAnsi="Arial"/>
          <w:color w:val="1A1A1A"/>
          <w:sz w:val="22"/>
          <w:szCs w:val="22"/>
        </w:rPr>
        <w:t xml:space="preserve">Survey responses cannot be linked to individual participants.</w:t>
      </w:r>
    </w:p>
    <w:p>
      <w:pPr>
        <w:pStyle w:val="ListParagraph"/>
        <w:numPr>
          <w:ilvl w:val="0"/>
          <w:numId w:val="2"/>
        </w:numPr>
        <w:spacing w:after="80"/>
      </w:pPr>
      <w:r>
        <w:rPr>
          <w:rFonts w:ascii="Arial" w:cs="Arial" w:eastAsia="Arial" w:hAnsi="Arial"/>
          <w:color w:val="1A1A1A"/>
          <w:sz w:val="22"/>
          <w:szCs w:val="22"/>
        </w:rPr>
        <w:t xml:space="preserve">Disclosure of aggregate results poses no risk of harm to participants.</w:t>
      </w:r>
    </w:p>
    <w:p>
      <w:pPr>
        <w:pStyle w:val="ListParagraph"/>
        <w:numPr>
          <w:ilvl w:val="0"/>
          <w:numId w:val="2"/>
        </w:numPr>
        <w:spacing w:after="80"/>
      </w:pPr>
      <w:r>
        <w:rPr>
          <w:rFonts w:ascii="Arial" w:cs="Arial" w:eastAsia="Arial" w:hAnsi="Arial"/>
          <w:color w:val="1A1A1A"/>
          <w:sz w:val="22"/>
          <w:szCs w:val="22"/>
        </w:rPr>
        <w:t xml:space="preserve">Participants are adults (18+) with full capacity to consent.</w:t>
      </w:r>
    </w:p>
    <w:p>
      <w:pPr>
        <w:pStyle w:val="ListParagraph"/>
        <w:numPr>
          <w:ilvl w:val="0"/>
          <w:numId w:val="2"/>
        </w:numPr>
        <w:spacing w:after="80"/>
      </w:pPr>
      <w:r>
        <w:rPr>
          <w:rFonts w:ascii="Arial" w:cs="Arial" w:eastAsia="Arial" w:hAnsi="Arial"/>
          <w:color w:val="1A1A1A"/>
          <w:sz w:val="22"/>
          <w:szCs w:val="22"/>
        </w:rPr>
        <w:t xml:space="preserve">No vulnerable populations (prisoners, children, pregnant women, cognitively impaired individuals) are included.</w:t>
      </w:r>
    </w:p>
    <w:p>
      <w:pPr>
        <w:pStyle w:val="ListParagraph"/>
        <w:numPr>
          <w:ilvl w:val="0"/>
          <w:numId w:val="2"/>
        </w:numPr>
        <w:spacing w:after="80"/>
      </w:pPr>
      <w:r>
        <w:rPr>
          <w:rFonts w:ascii="Arial" w:cs="Arial" w:eastAsia="Arial" w:hAnsi="Arial"/>
          <w:color w:val="1A1A1A"/>
          <w:sz w:val="22"/>
          <w:szCs w:val="22"/>
        </w:rPr>
        <w:t xml:space="preserve">No deception is used; full study purpose is disclosed in the consent statement.</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4. RESEARCH DESIGN AND METHODS</w:t>
      </w:r>
    </w:p>
    <w:p>
      <w:pPr>
        <w:spacing w:after="100" w:before="200"/>
      </w:pPr>
      <w:r>
        <w:rPr>
          <w:rFonts w:ascii="Arial" w:cs="Arial" w:eastAsia="Arial" w:hAnsi="Arial"/>
          <w:b/>
          <w:bCs/>
          <w:color w:val="2C2C2C"/>
          <w:sz w:val="22"/>
          <w:szCs w:val="22"/>
          <w:u w:val="single"/>
        </w:rPr>
        <w:t xml:space="preserve">4.1 Human Subjects Component (Survey — Stream E)</w:t>
      </w:r>
    </w:p>
    <w:p>
      <w:pPr>
        <w:spacing w:after="100"/>
      </w:pPr>
      <w:r>
        <w:rPr>
          <w:rFonts w:ascii="Arial" w:cs="Arial" w:eastAsia="Arial" w:hAnsi="Arial"/>
          <w:b/>
          <w:bCs/>
          <w:color w:val="1A1A1A"/>
          <w:sz w:val="22"/>
          <w:szCs w:val="22"/>
        </w:rPr>
        <w:t xml:space="preserve">Study Design:</w:t>
      </w:r>
    </w:p>
    <w:p>
      <w:pPr>
        <w:spacing w:after="100"/>
      </w:pPr>
      <w:r>
        <w:rPr>
          <w:rFonts w:ascii="Arial" w:cs="Arial" w:eastAsia="Arial" w:hAnsi="Arial"/>
          <w:color w:val="1A1A1A"/>
          <w:sz w:val="22"/>
          <w:szCs w:val="22"/>
        </w:rPr>
        <w:t xml:space="preserve">Cross-sectional online survey using a structured questionnaire instrument.</w:t>
      </w:r>
    </w:p>
    <w:p>
      <w:pPr>
        <w:spacing w:after="80"/>
      </w:pPr>
      <w:r>
        <w:t xml:space="preserve"/>
      </w:r>
    </w:p>
    <w:p>
      <w:pPr>
        <w:spacing w:after="100"/>
      </w:pPr>
      <w:r>
        <w:rPr>
          <w:rFonts w:ascii="Arial" w:cs="Arial" w:eastAsia="Arial" w:hAnsi="Arial"/>
          <w:b/>
          <w:bCs/>
          <w:color w:val="1A1A1A"/>
          <w:sz w:val="22"/>
          <w:szCs w:val="22"/>
        </w:rPr>
        <w:t xml:space="preserve">Target Population:</w:t>
      </w:r>
    </w:p>
    <w:p>
      <w:pPr>
        <w:pStyle w:val="ListParagraph"/>
        <w:numPr>
          <w:ilvl w:val="0"/>
          <w:numId w:val="2"/>
        </w:numPr>
        <w:spacing w:after="80"/>
      </w:pPr>
      <w:r>
        <w:rPr>
          <w:rFonts w:ascii="Arial" w:cs="Arial" w:eastAsia="Arial" w:hAnsi="Arial"/>
          <w:color w:val="1A1A1A"/>
          <w:sz w:val="22"/>
          <w:szCs w:val="22"/>
        </w:rPr>
        <w:t xml:space="preserve">Adults aged 18 years or older</w:t>
      </w:r>
    </w:p>
    <w:p>
      <w:pPr>
        <w:pStyle w:val="ListParagraph"/>
        <w:numPr>
          <w:ilvl w:val="0"/>
          <w:numId w:val="2"/>
        </w:numPr>
        <w:spacing w:after="80"/>
      </w:pPr>
      <w:r>
        <w:rPr>
          <w:rFonts w:ascii="Arial" w:cs="Arial" w:eastAsia="Arial" w:hAnsi="Arial"/>
          <w:color w:val="1A1A1A"/>
          <w:sz w:val="22"/>
          <w:szCs w:val="22"/>
        </w:rPr>
        <w:t xml:space="preserve">Current active users of at least one Bangladesh MFS platform (bKash, Nagad, or Rocket)</w:t>
      </w:r>
    </w:p>
    <w:p>
      <w:pPr>
        <w:pStyle w:val="ListParagraph"/>
        <w:numPr>
          <w:ilvl w:val="0"/>
          <w:numId w:val="2"/>
        </w:numPr>
        <w:spacing w:after="80"/>
      </w:pPr>
      <w:r>
        <w:rPr>
          <w:rFonts w:ascii="Arial" w:cs="Arial" w:eastAsia="Arial" w:hAnsi="Arial"/>
          <w:color w:val="1A1A1A"/>
          <w:sz w:val="22"/>
          <w:szCs w:val="22"/>
        </w:rPr>
        <w:t xml:space="preserve">Residents of Bangladesh OR Bangladeshi diaspora with MFS account experience</w:t>
      </w:r>
    </w:p>
    <w:p>
      <w:pPr>
        <w:spacing w:after="80"/>
      </w:pPr>
      <w:r>
        <w:t xml:space="preserve"/>
      </w:r>
    </w:p>
    <w:p>
      <w:pPr>
        <w:spacing w:after="100"/>
      </w:pPr>
      <w:r>
        <w:rPr>
          <w:rFonts w:ascii="Arial" w:cs="Arial" w:eastAsia="Arial" w:hAnsi="Arial"/>
          <w:b/>
          <w:bCs/>
          <w:color w:val="1A1A1A"/>
          <w:sz w:val="22"/>
          <w:szCs w:val="22"/>
        </w:rPr>
        <w:t xml:space="preserve">Sample Size:</w:t>
      </w:r>
    </w:p>
    <w:p>
      <w:pPr>
        <w:spacing w:after="100"/>
      </w:pPr>
      <w:r>
        <w:rPr>
          <w:rFonts w:ascii="Arial" w:cs="Arial" w:eastAsia="Arial" w:hAnsi="Arial"/>
          <w:color w:val="1A1A1A"/>
          <w:sz w:val="22"/>
          <w:szCs w:val="22"/>
        </w:rPr>
        <w:t xml:space="preserve">Target N = 400 complete responses. Minimum N = 109 (G*Power 3.1: linear multiple regression, f² = 0.15, alpha = 0.05, power = 0.80, 5 predictors). Oversample to 400 to account for attrition and to enable subgroup analysis by platform.</w:t>
      </w:r>
    </w:p>
    <w:p>
      <w:pPr>
        <w:spacing w:after="80"/>
      </w:pPr>
      <w:r>
        <w:t xml:space="preserve"/>
      </w:r>
    </w:p>
    <w:p>
      <w:pPr>
        <w:spacing w:after="100"/>
      </w:pPr>
      <w:r>
        <w:rPr>
          <w:rFonts w:ascii="Arial" w:cs="Arial" w:eastAsia="Arial" w:hAnsi="Arial"/>
          <w:b/>
          <w:bCs/>
          <w:color w:val="1A1A1A"/>
          <w:sz w:val="22"/>
          <w:szCs w:val="22"/>
        </w:rPr>
        <w:t xml:space="preserve">Recruitment:</w:t>
      </w:r>
    </w:p>
    <w:p>
      <w:pPr>
        <w:pStyle w:val="ListParagraph"/>
        <w:numPr>
          <w:ilvl w:val="0"/>
          <w:numId w:val="2"/>
        </w:numPr>
        <w:spacing w:after="80"/>
      </w:pPr>
      <w:r>
        <w:rPr>
          <w:rFonts w:ascii="Arial" w:cs="Arial" w:eastAsia="Arial" w:hAnsi="Arial"/>
          <w:color w:val="1A1A1A"/>
          <w:sz w:val="22"/>
          <w:szCs w:val="22"/>
        </w:rPr>
        <w:t xml:space="preserve">Purposive snowball sampling via Facebook groups, WhatsApp networks, and university email lists</w:t>
      </w:r>
    </w:p>
    <w:p>
      <w:pPr>
        <w:pStyle w:val="ListParagraph"/>
        <w:numPr>
          <w:ilvl w:val="0"/>
          <w:numId w:val="2"/>
        </w:numPr>
        <w:spacing w:after="80"/>
      </w:pPr>
      <w:r>
        <w:rPr>
          <w:rFonts w:ascii="Arial" w:cs="Arial" w:eastAsia="Arial" w:hAnsi="Arial"/>
          <w:color w:val="1A1A1A"/>
          <w:sz w:val="22"/>
          <w:szCs w:val="22"/>
        </w:rPr>
        <w:t xml:space="preserve">Diaspora recruitment via Bangladeshi community networks in the US</w:t>
      </w:r>
    </w:p>
    <w:p>
      <w:pPr>
        <w:pStyle w:val="ListParagraph"/>
        <w:numPr>
          <w:ilvl w:val="0"/>
          <w:numId w:val="2"/>
        </w:numPr>
        <w:spacing w:after="80"/>
      </w:pPr>
      <w:r>
        <w:rPr>
          <w:rFonts w:ascii="Arial" w:cs="Arial" w:eastAsia="Arial" w:hAnsi="Arial"/>
          <w:color w:val="1A1A1A"/>
          <w:sz w:val="22"/>
          <w:szCs w:val="22"/>
        </w:rPr>
        <w:t xml:space="preserve">No monetary incentive or coercion</w:t>
      </w:r>
    </w:p>
    <w:p>
      <w:pPr>
        <w:spacing w:after="80"/>
      </w:pPr>
      <w:r>
        <w:t xml:space="preserve"/>
      </w:r>
    </w:p>
    <w:p>
      <w:pPr>
        <w:spacing w:after="100"/>
      </w:pPr>
      <w:r>
        <w:rPr>
          <w:rFonts w:ascii="Arial" w:cs="Arial" w:eastAsia="Arial" w:hAnsi="Arial"/>
          <w:b/>
          <w:bCs/>
          <w:color w:val="1A1A1A"/>
          <w:sz w:val="22"/>
          <w:szCs w:val="22"/>
        </w:rPr>
        <w:t xml:space="preserve">Survey Instrument — 7 Sections:</w:t>
      </w:r>
    </w:p>
    <w:p>
      <w:pPr>
        <w:pStyle w:val="ListParagraph"/>
        <w:numPr>
          <w:ilvl w:val="0"/>
          <w:numId w:val="3"/>
        </w:numPr>
        <w:spacing w:after="80"/>
      </w:pPr>
      <w:r>
        <w:rPr>
          <w:rFonts w:ascii="Arial" w:cs="Arial" w:eastAsia="Arial" w:hAnsi="Arial"/>
          <w:color w:val="1A1A1A"/>
          <w:sz w:val="22"/>
          <w:szCs w:val="22"/>
        </w:rPr>
        <w:t xml:space="preserve">Demographics — age range, gender, education, occupation (no names)</w:t>
      </w:r>
    </w:p>
    <w:p>
      <w:pPr>
        <w:pStyle w:val="ListParagraph"/>
        <w:numPr>
          <w:ilvl w:val="0"/>
          <w:numId w:val="3"/>
        </w:numPr>
        <w:spacing w:after="80"/>
      </w:pPr>
      <w:r>
        <w:rPr>
          <w:rFonts w:ascii="Arial" w:cs="Arial" w:eastAsia="Arial" w:hAnsi="Arial"/>
          <w:color w:val="1A1A1A"/>
          <w:sz w:val="22"/>
          <w:szCs w:val="22"/>
        </w:rPr>
        <w:t xml:space="preserve">MFS Usage — platforms used, frequency, transaction types</w:t>
      </w:r>
    </w:p>
    <w:p>
      <w:pPr>
        <w:pStyle w:val="ListParagraph"/>
        <w:numPr>
          <w:ilvl w:val="0"/>
          <w:numId w:val="3"/>
        </w:numPr>
        <w:spacing w:after="80"/>
      </w:pPr>
      <w:r>
        <w:rPr>
          <w:rFonts w:ascii="Arial" w:cs="Arial" w:eastAsia="Arial" w:hAnsi="Arial"/>
          <w:color w:val="1A1A1A"/>
          <w:sz w:val="22"/>
          <w:szCs w:val="22"/>
        </w:rPr>
        <w:t xml:space="preserve">Scam Exposure — type of scam contact encountered (if any), outcome</w:t>
      </w:r>
    </w:p>
    <w:p>
      <w:pPr>
        <w:pStyle w:val="ListParagraph"/>
        <w:numPr>
          <w:ilvl w:val="0"/>
          <w:numId w:val="3"/>
        </w:numPr>
        <w:spacing w:after="80"/>
      </w:pPr>
      <w:r>
        <w:rPr>
          <w:rFonts w:ascii="Arial" w:cs="Arial" w:eastAsia="Arial" w:hAnsi="Arial"/>
          <w:color w:val="1A1A1A"/>
          <w:sz w:val="22"/>
          <w:szCs w:val="22"/>
        </w:rPr>
        <w:t xml:space="preserve">Digital Literacy — self-assessed and objective knowledge questions</w:t>
      </w:r>
    </w:p>
    <w:p>
      <w:pPr>
        <w:pStyle w:val="ListParagraph"/>
        <w:numPr>
          <w:ilvl w:val="0"/>
          <w:numId w:val="3"/>
        </w:numPr>
        <w:spacing w:after="80"/>
      </w:pPr>
      <w:r>
        <w:rPr>
          <w:rFonts w:ascii="Arial" w:cs="Arial" w:eastAsia="Arial" w:hAnsi="Arial"/>
          <w:color w:val="1A1A1A"/>
          <w:sz w:val="22"/>
          <w:szCs w:val="22"/>
        </w:rPr>
        <w:t xml:space="preserve">Security Behavior — actual security practices (PIN management, OTP handling)</w:t>
      </w:r>
    </w:p>
    <w:p>
      <w:pPr>
        <w:pStyle w:val="ListParagraph"/>
        <w:numPr>
          <w:ilvl w:val="0"/>
          <w:numId w:val="3"/>
        </w:numPr>
        <w:spacing w:after="80"/>
      </w:pPr>
      <w:r>
        <w:rPr>
          <w:rFonts w:ascii="Arial" w:cs="Arial" w:eastAsia="Arial" w:hAnsi="Arial"/>
          <w:color w:val="1A1A1A"/>
          <w:sz w:val="22"/>
          <w:szCs w:val="22"/>
        </w:rPr>
        <w:t xml:space="preserve">Susceptibility Indicators — phishing awareness test items</w:t>
      </w:r>
    </w:p>
    <w:p>
      <w:pPr>
        <w:pStyle w:val="ListParagraph"/>
        <w:numPr>
          <w:ilvl w:val="0"/>
          <w:numId w:val="3"/>
        </w:numPr>
        <w:spacing w:after="80"/>
      </w:pPr>
      <w:r>
        <w:rPr>
          <w:rFonts w:ascii="Arial" w:cs="Arial" w:eastAsia="Arial" w:hAnsi="Arial"/>
          <w:color w:val="1A1A1A"/>
          <w:sz w:val="22"/>
          <w:szCs w:val="22"/>
        </w:rPr>
        <w:t xml:space="preserve">Recommendations — user perceptions of platform security</w:t>
      </w:r>
    </w:p>
    <w:p>
      <w:pPr>
        <w:spacing w:after="80"/>
      </w:pPr>
      <w:r>
        <w:t xml:space="preserve"/>
      </w:r>
    </w:p>
    <w:p>
      <w:pPr>
        <w:spacing w:after="100"/>
      </w:pPr>
      <w:r>
        <w:rPr>
          <w:rFonts w:ascii="Arial" w:cs="Arial" w:eastAsia="Arial" w:hAnsi="Arial"/>
          <w:b/>
          <w:bCs/>
          <w:color w:val="1A1A1A"/>
          <w:sz w:val="22"/>
          <w:szCs w:val="22"/>
        </w:rPr>
        <w:t xml:space="preserve">Duration:</w:t>
      </w:r>
    </w:p>
    <w:p>
      <w:pPr>
        <w:spacing w:after="100"/>
      </w:pPr>
      <w:r>
        <w:rPr>
          <w:rFonts w:ascii="Arial" w:cs="Arial" w:eastAsia="Arial" w:hAnsi="Arial"/>
          <w:color w:val="1A1A1A"/>
          <w:sz w:val="22"/>
          <w:szCs w:val="22"/>
        </w:rPr>
        <w:t xml:space="preserve">Approximately 12–15 minutes per respondent.</w:t>
      </w:r>
    </w:p>
    <w:p>
      <w:pPr>
        <w:spacing w:after="80"/>
      </w:pPr>
      <w:r>
        <w:t xml:space="preserve"/>
      </w:r>
    </w:p>
    <w:p>
      <w:pPr>
        <w:spacing w:after="100"/>
      </w:pPr>
      <w:r>
        <w:rPr>
          <w:rFonts w:ascii="Arial" w:cs="Arial" w:eastAsia="Arial" w:hAnsi="Arial"/>
          <w:b/>
          <w:bCs/>
          <w:color w:val="1A1A1A"/>
          <w:sz w:val="22"/>
          <w:szCs w:val="22"/>
        </w:rPr>
        <w:t xml:space="preserve">Platform:</w:t>
      </w:r>
    </w:p>
    <w:p>
      <w:pPr>
        <w:spacing w:after="100"/>
      </w:pPr>
      <w:r>
        <w:rPr>
          <w:rFonts w:ascii="Arial" w:cs="Arial" w:eastAsia="Arial" w:hAnsi="Arial"/>
          <w:color w:val="1A1A1A"/>
          <w:sz w:val="22"/>
          <w:szCs w:val="22"/>
        </w:rPr>
        <w:t xml:space="preserve">Google Forms — anonymous, no Google account required to complete, IP logging disabled.</w:t>
      </w:r>
    </w:p>
    <w:p>
      <w:pPr>
        <w:spacing w:after="80"/>
      </w:pPr>
      <w:r>
        <w:t xml:space="preserve"/>
      </w:r>
    </w:p>
    <w:p>
      <w:pPr>
        <w:spacing w:after="100" w:before="200"/>
      </w:pPr>
      <w:r>
        <w:rPr>
          <w:rFonts w:ascii="Arial" w:cs="Arial" w:eastAsia="Arial" w:hAnsi="Arial"/>
          <w:b/>
          <w:bCs/>
          <w:color w:val="2C2C2C"/>
          <w:sz w:val="22"/>
          <w:szCs w:val="22"/>
          <w:u w:val="single"/>
        </w:rPr>
        <w:t xml:space="preserve">4.2 Non-Human Subjects Components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Stream</w:t>
            </w:r>
          </w:p>
        </w:tc>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Data Source</w:t>
            </w:r>
          </w:p>
        </w:tc>
        <w:tc>
          <w:tcPr>
            <w:tcW w:type="dxa" w:w="456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IRB Status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A</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Mendeley published datasets (DOI: 10.17632/znsk27yk3h.1)</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Not human subjects — publicly available secondary data</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B</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Google Play Store app reviews (public API)</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Not human subjects — publicly available data</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C</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Open threat intelligence feeds (OpenPhish, URLhaus)</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Not human subjects — publicly available data</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D</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Public Telegram channels (t.me/s/channel)</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Not human subjects — publicly posted content</w:t>
            </w:r>
          </w:p>
        </w:tc>
      </w:tr>
    </w:tbl>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5. RISK ASSESSMENT</w:t>
      </w:r>
    </w:p>
    <w:p>
      <w:pPr>
        <w:spacing w:after="100" w:before="200"/>
      </w:pPr>
      <w:r>
        <w:rPr>
          <w:rFonts w:ascii="Arial" w:cs="Arial" w:eastAsia="Arial" w:hAnsi="Arial"/>
          <w:b/>
          <w:bCs/>
          <w:color w:val="2C2C2C"/>
          <w:sz w:val="22"/>
          <w:szCs w:val="22"/>
          <w:u w:val="single"/>
        </w:rPr>
        <w:t xml:space="preserve">5.1 Potential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Risk Type</w:t>
            </w:r>
          </w:p>
        </w:tc>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Likelihood / Severity</w:t>
            </w:r>
          </w:p>
        </w:tc>
        <w:tc>
          <w:tcPr>
            <w:tcW w:type="dxa" w:w="386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Mitigation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Physical harm</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None</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N/A — online survey only</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Psychological discomfort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Minimal — questions about past scam victimisation may cause mild distress</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All sensitive questions are optional (skip logic). Debriefing statement provided at survey end.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Breach of confidentiality</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Minimal — no PII collected; anonymous by design</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No names/IDs collected. Google Forms IP logging disabled. Aggregate-only reporting.</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Economic harm</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None</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No financial information collected beyond general usage patterns.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Coercion / undue influence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None</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No monetary incentive. Voluntary participation clearly stated.</w:t>
            </w:r>
          </w:p>
        </w:tc>
      </w:tr>
    </w:tbl>
    <w:p>
      <w:pPr>
        <w:spacing w:after="80"/>
      </w:pPr>
      <w:r>
        <w:t xml:space="preserve"/>
      </w:r>
    </w:p>
    <w:p>
      <w:pPr>
        <w:spacing w:after="100" w:before="200"/>
      </w:pPr>
      <w:r>
        <w:rPr>
          <w:rFonts w:ascii="Arial" w:cs="Arial" w:eastAsia="Arial" w:hAnsi="Arial"/>
          <w:b/>
          <w:bCs/>
          <w:color w:val="2C2C2C"/>
          <w:sz w:val="22"/>
          <w:szCs w:val="22"/>
          <w:u w:val="single"/>
        </w:rPr>
        <w:t xml:space="preserve">5.2 Overall Risk Determination</w:t>
      </w:r>
    </w:p>
    <w:p>
      <w:pPr>
        <w:shd w:fill="E8F5E9" w:val="clear"/>
        <w:spacing w:after="100"/>
      </w:pPr>
      <w:r>
        <w:rPr>
          <w:rFonts w:ascii="Arial" w:cs="Arial" w:eastAsia="Arial" w:hAnsi="Arial"/>
          <w:b/>
          <w:bCs/>
          <w:color w:val="1A1A1A"/>
          <w:sz w:val="22"/>
          <w:szCs w:val="22"/>
        </w:rPr>
        <w:t xml:space="preserve">MINIMAL RISK — </w:t>
      </w:r>
      <w:r>
        <w:rPr>
          <w:rFonts w:ascii="Arial" w:cs="Arial" w:eastAsia="Arial" w:hAnsi="Arial"/>
          <w:color w:val="1A1A1A"/>
          <w:sz w:val="22"/>
          <w:szCs w:val="22"/>
        </w:rPr>
        <w:t xml:space="preserve">The probability and magnitude of harm or discomfort anticipated in the research are not greater in and of themselves than those ordinarily encountered in daily life or during the performance of routine physical or psychological examinations or tests. (45 CFR 46.102(j))</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6. INFORMED CONSENT</w:t>
      </w:r>
    </w:p>
    <w:p>
      <w:pPr>
        <w:spacing w:after="100" w:before="200"/>
      </w:pPr>
      <w:r>
        <w:rPr>
          <w:rFonts w:ascii="Arial" w:cs="Arial" w:eastAsia="Arial" w:hAnsi="Arial"/>
          <w:b/>
          <w:bCs/>
          <w:color w:val="2C2C2C"/>
          <w:sz w:val="22"/>
          <w:szCs w:val="22"/>
          <w:u w:val="single"/>
        </w:rPr>
        <w:t xml:space="preserve">6.1 Consent Procedure</w:t>
      </w:r>
    </w:p>
    <w:p>
      <w:pPr>
        <w:spacing w:after="100"/>
      </w:pPr>
      <w:r>
        <w:rPr>
          <w:rFonts w:ascii="Arial" w:cs="Arial" w:eastAsia="Arial" w:hAnsi="Arial"/>
          <w:color w:val="1A1A1A"/>
          <w:sz w:val="22"/>
          <w:szCs w:val="22"/>
        </w:rPr>
        <w:t xml:space="preserve">An informed consent statement (see Attachment B: Consent Form) will be displayed on the first page of the Google Form. Participants must check a required checkbox acknowledging they have read and understood the statement before any survey questions appear. The form cannot be submitted without this acknowledgement.</w:t>
      </w:r>
    </w:p>
    <w:p>
      <w:pPr>
        <w:spacing w:after="100" w:before="200"/>
      </w:pPr>
      <w:r>
        <w:rPr>
          <w:rFonts w:ascii="Arial" w:cs="Arial" w:eastAsia="Arial" w:hAnsi="Arial"/>
          <w:b/>
          <w:bCs/>
          <w:color w:val="2C2C2C"/>
          <w:sz w:val="22"/>
          <w:szCs w:val="22"/>
          <w:u w:val="single"/>
        </w:rPr>
        <w:t xml:space="preserve">6.2 Waiver of Written Signature</w:t>
      </w:r>
    </w:p>
    <w:p>
      <w:pPr>
        <w:spacing w:after="100"/>
      </w:pPr>
      <w:r>
        <w:rPr>
          <w:rFonts w:ascii="Arial" w:cs="Arial" w:eastAsia="Arial" w:hAnsi="Arial"/>
          <w:color w:val="1A1A1A"/>
          <w:sz w:val="22"/>
          <w:szCs w:val="22"/>
        </w:rPr>
        <w:t xml:space="preserve">The researchers request a waiver of the requirement to obtain a signed consent form under 45 CFR 46.117(c)(1):</w:t>
      </w:r>
    </w:p>
    <w:p>
      <w:pPr>
        <w:pStyle w:val="ListParagraph"/>
        <w:numPr>
          <w:ilvl w:val="0"/>
          <w:numId w:val="2"/>
        </w:numPr>
        <w:spacing w:after="80"/>
      </w:pPr>
      <w:r>
        <w:rPr>
          <w:rFonts w:ascii="Arial" w:cs="Arial" w:eastAsia="Arial" w:hAnsi="Arial"/>
          <w:color w:val="1A1A1A"/>
          <w:sz w:val="22"/>
          <w:szCs w:val="22"/>
        </w:rPr>
        <w:t xml:space="preserve">The research presents no more than minimal risk to subjects.</w:t>
      </w:r>
    </w:p>
    <w:p>
      <w:pPr>
        <w:pStyle w:val="ListParagraph"/>
        <w:numPr>
          <w:ilvl w:val="0"/>
          <w:numId w:val="2"/>
        </w:numPr>
        <w:spacing w:after="80"/>
      </w:pPr>
      <w:r>
        <w:rPr>
          <w:rFonts w:ascii="Arial" w:cs="Arial" w:eastAsia="Arial" w:hAnsi="Arial"/>
          <w:color w:val="1A1A1A"/>
          <w:sz w:val="22"/>
          <w:szCs w:val="22"/>
        </w:rPr>
        <w:t xml:space="preserve">A signed form would be the only record linking the subject to the research, which given the sensitive nature of scam victimisation, would pose a greater risk than the research itself.</w:t>
      </w:r>
    </w:p>
    <w:p>
      <w:pPr>
        <w:pStyle w:val="ListParagraph"/>
        <w:numPr>
          <w:ilvl w:val="0"/>
          <w:numId w:val="2"/>
        </w:numPr>
        <w:spacing w:after="80"/>
      </w:pPr>
      <w:r>
        <w:rPr>
          <w:rFonts w:ascii="Arial" w:cs="Arial" w:eastAsia="Arial" w:hAnsi="Arial"/>
          <w:color w:val="1A1A1A"/>
          <w:sz w:val="22"/>
          <w:szCs w:val="22"/>
        </w:rPr>
        <w:t xml:space="preserve">Electronic checkbox consent is consistent with the anonymous, online nature of the study.</w:t>
      </w:r>
    </w:p>
    <w:p>
      <w:pPr>
        <w:spacing w:after="100" w:before="200"/>
      </w:pPr>
      <w:r>
        <w:rPr>
          <w:rFonts w:ascii="Arial" w:cs="Arial" w:eastAsia="Arial" w:hAnsi="Arial"/>
          <w:b/>
          <w:bCs/>
          <w:color w:val="2C2C2C"/>
          <w:sz w:val="22"/>
          <w:szCs w:val="22"/>
          <w:u w:val="single"/>
        </w:rPr>
        <w:t xml:space="preserve">6.3 Non-English Participants</w:t>
      </w:r>
    </w:p>
    <w:p>
      <w:pPr>
        <w:spacing w:after="100"/>
      </w:pPr>
      <w:r>
        <w:rPr>
          <w:rFonts w:ascii="Arial" w:cs="Arial" w:eastAsia="Arial" w:hAnsi="Arial"/>
          <w:color w:val="1A1A1A"/>
          <w:sz w:val="22"/>
          <w:szCs w:val="22"/>
        </w:rPr>
        <w:t xml:space="preserve">The consent statement and survey will be available in both English and Bangla. The Bangla translation will be reviewed by a native Bangla speaker before deployment.</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7. PRIVACY AND CONFIDENTIALITY</w:t>
      </w:r>
    </w:p>
    <w:p>
      <w:pPr>
        <w:pStyle w:val="ListParagraph"/>
        <w:numPr>
          <w:ilvl w:val="0"/>
          <w:numId w:val="2"/>
        </w:numPr>
        <w:spacing w:after="80"/>
      </w:pPr>
      <w:r>
        <w:rPr>
          <w:rFonts w:ascii="Arial" w:cs="Arial" w:eastAsia="Arial" w:hAnsi="Arial"/>
          <w:color w:val="1A1A1A"/>
          <w:sz w:val="22"/>
          <w:szCs w:val="22"/>
        </w:rPr>
        <w:t xml:space="preserve">No names, email addresses, phone numbers, NID numbers, or financial account numbers are collected.</w:t>
      </w:r>
    </w:p>
    <w:p>
      <w:pPr>
        <w:pStyle w:val="ListParagraph"/>
        <w:numPr>
          <w:ilvl w:val="0"/>
          <w:numId w:val="2"/>
        </w:numPr>
        <w:spacing w:after="80"/>
      </w:pPr>
      <w:r>
        <w:rPr>
          <w:rFonts w:ascii="Arial" w:cs="Arial" w:eastAsia="Arial" w:hAnsi="Arial"/>
          <w:color w:val="1A1A1A"/>
          <w:sz w:val="22"/>
          <w:szCs w:val="22"/>
        </w:rPr>
        <w:t xml:space="preserve">No IP addresses are recorded (Google Forms anonymous mode).</w:t>
      </w:r>
    </w:p>
    <w:p>
      <w:pPr>
        <w:pStyle w:val="ListParagraph"/>
        <w:numPr>
          <w:ilvl w:val="0"/>
          <w:numId w:val="2"/>
        </w:numPr>
        <w:spacing w:after="80"/>
      </w:pPr>
      <w:r>
        <w:rPr>
          <w:rFonts w:ascii="Arial" w:cs="Arial" w:eastAsia="Arial" w:hAnsi="Arial"/>
          <w:color w:val="1A1A1A"/>
          <w:sz w:val="22"/>
          <w:szCs w:val="22"/>
        </w:rPr>
        <w:t xml:space="preserve">Survey data is stored in a password-protected Google Forms account accessible only to the PI and co-investigator.</w:t>
      </w:r>
    </w:p>
    <w:p>
      <w:pPr>
        <w:pStyle w:val="ListParagraph"/>
        <w:numPr>
          <w:ilvl w:val="0"/>
          <w:numId w:val="2"/>
        </w:numPr>
        <w:spacing w:after="80"/>
      </w:pPr>
      <w:r>
        <w:rPr>
          <w:rFonts w:ascii="Arial" w:cs="Arial" w:eastAsia="Arial" w:hAnsi="Arial"/>
          <w:color w:val="1A1A1A"/>
          <w:sz w:val="22"/>
          <w:szCs w:val="22"/>
        </w:rPr>
        <w:t xml:space="preserve">Research data on local and institutional systems is stored with encryption.</w:t>
      </w:r>
    </w:p>
    <w:p>
      <w:pPr>
        <w:pStyle w:val="ListParagraph"/>
        <w:numPr>
          <w:ilvl w:val="0"/>
          <w:numId w:val="2"/>
        </w:numPr>
        <w:spacing w:after="80"/>
      </w:pPr>
      <w:r>
        <w:rPr>
          <w:rFonts w:ascii="Arial" w:cs="Arial" w:eastAsia="Arial" w:hAnsi="Arial"/>
          <w:color w:val="1A1A1A"/>
          <w:sz w:val="22"/>
          <w:szCs w:val="22"/>
        </w:rPr>
        <w:t xml:space="preserve">Results will be reported only as group-level statistics. No individual responses will be published.</w:t>
      </w:r>
    </w:p>
    <w:p>
      <w:pPr>
        <w:pStyle w:val="ListParagraph"/>
        <w:numPr>
          <w:ilvl w:val="0"/>
          <w:numId w:val="2"/>
        </w:numPr>
        <w:spacing w:after="80"/>
      </w:pPr>
      <w:r>
        <w:rPr>
          <w:rFonts w:ascii="Arial" w:cs="Arial" w:eastAsia="Arial" w:hAnsi="Arial"/>
          <w:color w:val="1A1A1A"/>
          <w:sz w:val="22"/>
          <w:szCs w:val="22"/>
        </w:rPr>
        <w:t xml:space="preserve">Survey data will be deleted 5 years after publication of the research, per LSU record retention policy.</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8. CITI TRAINING CERTIFICATION</w:t>
      </w:r>
    </w:p>
    <w:p>
      <w:pPr>
        <w:spacing w:after="100"/>
      </w:pPr>
      <w:r>
        <w:rPr>
          <w:rFonts w:ascii="Arial" w:cs="Arial" w:eastAsia="Arial" w:hAnsi="Arial"/>
          <w:color w:val="1A1A1A"/>
          <w:sz w:val="22"/>
          <w:szCs w:val="22"/>
        </w:rPr>
        <w:t xml:space="preserve">All personnel involved in human subjects research have completed or will complete required CITI Program training prior to data collection: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Name</w:t>
            </w:r>
          </w:p>
        </w:tc>
        <w:tc>
          <w:tcPr>
            <w:tcW w:type="dxa" w:w="30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CITI Course</w:t>
            </w:r>
          </w:p>
        </w:tc>
        <w:tc>
          <w:tcPr>
            <w:tcW w:type="dxa" w:w="336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1A1A1A"/>
                <w:sz w:val="22"/>
                <w:szCs w:val="22"/>
              </w:rPr>
              <w:t xml:space="preserve">Expiry Date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___________________ (PI)</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Social &amp; Behavioral Research</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___________________</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Md. Saidur Rahman (Co-I)</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Social &amp; Behavioral Research</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1A1A1A"/>
                <w:sz w:val="22"/>
                <w:szCs w:val="22"/>
              </w:rPr>
              <w:t xml:space="preserve">___________________</w:t>
            </w:r>
          </w:p>
        </w:tc>
      </w:tr>
    </w:tbl>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9. ATTACHMENTS CHECKLIST</w:t>
      </w:r>
    </w:p>
    <w:p>
      <w:pPr>
        <w:spacing w:after="80"/>
      </w:pPr>
      <w:r>
        <w:rPr>
          <w:rFonts w:ascii="Arial" w:cs="Arial" w:eastAsia="Arial" w:hAnsi="Arial"/>
          <w:color w:val="1A1A1A"/>
          <w:sz w:val="22"/>
          <w:szCs w:val="22"/>
        </w:rPr>
        <w:t xml:space="preserve">☐  Attachment A: Survey Instrument (English)</w:t>
      </w:r>
    </w:p>
    <w:p>
      <w:pPr>
        <w:spacing w:after="80"/>
      </w:pPr>
      <w:r>
        <w:rPr>
          <w:rFonts w:ascii="Arial" w:cs="Arial" w:eastAsia="Arial" w:hAnsi="Arial"/>
          <w:color w:val="1A1A1A"/>
          <w:sz w:val="22"/>
          <w:szCs w:val="22"/>
        </w:rPr>
        <w:t xml:space="preserve">☐  Attachment B: Informed Consent Form / Consent Script</w:t>
      </w:r>
    </w:p>
    <w:p>
      <w:pPr>
        <w:spacing w:after="80"/>
      </w:pPr>
      <w:r>
        <w:rPr>
          <w:rFonts w:ascii="Arial" w:cs="Arial" w:eastAsia="Arial" w:hAnsi="Arial"/>
          <w:color w:val="1A1A1A"/>
          <w:sz w:val="22"/>
          <w:szCs w:val="22"/>
        </w:rPr>
        <w:t xml:space="preserve">☐  Attachment C: Survey Instrument (Bangla translation)</w:t>
      </w:r>
    </w:p>
    <w:p>
      <w:pPr>
        <w:spacing w:after="80"/>
      </w:pPr>
      <w:r>
        <w:rPr>
          <w:rFonts w:ascii="Arial" w:cs="Arial" w:eastAsia="Arial" w:hAnsi="Arial"/>
          <w:color w:val="1A1A1A"/>
          <w:sz w:val="22"/>
          <w:szCs w:val="22"/>
        </w:rPr>
        <w:t xml:space="preserve">☐  Attachment D: Recruitment Script / Social Media Post</w:t>
      </w:r>
    </w:p>
    <w:p>
      <w:pPr>
        <w:spacing w:after="80"/>
      </w:pPr>
      <w:r>
        <w:rPr>
          <w:rFonts w:ascii="Arial" w:cs="Arial" w:eastAsia="Arial" w:hAnsi="Arial"/>
          <w:color w:val="1A1A1A"/>
          <w:sz w:val="22"/>
          <w:szCs w:val="22"/>
        </w:rPr>
        <w:t xml:space="preserve">☐  Attachment E: Data Management Plan</w:t>
      </w:r>
    </w:p>
    <w:p>
      <w:pPr>
        <w:spacing w:after="80"/>
      </w:pPr>
      <w:r>
        <w:rPr>
          <w:rFonts w:ascii="Arial" w:cs="Arial" w:eastAsia="Arial" w:hAnsi="Arial"/>
          <w:color w:val="1A1A1A"/>
          <w:sz w:val="22"/>
          <w:szCs w:val="22"/>
        </w:rPr>
        <w:t xml:space="preserve">☐  Attachment F: CITI Training Certificates (PI + Co-I)</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10. SIGNATURES AND CERTIFICATIONS</w:t>
      </w:r>
    </w:p>
    <w:p>
      <w:pPr>
        <w:spacing w:after="100"/>
      </w:pPr>
      <w:r>
        <w:rPr>
          <w:rFonts w:ascii="Arial" w:cs="Arial" w:eastAsia="Arial" w:hAnsi="Arial"/>
          <w:color w:val="1A1A1A"/>
          <w:sz w:val="22"/>
          <w:szCs w:val="22"/>
        </w:rPr>
        <w:t xml:space="preserve">By signing below, the Principal Investigator certifies that:</w:t>
      </w:r>
    </w:p>
    <w:p>
      <w:pPr>
        <w:pStyle w:val="ListParagraph"/>
        <w:numPr>
          <w:ilvl w:val="0"/>
          <w:numId w:val="2"/>
        </w:numPr>
        <w:spacing w:after="80"/>
      </w:pPr>
      <w:r>
        <w:rPr>
          <w:rFonts w:ascii="Arial" w:cs="Arial" w:eastAsia="Arial" w:hAnsi="Arial"/>
          <w:color w:val="1A1A1A"/>
          <w:sz w:val="22"/>
          <w:szCs w:val="22"/>
        </w:rPr>
        <w:t xml:space="preserve">The information provided in this application is accurate and complete.</w:t>
      </w:r>
    </w:p>
    <w:p>
      <w:pPr>
        <w:pStyle w:val="ListParagraph"/>
        <w:numPr>
          <w:ilvl w:val="0"/>
          <w:numId w:val="2"/>
        </w:numPr>
        <w:spacing w:after="80"/>
      </w:pPr>
      <w:r>
        <w:rPr>
          <w:rFonts w:ascii="Arial" w:cs="Arial" w:eastAsia="Arial" w:hAnsi="Arial"/>
          <w:color w:val="1A1A1A"/>
          <w:sz w:val="22"/>
          <w:szCs w:val="22"/>
        </w:rPr>
        <w:t xml:space="preserve">The research will be conducted in accordance with LSU IRB approval, applicable federal regulations (45 CFR 46), and LSU policies.</w:t>
      </w:r>
    </w:p>
    <w:p>
      <w:pPr>
        <w:pStyle w:val="ListParagraph"/>
        <w:numPr>
          <w:ilvl w:val="0"/>
          <w:numId w:val="2"/>
        </w:numPr>
        <w:spacing w:after="80"/>
      </w:pPr>
      <w:r>
        <w:rPr>
          <w:rFonts w:ascii="Arial" w:cs="Arial" w:eastAsia="Arial" w:hAnsi="Arial"/>
          <w:color w:val="1A1A1A"/>
          <w:sz w:val="22"/>
          <w:szCs w:val="22"/>
        </w:rPr>
        <w:t xml:space="preserve">Any modifications to the approved protocol will be submitted to the IRB prior to implementation.</w:t>
      </w:r>
    </w:p>
    <w:p>
      <w:pPr>
        <w:pStyle w:val="ListParagraph"/>
        <w:numPr>
          <w:ilvl w:val="0"/>
          <w:numId w:val="2"/>
        </w:numPr>
        <w:spacing w:after="80"/>
      </w:pPr>
      <w:r>
        <w:rPr>
          <w:rFonts w:ascii="Arial" w:cs="Arial" w:eastAsia="Arial" w:hAnsi="Arial"/>
          <w:color w:val="1A1A1A"/>
          <w:sz w:val="22"/>
          <w:szCs w:val="22"/>
        </w:rPr>
        <w:t xml:space="preserve">Unanticipated problems involving risks to subjects or others will be reported to the IRB promptly.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100"/>
            </w:pPr>
            <w:r>
              <w:rPr>
                <w:rFonts w:ascii="Arial" w:cs="Arial" w:eastAsia="Arial" w:hAnsi="Arial"/>
                <w:b/>
                <w:bCs/>
                <w:color w:val="1A1A1A"/>
                <w:sz w:val="22"/>
                <w:szCs w:val="22"/>
              </w:rPr>
              <w:t xml:space="preserve">Principal Investigator:</w:t>
            </w:r>
          </w:p>
          <w:p>
            <w:pPr>
              <w:spacing w:after="80"/>
            </w:pPr>
            <w:r>
              <w:t xml:space="preserve"/>
            </w:r>
          </w:p>
          <w:p>
            <w:pPr>
              <w:pBdr>
                <w:bottom w:val="single" w:color="000000" w:sz="2" w:space="1"/>
              </w:pBdr>
              <w:spacing w:after="80"/>
            </w:pPr>
            <w:r>
              <w:rPr>
                <w:rFonts w:ascii="Arial" w:cs="Arial" w:eastAsia="Arial" w:hAnsi="Arial"/>
                <w:color w:val="1A1A1A"/>
                <w:sz w:val="22"/>
                <w:szCs w:val="22"/>
              </w:rPr>
              <w:t xml:space="preserve">                                                </w:t>
            </w:r>
          </w:p>
          <w:p>
            <w:pPr>
              <w:spacing w:after="100"/>
            </w:pPr>
            <w:r>
              <w:rPr>
                <w:rFonts w:ascii="Arial" w:cs="Arial" w:eastAsia="Arial" w:hAnsi="Arial"/>
                <w:color w:val="1A1A1A"/>
                <w:sz w:val="22"/>
                <w:szCs w:val="22"/>
              </w:rPr>
              <w:t xml:space="preserve">Signature</w:t>
            </w:r>
          </w:p>
          <w:p>
            <w:pPr>
              <w:spacing w:after="80"/>
            </w:pPr>
            <w:r>
              <w:t xml:space="preserve"/>
            </w:r>
          </w:p>
          <w:p>
            <w:pPr>
              <w:pBdr>
                <w:bottom w:val="single" w:color="000000" w:sz="2" w:space="1"/>
              </w:pBdr>
              <w:spacing w:after="80"/>
            </w:pPr>
            <w:r>
              <w:rPr>
                <w:rFonts w:ascii="Arial" w:cs="Arial" w:eastAsia="Arial" w:hAnsi="Arial"/>
                <w:color w:val="1A1A1A"/>
                <w:sz w:val="22"/>
                <w:szCs w:val="22"/>
              </w:rPr>
              <w:t xml:space="preserve">                                                </w:t>
            </w:r>
          </w:p>
          <w:p>
            <w:pPr>
              <w:spacing w:after="100"/>
            </w:pPr>
            <w:r>
              <w:rPr>
                <w:rFonts w:ascii="Arial" w:cs="Arial" w:eastAsia="Arial" w:hAnsi="Arial"/>
                <w:color w:val="1A1A1A"/>
                <w:sz w:val="22"/>
                <w:szCs w:val="22"/>
              </w:rPr>
              <w:t xml:space="preserve">Printed Name &amp; Date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100"/>
            </w:pPr>
            <w:r>
              <w:rPr>
                <w:rFonts w:ascii="Arial" w:cs="Arial" w:eastAsia="Arial" w:hAnsi="Arial"/>
                <w:b/>
                <w:bCs/>
                <w:color w:val="1A1A1A"/>
                <w:sz w:val="22"/>
                <w:szCs w:val="22"/>
              </w:rPr>
              <w:t xml:space="preserve">Co-Investigator:</w:t>
            </w:r>
          </w:p>
          <w:p>
            <w:pPr>
              <w:spacing w:after="80"/>
            </w:pPr>
            <w:r>
              <w:t xml:space="preserve"/>
            </w:r>
          </w:p>
          <w:p>
            <w:pPr>
              <w:pBdr>
                <w:bottom w:val="single" w:color="000000" w:sz="2" w:space="1"/>
              </w:pBdr>
              <w:spacing w:after="80"/>
            </w:pPr>
            <w:r>
              <w:rPr>
                <w:rFonts w:ascii="Arial" w:cs="Arial" w:eastAsia="Arial" w:hAnsi="Arial"/>
                <w:color w:val="1A1A1A"/>
                <w:sz w:val="22"/>
                <w:szCs w:val="22"/>
              </w:rPr>
              <w:t xml:space="preserve">                                                </w:t>
            </w:r>
          </w:p>
          <w:p>
            <w:pPr>
              <w:spacing w:after="100"/>
            </w:pPr>
            <w:r>
              <w:rPr>
                <w:rFonts w:ascii="Arial" w:cs="Arial" w:eastAsia="Arial" w:hAnsi="Arial"/>
                <w:color w:val="1A1A1A"/>
                <w:sz w:val="22"/>
                <w:szCs w:val="22"/>
              </w:rPr>
              <w:t xml:space="preserve">Signature</w:t>
            </w:r>
          </w:p>
          <w:p>
            <w:pPr>
              <w:spacing w:after="80"/>
            </w:pPr>
            <w:r>
              <w:t xml:space="preserve"/>
            </w:r>
          </w:p>
          <w:p>
            <w:pPr>
              <w:pBdr>
                <w:bottom w:val="single" w:color="000000" w:sz="2" w:space="1"/>
              </w:pBdr>
              <w:spacing w:after="80"/>
            </w:pPr>
            <w:r>
              <w:rPr>
                <w:rFonts w:ascii="Arial" w:cs="Arial" w:eastAsia="Arial" w:hAnsi="Arial"/>
                <w:color w:val="1A1A1A"/>
                <w:sz w:val="22"/>
                <w:szCs w:val="22"/>
              </w:rPr>
              <w:t xml:space="preserve">                                                </w:t>
            </w:r>
          </w:p>
          <w:p>
            <w:pPr>
              <w:spacing w:after="100"/>
            </w:pPr>
            <w:r>
              <w:rPr>
                <w:rFonts w:ascii="Arial" w:cs="Arial" w:eastAsia="Arial" w:hAnsi="Arial"/>
                <w:color w:val="1A1A1A"/>
                <w:sz w:val="22"/>
                <w:szCs w:val="22"/>
              </w:rPr>
              <w:t xml:space="preserve">Printed Name &amp; Date</w:t>
            </w:r>
          </w:p>
        </w:tc>
      </w:tr>
    </w:tbl>
    <w:p>
      <w:pPr>
        <w:spacing w:after="80"/>
      </w:pPr>
      <w:r>
        <w:t xml:space="preserve"/>
      </w:r>
    </w:p>
    <w:p>
      <w:pPr>
        <w:pBdr>
          <w:top w:val="single" w:color="AAAAAA" w:sz="2" w:space="4"/>
        </w:pBdr>
        <w:spacing w:before="160"/>
        <w:jc w:val="center"/>
      </w:pPr>
      <w:r>
        <w:rPr>
          <w:rFonts w:ascii="Arial" w:cs="Arial" w:eastAsia="Arial" w:hAnsi="Arial"/>
          <w:i/>
          <w:iCs/>
          <w:color w:val="555555"/>
          <w:sz w:val="18"/>
          <w:szCs w:val="18"/>
        </w:rPr>
        <w:t xml:space="preserve">Submit via iRIS: lsu.edu/research/ors/compliance/irb  |  Questions: irb@lsu.edu  |  (225) 578-8692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61D7C" w:sz="2"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555555"/>
        <w:sz w:val="18"/>
        <w:szCs w:val="18"/>
      </w:rPr>
      <w:t xml:space="preserve">  |  LSU IRB Protocol — MFS Scam Ecosystem Study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61D7C" w:sz="2" w:space="1"/>
      </w:pBdr>
      <w:spacing w:after="60"/>
      <w:jc w:val="right"/>
    </w:pPr>
    <w:r>
      <w:rPr>
        <w:rFonts w:ascii="Arial" w:cs="Arial" w:eastAsia="Arial" w:hAnsi="Arial"/>
        <w:color w:val="555555"/>
        <w:sz w:val="18"/>
        <w:szCs w:val="18"/>
      </w:rPr>
      <w:t xml:space="preserve">Louisiana State University  |  IRB Protocol  |  </w:t>
    </w:r>
    <w:r>
      <w:rPr>
        <w:rFonts w:ascii="Arial" w:cs="Arial" w:eastAsia="Arial" w:hAnsi="Arial"/>
        <w:i/>
        <w:iCs/>
        <w:color w:val="555555"/>
        <w:sz w:val="18"/>
        <w:szCs w:val="18"/>
      </w:rPr>
      <w:t xml:space="preserve">Office of Research &amp; Economic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2026-05-24T15:08:38.236Z</dcterms:created>
  <dcterms:modified xsi:type="dcterms:W3CDTF">2026-05-24T15:08:38.236Z</dcterms:modified>
</cp:coreProperties>
</file>

<file path=docProps/custom.xml><?xml version="1.0" encoding="utf-8"?>
<Properties xmlns="http://schemas.openxmlformats.org/officeDocument/2006/custom-properties" xmlns:vt="http://schemas.openxmlformats.org/officeDocument/2006/docPropsVTypes"/>
</file>