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83131" w14:textId="77777777" w:rsidR="004B4FB0" w:rsidRPr="004B4FB0" w:rsidRDefault="004B4FB0" w:rsidP="004B4FB0">
      <w:pPr>
        <w:pStyle w:val="Title"/>
        <w:rPr>
          <w:color w:val="000000" w:themeColor="text1"/>
        </w:rPr>
      </w:pPr>
      <w:r>
        <w:t>Foot says…</w:t>
      </w:r>
      <w:r w:rsidRPr="004B4FB0">
        <w:t xml:space="preserve"> </w:t>
      </w:r>
      <w:r w:rsidRPr="00880568">
        <w:t>Does Foot succeed in this aim?</w:t>
      </w:r>
    </w:p>
    <w:p w14:paraId="3E7A9F1C" w14:textId="77777777" w:rsidR="00DF343B" w:rsidRDefault="00DF343B" w:rsidP="00DF343B">
      <w:pPr>
        <w:pStyle w:val="Heading1"/>
      </w:pPr>
      <w:r>
        <w:t>Introduction</w:t>
      </w:r>
    </w:p>
    <w:p w14:paraId="36566384" w14:textId="77777777" w:rsidR="00DF343B" w:rsidRDefault="00DF343B" w:rsidP="00DF343B">
      <w:r>
        <w:t xml:space="preserve">Whether there is a morally significant difference between killing and letting die </w:t>
      </w:r>
      <w:r w:rsidR="002B63D0">
        <w:t xml:space="preserve">is </w:t>
      </w:r>
      <w:r>
        <w:t xml:space="preserve">contentious. The consequentialist approaches this by rejecting </w:t>
      </w:r>
      <w:r w:rsidR="002B63D0">
        <w:t>this</w:t>
      </w:r>
      <w:r>
        <w:t xml:space="preserve"> distinction, arguing that only outcomes </w:t>
      </w:r>
      <w:bookmarkStart w:id="0" w:name="_Int_d1l9YD6m"/>
      <w:r>
        <w:t>ultimately matter</w:t>
      </w:r>
      <w:bookmarkEnd w:id="0"/>
      <w:r>
        <w:t xml:space="preserve">, i.e. the overall consequence of the actions – a very utilitarian point of view. </w:t>
      </w:r>
      <w:r w:rsidR="001F5AF4">
        <w:t>Philippa</w:t>
      </w:r>
      <w:r>
        <w:t xml:space="preserve"> Foot challenges this view by arguing that there is a morally significant distinction between doing harm and merely letting it occur. By Foot, those who deny the existence of this distinction fail to recognise the asymmetry between the duty to not harm and the duty to provide aid.</w:t>
      </w:r>
    </w:p>
    <w:p w14:paraId="7D2CD250" w14:textId="77777777" w:rsidR="00DF343B" w:rsidRDefault="00DF343B" w:rsidP="00DF343B">
      <w:r>
        <w:t xml:space="preserve">I argue that Foot successfully </w:t>
      </w:r>
      <w:r w:rsidR="001F5AF4">
        <w:t>identifies</w:t>
      </w:r>
      <w:r>
        <w:t xml:space="preserve"> this moral distinction as a feature of moral agency; where initiating harm typically holds greater moral weight than failing to prevent it. However also recognising that Foot </w:t>
      </w:r>
      <w:bookmarkStart w:id="1" w:name="_Int_Qfnzse3j"/>
      <w:r>
        <w:t>ultimately fails</w:t>
      </w:r>
      <w:bookmarkEnd w:id="1"/>
      <w:r>
        <w:t xml:space="preserve"> to represent this dist</w:t>
      </w:r>
      <w:r w:rsidR="004B4FB0">
        <w:t>inction as a decisive principle.</w:t>
      </w:r>
      <w:r w:rsidR="00047BBA">
        <w:t xml:space="preserve"> </w:t>
      </w:r>
    </w:p>
    <w:p w14:paraId="7546DB74" w14:textId="77777777" w:rsidR="00DF343B" w:rsidRDefault="00DF343B" w:rsidP="00DF343B">
      <w:pPr>
        <w:pStyle w:val="Heading1"/>
      </w:pPr>
      <w:r>
        <w:t>Doing Harm vs. Allowing Harm</w:t>
      </w:r>
    </w:p>
    <w:p w14:paraId="15499DB6" w14:textId="222205EF" w:rsidR="00047BBA" w:rsidRDefault="00047BBA" w:rsidP="00DF343B">
      <w:r>
        <w:t xml:space="preserve">Foot’s argument observes that moral practices treat </w:t>
      </w:r>
      <w:r w:rsidR="5B2E2EBA">
        <w:t>distinct kinds</w:t>
      </w:r>
      <w:r>
        <w:t xml:space="preserve"> of actions as more serious than others, even when outcomes are identical. Killing someone would typically be viewed as morally worse than simply allowing them to die. According to foot, killing involves initiating a harmful – causal – chain of events, whereas letting someone die consists in permitting such a process to continue (Foot, 2002).</w:t>
      </w:r>
    </w:p>
    <w:p w14:paraId="76AA20F5" w14:textId="48984632" w:rsidR="00047BBA" w:rsidRDefault="00047BBA" w:rsidP="00DF343B">
      <w:r>
        <w:t xml:space="preserve">The difference elucidates on the asymmetry between negative and positive duties. Negative duties prevent us from harming others, whereas positive duties require us to provide aid. Foot says that negative duties are stronger. </w:t>
      </w:r>
      <w:r w:rsidR="004B4FB0">
        <w:t>Thus</w:t>
      </w:r>
      <w:r>
        <w:t xml:space="preserve">, violating a negative duty is worse than failing to complete a positive duty. This explains why certain moral intuitions are resistant to the </w:t>
      </w:r>
      <w:r w:rsidR="24ECDFDC">
        <w:t>cut-and-dry</w:t>
      </w:r>
      <w:r>
        <w:t xml:space="preserve"> consequentialist reasoning. </w:t>
      </w:r>
      <w:r w:rsidR="004B4FB0">
        <w:t xml:space="preserve">As in the </w:t>
      </w:r>
      <w:r>
        <w:t xml:space="preserve">transplant case: wherein a doctor could kill a healthy patient and distribute their organs to save five others. Even if doing this would maximise the overall lives saved, most people would regard the action as morally impermissible. Foot’s frameworks for this distinction tells us that killing the patient violates the negative duty not to harm. </w:t>
      </w:r>
    </w:p>
    <w:p w14:paraId="28FB94F9" w14:textId="77777777" w:rsidR="00DF343B" w:rsidRDefault="00DF343B" w:rsidP="00DF343B">
      <w:pPr>
        <w:pStyle w:val="Heading1"/>
      </w:pPr>
      <w:r>
        <w:t>Rejections from Consequentialism</w:t>
      </w:r>
    </w:p>
    <w:p w14:paraId="4E2BF409" w14:textId="3367CEED" w:rsidR="00047BBA" w:rsidRDefault="00047BBA" w:rsidP="00047BBA">
      <w:r>
        <w:t xml:space="preserve">Consequentialists would reject the claim of the existence of this distinction. On consequentialist views, actions should be </w:t>
      </w:r>
      <w:r w:rsidR="3049F766">
        <w:t>evaluated</w:t>
      </w:r>
      <w:r>
        <w:t xml:space="preserve"> solely on the value of their outcomes. </w:t>
      </w:r>
      <w:r w:rsidR="2259636A">
        <w:t>Thus,</w:t>
      </w:r>
      <w:r>
        <w:t xml:space="preserve"> if killing one person would prevent several deaths, then the killing may appear morally justified. </w:t>
      </w:r>
    </w:p>
    <w:p w14:paraId="1A27395A" w14:textId="77777777" w:rsidR="00EC7E7B" w:rsidRDefault="00EC7E7B" w:rsidP="00047BBA">
      <w:r>
        <w:t>The contention between both perspectives is even more evident in the trolley-problem style cases. J. J. Thompson’s analysis of the trolley problem truly highlights the difficulty of explaining why diverting a trolley onto a track where it kills one person is permissible, whilst the alternative of pushing someone onto the track, to stop the trolley killing the 5 people seems impermissible (Thompson, 1976). These cases suggest that differences in agency, aka doing vs allowing harm, can shape moral judgement – completely independently – of consequences.</w:t>
      </w:r>
    </w:p>
    <w:p w14:paraId="3E64124E" w14:textId="77777777" w:rsidR="00EC7E7B" w:rsidRDefault="00EC7E7B" w:rsidP="00047BBA">
      <w:r>
        <w:t xml:space="preserve">Foot’s theory captures this feature of moral reasoning and agency by emphasising the difference between initiating and permitting harm. This is accomplished by explaining why some actions remain prohibited even when they would produce better outcomes (at least consequentially). </w:t>
      </w:r>
    </w:p>
    <w:p w14:paraId="672A6659" w14:textId="77777777" w:rsidR="00EC7E7B" w:rsidRDefault="00EC7E7B" w:rsidP="00DF343B">
      <w:pPr>
        <w:pStyle w:val="Heading1"/>
      </w:pPr>
    </w:p>
    <w:p w14:paraId="2E13EF2B" w14:textId="77777777" w:rsidR="00DF343B" w:rsidRDefault="00DF343B" w:rsidP="00DD35E9">
      <w:pPr>
        <w:pStyle w:val="Heading1"/>
      </w:pPr>
      <w:r>
        <w:t>Responsibility</w:t>
      </w:r>
      <w:r w:rsidR="00DD35E9">
        <w:t xml:space="preserve"> and Limits</w:t>
      </w:r>
    </w:p>
    <w:p w14:paraId="0BE40B5E" w14:textId="77777777" w:rsidR="00DD35E9" w:rsidRDefault="00DD35E9" w:rsidP="00DD35E9">
      <w:r>
        <w:t>Despite the distinction’s appeal, it also faces challenges. Some argue that the moral difference</w:t>
      </w:r>
      <w:r w:rsidR="004B4FB0">
        <w:t xml:space="preserve"> becomes</w:t>
      </w:r>
      <w:r>
        <w:t xml:space="preserve"> unstable once we consider cases involving responsibility for preventing them. </w:t>
      </w:r>
    </w:p>
    <w:p w14:paraId="0D7F7D5C" w14:textId="77777777" w:rsidR="00DD35E9" w:rsidRDefault="00DD35E9" w:rsidP="00DD35E9">
      <w:r>
        <w:t>S. Kagan argues that drawing a decisive moral boundary between doing and allowing harm can obscure the morally relevant similarities between actions (Kagan, 1989)</w:t>
      </w:r>
      <w:r w:rsidR="004B4FB0">
        <w:t xml:space="preserve"> i.e.</w:t>
      </w:r>
      <w:r>
        <w:t xml:space="preserve">, a moral agent may deliberately </w:t>
      </w:r>
      <w:r w:rsidR="00A40B78">
        <w:t>structure</w:t>
      </w:r>
      <w:r>
        <w:t xml:space="preserve"> their behaviour so that a harmful outcome occurs without directly inciting the chain of h</w:t>
      </w:r>
      <w:r w:rsidR="004B4FB0">
        <w:t>arm</w:t>
      </w:r>
      <w:r>
        <w:t>. If the agent knowingly allows a preventable harm to occur when intervention would be easy, the moral difference between active harm and their behaviour seems lesser.</w:t>
      </w:r>
    </w:p>
    <w:p w14:paraId="09BC8AA5" w14:textId="7C64BF36" w:rsidR="00A40B78" w:rsidRPr="00DD35E9" w:rsidRDefault="00DF2C3F" w:rsidP="00DD35E9">
      <w:r>
        <w:t xml:space="preserve">Quinn also argues that moral importance of doing vs. allowing depends heavily </w:t>
      </w:r>
      <w:r w:rsidR="00A40B78">
        <w:t xml:space="preserve">on intention rather than on the physical form of the action itself (Quinn, 1989). Certain cases </w:t>
      </w:r>
      <w:r w:rsidR="4711EE9D">
        <w:t>can</w:t>
      </w:r>
      <w:r w:rsidR="00A40B78">
        <w:t xml:space="preserve"> blur the boundary between doing and allowing because agents can manipulate the causal structures of the action to avoid direct responsibility whilst still bringing about the harmful consequences.</w:t>
      </w:r>
    </w:p>
    <w:p w14:paraId="05142F0C" w14:textId="77777777" w:rsidR="00DF343B" w:rsidRDefault="00DF343B" w:rsidP="00DF343B">
      <w:pPr>
        <w:pStyle w:val="Heading1"/>
      </w:pPr>
      <w:r>
        <w:t>Moral Agency</w:t>
      </w:r>
    </w:p>
    <w:p w14:paraId="3C346FEB" w14:textId="77777777" w:rsidR="00A40B78" w:rsidRDefault="00A40B78" w:rsidP="00A40B78">
      <w:r>
        <w:t>Even more challenges arise when we consider indirect harm. J. McMahan argues that removing barriers to harm – i.e. withdrawing life-sustaining aid – can sometimes count as killing rather than allowing one to die (McMahan, 1993). If withdrawing this aid initiates a new causal chain which leads to death, the classification of whether it is killing or letting die is unclear.</w:t>
      </w:r>
    </w:p>
    <w:p w14:paraId="0A37501D" w14:textId="3FE2A0AA" w:rsidR="00DF343B" w:rsidRDefault="00A40B78" w:rsidP="00DF343B">
      <w:r>
        <w:t>The distinction between doing and allowing therefore often depends on how these causal processes are described. However moral evaluation cannot depend on subtle discrepancies in the cause alone. If two actions have the same moral outcome, through similar causes, treating them as morally distinct is arbitrary.</w:t>
      </w:r>
    </w:p>
    <w:p w14:paraId="47FD930A" w14:textId="77777777" w:rsidR="00DF343B" w:rsidRDefault="00DF343B" w:rsidP="00DF343B">
      <w:pPr>
        <w:pStyle w:val="Heading1"/>
      </w:pPr>
      <w:r>
        <w:t>Foot’s Insights</w:t>
      </w:r>
    </w:p>
    <w:p w14:paraId="083F05A8" w14:textId="78DF7FB8" w:rsidR="00DF343B" w:rsidRDefault="002B63D0" w:rsidP="00DF343B">
      <w:r>
        <w:t xml:space="preserve">Despite these criticisms, Foot’s central tenet of the distinction does remain persuasive. That there is a distinction between killing and letting die which demonstrates actively initiating harm </w:t>
      </w:r>
      <w:r w:rsidR="0A4739DF">
        <w:t>carries</w:t>
      </w:r>
      <w:r>
        <w:t xml:space="preserve"> greater moral weight than failing to prevent it. This therefore helps explain why certain consequentialist conclusions seem </w:t>
      </w:r>
      <w:r w:rsidR="004B4FB0">
        <w:t>impermissible</w:t>
      </w:r>
      <w:r>
        <w:t xml:space="preserve">. </w:t>
      </w:r>
      <w:r w:rsidR="1FF3E089">
        <w:t>Thus,</w:t>
      </w:r>
      <w:r>
        <w:t xml:space="preserve"> by emphasising the moral significance of “agency</w:t>
      </w:r>
      <w:r w:rsidR="7C8208D6">
        <w:t>,”</w:t>
      </w:r>
      <w:r>
        <w:t xml:space="preserve"> Foot provides </w:t>
      </w:r>
      <w:r w:rsidR="18B5E4E2">
        <w:t>an account</w:t>
      </w:r>
      <w:r>
        <w:t xml:space="preserve"> that can be construed </w:t>
      </w:r>
      <w:proofErr w:type="gramStart"/>
      <w:r>
        <w:t>as plausible of why actively causing harm violates stronger moral boundaries than</w:t>
      </w:r>
      <w:proofErr w:type="gramEnd"/>
      <w:r>
        <w:t xml:space="preserve"> allowing harm to occur.</w:t>
      </w:r>
    </w:p>
    <w:p w14:paraId="2B2A7A39" w14:textId="77777777" w:rsidR="00DF343B" w:rsidRDefault="00DF343B" w:rsidP="00DF343B">
      <w:pPr>
        <w:pStyle w:val="Heading1"/>
      </w:pPr>
      <w:r>
        <w:t>Conclusion</w:t>
      </w:r>
    </w:p>
    <w:p w14:paraId="104A39A9" w14:textId="77777777" w:rsidR="004B4FB0" w:rsidRDefault="002B63D0" w:rsidP="004B4FB0">
      <w:r>
        <w:t xml:space="preserve">In conclusion, Foot succeeds in demonstrating that </w:t>
      </w:r>
      <w:r w:rsidR="004B4FB0">
        <w:t>there is</w:t>
      </w:r>
      <w:r>
        <w:t xml:space="preserve"> a distinction between killing and letting die which relies on the moral aspect of agency. However, the distinction is not universal enough to stand as a decisive moral principle. As cases involving responsibility of actions can be ambiguous, some killings can seem to have the same moral weight as simply letting die, therefore we cannot </w:t>
      </w:r>
      <w:r w:rsidR="004B4FB0">
        <w:t>draw this</w:t>
      </w:r>
      <w:r>
        <w:t xml:space="preserve"> distinction. </w:t>
      </w:r>
    </w:p>
    <w:p w14:paraId="5DAB6C7B" w14:textId="77777777" w:rsidR="004B4FB0" w:rsidRDefault="004B4FB0" w:rsidP="004B4FB0"/>
    <w:p w14:paraId="02EB378F" w14:textId="77777777" w:rsidR="004B4FB0" w:rsidRDefault="004B4FB0" w:rsidP="004B4FB0"/>
    <w:p w14:paraId="6A05A809" w14:textId="77777777" w:rsidR="004B4FB0" w:rsidRDefault="004B4FB0" w:rsidP="004B4FB0"/>
    <w:p w14:paraId="5A39BBE3" w14:textId="77777777" w:rsidR="004B4FB0" w:rsidRDefault="004B4FB0" w:rsidP="004B4FB0"/>
    <w:p w14:paraId="39F0A9C5" w14:textId="77777777" w:rsidR="008127A0" w:rsidRDefault="008127A0" w:rsidP="004B4FB0">
      <w:pPr>
        <w:pStyle w:val="Heading1"/>
      </w:pPr>
    </w:p>
    <w:p w14:paraId="6B9F123D" w14:textId="5BAA93B0" w:rsidR="004B4FB0" w:rsidRPr="002B63D0" w:rsidRDefault="004B4FB0" w:rsidP="004B4FB0">
      <w:pPr>
        <w:pStyle w:val="Heading1"/>
      </w:pPr>
      <w:bookmarkStart w:id="2" w:name="_GoBack"/>
      <w:bookmarkEnd w:id="2"/>
      <w:r>
        <w:t>Bibliography</w:t>
      </w:r>
    </w:p>
    <w:p w14:paraId="41C8F396" w14:textId="77777777" w:rsidR="00A40B78" w:rsidRPr="00A40B78" w:rsidRDefault="00A40B78" w:rsidP="00A40B78"/>
    <w:p w14:paraId="6F421C8D" w14:textId="77777777" w:rsidR="00DF343B" w:rsidRDefault="00DF343B" w:rsidP="00DF343B">
      <w:pPr>
        <w:rPr>
          <w:rFonts w:ascii="Times New Roman" w:hAnsi="Times New Roman"/>
        </w:rPr>
      </w:pPr>
      <w:r>
        <w:t xml:space="preserve">Foot, P. (2002) </w:t>
      </w:r>
      <w:r>
        <w:rPr>
          <w:rStyle w:val="Emphasis"/>
        </w:rPr>
        <w:t>Moral dilemmas and other topics in moral philosophy</w:t>
      </w:r>
      <w:r>
        <w:t>. Oxford: Oxford University Press.</w:t>
      </w:r>
    </w:p>
    <w:p w14:paraId="79AA2FD0" w14:textId="77777777" w:rsidR="00DF343B" w:rsidRDefault="00DF343B" w:rsidP="00DF343B">
      <w:r>
        <w:t xml:space="preserve">Kagan, S. (1989) </w:t>
      </w:r>
      <w:proofErr w:type="gramStart"/>
      <w:r>
        <w:rPr>
          <w:rStyle w:val="Emphasis"/>
        </w:rPr>
        <w:t>The</w:t>
      </w:r>
      <w:proofErr w:type="gramEnd"/>
      <w:r>
        <w:rPr>
          <w:rStyle w:val="Emphasis"/>
        </w:rPr>
        <w:t xml:space="preserve"> limits of morality</w:t>
      </w:r>
      <w:r>
        <w:t>. Oxford: Oxford University Press.</w:t>
      </w:r>
    </w:p>
    <w:p w14:paraId="17F32D0B" w14:textId="77777777" w:rsidR="00DF343B" w:rsidRDefault="00DF343B" w:rsidP="00DF343B">
      <w:r>
        <w:t xml:space="preserve">McMahan, J. (1993) ‘Killing, letting die, and withdrawing aid’, </w:t>
      </w:r>
      <w:r>
        <w:rPr>
          <w:rStyle w:val="Emphasis"/>
        </w:rPr>
        <w:t>Ethics</w:t>
      </w:r>
      <w:r>
        <w:t>, 103(2)</w:t>
      </w:r>
    </w:p>
    <w:p w14:paraId="42F9EAC9" w14:textId="77777777" w:rsidR="00DF343B" w:rsidRDefault="00DF343B" w:rsidP="00DF343B">
      <w:r>
        <w:t xml:space="preserve">Quinn, W. (1989) ‘Actions, intentions, and consequences: the doctrine of doing and allowing’, </w:t>
      </w:r>
      <w:r>
        <w:rPr>
          <w:rStyle w:val="Emphasis"/>
        </w:rPr>
        <w:t>The Philosophical Review</w:t>
      </w:r>
      <w:r>
        <w:t>, 98(3)</w:t>
      </w:r>
    </w:p>
    <w:p w14:paraId="4F171051" w14:textId="77777777" w:rsidR="00DF343B" w:rsidRDefault="00DF343B" w:rsidP="00DF343B">
      <w:r>
        <w:t xml:space="preserve">Thomson, J. J. (1976) ‘Killing, letting die, and the trolley problem’, </w:t>
      </w:r>
      <w:r>
        <w:rPr>
          <w:rStyle w:val="Emphasis"/>
        </w:rPr>
        <w:t>The Monist</w:t>
      </w:r>
    </w:p>
    <w:p w14:paraId="72A3D3EC" w14:textId="77777777" w:rsidR="00DF343B" w:rsidRPr="00DF343B" w:rsidRDefault="00DF343B" w:rsidP="00DF343B"/>
    <w:sectPr w:rsidR="00DF343B" w:rsidRPr="00DF343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80CE1" w14:textId="77777777" w:rsidR="00632783" w:rsidRDefault="00632783" w:rsidP="00DF343B">
      <w:pPr>
        <w:spacing w:after="0" w:line="240" w:lineRule="auto"/>
      </w:pPr>
      <w:r>
        <w:separator/>
      </w:r>
    </w:p>
  </w:endnote>
  <w:endnote w:type="continuationSeparator" w:id="0">
    <w:p w14:paraId="2737E17E" w14:textId="77777777" w:rsidR="00632783" w:rsidRDefault="00632783" w:rsidP="00DF3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3736EE5C" w14:paraId="79D5A959" w14:textId="77777777" w:rsidTr="3736EE5C">
      <w:trPr>
        <w:trHeight w:val="300"/>
      </w:trPr>
      <w:tc>
        <w:tcPr>
          <w:tcW w:w="3005" w:type="dxa"/>
        </w:tcPr>
        <w:p w14:paraId="473F54A5" w14:textId="217439DE" w:rsidR="3736EE5C" w:rsidRDefault="3736EE5C" w:rsidP="3736EE5C">
          <w:pPr>
            <w:pStyle w:val="Header"/>
            <w:ind w:left="-115"/>
          </w:pPr>
        </w:p>
      </w:tc>
      <w:tc>
        <w:tcPr>
          <w:tcW w:w="3005" w:type="dxa"/>
        </w:tcPr>
        <w:p w14:paraId="2B7857D6" w14:textId="6CB39D1D" w:rsidR="3736EE5C" w:rsidRDefault="3736EE5C" w:rsidP="3736EE5C">
          <w:pPr>
            <w:pStyle w:val="Header"/>
            <w:jc w:val="center"/>
          </w:pPr>
        </w:p>
      </w:tc>
      <w:tc>
        <w:tcPr>
          <w:tcW w:w="3005" w:type="dxa"/>
        </w:tcPr>
        <w:p w14:paraId="115BEE78" w14:textId="65DAA306" w:rsidR="3736EE5C" w:rsidRDefault="3736EE5C" w:rsidP="3736EE5C">
          <w:pPr>
            <w:pStyle w:val="Header"/>
            <w:ind w:right="-115"/>
            <w:jc w:val="right"/>
          </w:pPr>
        </w:p>
      </w:tc>
    </w:tr>
  </w:tbl>
  <w:p w14:paraId="05DC062B" w14:textId="625C2730" w:rsidR="3736EE5C" w:rsidRDefault="3736EE5C" w:rsidP="3736E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97B1E3" w14:textId="77777777" w:rsidR="00632783" w:rsidRDefault="00632783" w:rsidP="00DF343B">
      <w:pPr>
        <w:spacing w:after="0" w:line="240" w:lineRule="auto"/>
      </w:pPr>
      <w:r>
        <w:separator/>
      </w:r>
    </w:p>
  </w:footnote>
  <w:footnote w:type="continuationSeparator" w:id="0">
    <w:p w14:paraId="585CD744" w14:textId="77777777" w:rsidR="00632783" w:rsidRDefault="00632783" w:rsidP="00DF3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3736EE5C" w14:paraId="68609382" w14:textId="77777777" w:rsidTr="3736EE5C">
      <w:trPr>
        <w:trHeight w:val="300"/>
      </w:trPr>
      <w:tc>
        <w:tcPr>
          <w:tcW w:w="3005" w:type="dxa"/>
        </w:tcPr>
        <w:p w14:paraId="57B7EDA9" w14:textId="5F866D41" w:rsidR="3736EE5C" w:rsidRDefault="3736EE5C" w:rsidP="3736EE5C">
          <w:pPr>
            <w:spacing w:after="0"/>
          </w:pPr>
          <w:r w:rsidRPr="3736EE5C">
            <w:t>36765813</w:t>
          </w:r>
        </w:p>
        <w:p w14:paraId="0DA73C59" w14:textId="4D5D952E" w:rsidR="3736EE5C" w:rsidRDefault="3736EE5C" w:rsidP="3736EE5C">
          <w:pPr>
            <w:pStyle w:val="Header"/>
            <w:ind w:left="-115"/>
          </w:pPr>
          <w:r>
            <w:t>LIBA 1005</w:t>
          </w:r>
        </w:p>
      </w:tc>
      <w:tc>
        <w:tcPr>
          <w:tcW w:w="3005" w:type="dxa"/>
        </w:tcPr>
        <w:p w14:paraId="317CE1D6" w14:textId="704A5437" w:rsidR="3736EE5C" w:rsidRDefault="3736EE5C" w:rsidP="3736EE5C">
          <w:pPr>
            <w:pStyle w:val="Header"/>
            <w:jc w:val="center"/>
          </w:pPr>
        </w:p>
      </w:tc>
      <w:tc>
        <w:tcPr>
          <w:tcW w:w="3005" w:type="dxa"/>
        </w:tcPr>
        <w:p w14:paraId="003144A1" w14:textId="58CBF5A1" w:rsidR="3736EE5C" w:rsidRDefault="3736EE5C" w:rsidP="3736EE5C">
          <w:pPr>
            <w:pStyle w:val="Header"/>
            <w:ind w:right="-115"/>
            <w:jc w:val="right"/>
          </w:pPr>
        </w:p>
      </w:tc>
    </w:tr>
  </w:tbl>
  <w:p w14:paraId="7DA861F1" w14:textId="6DD45DE7" w:rsidR="3736EE5C" w:rsidRDefault="3736EE5C" w:rsidP="3736EE5C">
    <w:pPr>
      <w:pStyle w:val="Header"/>
    </w:pPr>
  </w:p>
</w:hdr>
</file>

<file path=word/intelligence2.xml><?xml version="1.0" encoding="utf-8"?>
<int2:intelligence xmlns:int2="http://schemas.microsoft.com/office/intelligence/2020/intelligence">
  <int2:observations>
    <int2:bookmark int2:bookmarkName="_Int_d1l9YD6m" int2:invalidationBookmarkName="" int2:hashCode="0cZMfkJZojj+aN" int2:id="d2d0wou1">
      <int2:state int2:type="style" int2:value="Rejected"/>
    </int2:bookmark>
    <int2:bookmark int2:bookmarkName="_Int_Qfnzse3j" int2:invalidationBookmarkName="" int2:hashCode="jKUk7TbJ8nrZwL" int2:id="mZrl7bSS">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1846A1"/>
    <w:multiLevelType w:val="hybridMultilevel"/>
    <w:tmpl w:val="B120B6D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43B"/>
    <w:rsid w:val="00047BBA"/>
    <w:rsid w:val="0008057E"/>
    <w:rsid w:val="001F5AF4"/>
    <w:rsid w:val="002B63D0"/>
    <w:rsid w:val="004B4FB0"/>
    <w:rsid w:val="0057683A"/>
    <w:rsid w:val="00632783"/>
    <w:rsid w:val="007D0F54"/>
    <w:rsid w:val="008127A0"/>
    <w:rsid w:val="009E209B"/>
    <w:rsid w:val="00A40B78"/>
    <w:rsid w:val="00AA54F6"/>
    <w:rsid w:val="00D7579D"/>
    <w:rsid w:val="00DD35E9"/>
    <w:rsid w:val="00DF2C3F"/>
    <w:rsid w:val="00DF343B"/>
    <w:rsid w:val="00E704A2"/>
    <w:rsid w:val="00EC7E7B"/>
    <w:rsid w:val="00FE60C0"/>
    <w:rsid w:val="0A4739DF"/>
    <w:rsid w:val="18B5E4E2"/>
    <w:rsid w:val="1FF3E089"/>
    <w:rsid w:val="2259636A"/>
    <w:rsid w:val="24ECDFDC"/>
    <w:rsid w:val="3049F766"/>
    <w:rsid w:val="3736EE5C"/>
    <w:rsid w:val="4711EE9D"/>
    <w:rsid w:val="4D201E40"/>
    <w:rsid w:val="5B2E2EBA"/>
    <w:rsid w:val="5E5877F9"/>
    <w:rsid w:val="7C8208D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DA26"/>
  <w15:chartTrackingRefBased/>
  <w15:docId w15:val="{CBBB42CE-A7DC-4477-8741-532A5C1F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57E"/>
    <w:rPr>
      <w:rFonts w:ascii="Garamond" w:hAnsi="Garamond"/>
    </w:rPr>
  </w:style>
  <w:style w:type="paragraph" w:styleId="Heading1">
    <w:name w:val="heading 1"/>
    <w:basedOn w:val="Normal"/>
    <w:next w:val="Normal"/>
    <w:link w:val="Heading1Char"/>
    <w:uiPriority w:val="9"/>
    <w:qFormat/>
    <w:rsid w:val="0008057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8057E"/>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7E"/>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rsid w:val="0008057E"/>
    <w:rPr>
      <w:rFonts w:ascii="Garamond" w:eastAsiaTheme="majorEastAsia" w:hAnsi="Garamond" w:cstheme="majorBidi"/>
      <w:b/>
      <w:sz w:val="26"/>
      <w:szCs w:val="26"/>
    </w:rPr>
  </w:style>
  <w:style w:type="paragraph" w:styleId="Title">
    <w:name w:val="Title"/>
    <w:basedOn w:val="Normal"/>
    <w:next w:val="Normal"/>
    <w:link w:val="TitleChar"/>
    <w:uiPriority w:val="10"/>
    <w:qFormat/>
    <w:rsid w:val="0008057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8057E"/>
    <w:rPr>
      <w:rFonts w:ascii="Garamond" w:eastAsiaTheme="majorEastAsia" w:hAnsi="Garamond" w:cstheme="majorBidi"/>
      <w:b/>
      <w:spacing w:val="-10"/>
      <w:kern w:val="28"/>
      <w:sz w:val="56"/>
      <w:szCs w:val="56"/>
    </w:rPr>
  </w:style>
  <w:style w:type="paragraph" w:styleId="NoSpacing">
    <w:name w:val="No Spacing"/>
    <w:uiPriority w:val="1"/>
    <w:qFormat/>
    <w:rsid w:val="00DF343B"/>
    <w:pPr>
      <w:spacing w:after="0" w:line="240" w:lineRule="auto"/>
    </w:pPr>
    <w:rPr>
      <w:rFonts w:ascii="Garamond" w:hAnsi="Garamond"/>
    </w:rPr>
  </w:style>
  <w:style w:type="paragraph" w:styleId="NormalWeb">
    <w:name w:val="Normal (Web)"/>
    <w:basedOn w:val="Normal"/>
    <w:uiPriority w:val="99"/>
    <w:semiHidden/>
    <w:unhideWhenUsed/>
    <w:rsid w:val="00DF343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F343B"/>
    <w:rPr>
      <w:i/>
      <w:iCs/>
    </w:rPr>
  </w:style>
  <w:style w:type="paragraph" w:styleId="ListParagraph">
    <w:name w:val="List Paragraph"/>
    <w:basedOn w:val="Normal"/>
    <w:uiPriority w:val="34"/>
    <w:qFormat/>
    <w:rsid w:val="004B4FB0"/>
    <w:pPr>
      <w:spacing w:after="0" w:line="240" w:lineRule="auto"/>
      <w:ind w:left="720"/>
      <w:contextualSpacing/>
    </w:pPr>
    <w:rPr>
      <w:rFonts w:ascii="Times New Roman" w:eastAsia="Times New Roman" w:hAnsi="Times New Roman" w:cs="Times New Roman"/>
      <w:sz w:val="24"/>
      <w:szCs w:val="24"/>
      <w:lang w:eastAsia="en-US"/>
    </w:rPr>
  </w:style>
  <w:style w:type="paragraph" w:styleId="Header">
    <w:name w:val="header"/>
    <w:basedOn w:val="Normal"/>
    <w:uiPriority w:val="99"/>
    <w:unhideWhenUsed/>
    <w:rsid w:val="3736EE5C"/>
    <w:pPr>
      <w:tabs>
        <w:tab w:val="center" w:pos="4680"/>
        <w:tab w:val="right" w:pos="9360"/>
      </w:tabs>
      <w:spacing w:after="0" w:line="240" w:lineRule="auto"/>
    </w:pPr>
  </w:style>
  <w:style w:type="paragraph" w:styleId="Footer">
    <w:name w:val="footer"/>
    <w:basedOn w:val="Normal"/>
    <w:uiPriority w:val="99"/>
    <w:unhideWhenUsed/>
    <w:rsid w:val="3736EE5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61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25f6df6d841c4a1b" Type="http://schemas.microsoft.com/office/2020/10/relationships/intelligence" Target="intelligence2.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ED187B0-89D5-40BA-B567-926C1F0D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Jackman</dc:creator>
  <cp:keywords/>
  <dc:description/>
  <cp:lastModifiedBy>Hugh Jackman</cp:lastModifiedBy>
  <cp:revision>7</cp:revision>
  <dcterms:created xsi:type="dcterms:W3CDTF">2026-03-04T15:27:00Z</dcterms:created>
  <dcterms:modified xsi:type="dcterms:W3CDTF">2026-03-04T22:39:00Z</dcterms:modified>
</cp:coreProperties>
</file>