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D485" w14:textId="295EA9F7" w:rsidR="00946425" w:rsidRDefault="00946425" w:rsidP="00946425">
      <w:pPr>
        <w:jc w:val="center"/>
        <w:rPr>
          <w:b/>
          <w:bCs/>
        </w:rPr>
      </w:pPr>
      <w:r w:rsidRPr="00946425">
        <w:rPr>
          <w:b/>
          <w:bCs/>
        </w:rPr>
        <w:t>Assignment cover sheet</w:t>
      </w:r>
    </w:p>
    <w:p w14:paraId="0ECFFDAF" w14:textId="77777777" w:rsidR="00946425" w:rsidRPr="00946425" w:rsidRDefault="00946425" w:rsidP="00946425">
      <w:pPr>
        <w:jc w:val="center"/>
        <w:rPr>
          <w:b/>
          <w:bCs/>
        </w:rPr>
      </w:pPr>
    </w:p>
    <w:tbl>
      <w:tblPr>
        <w:tblStyle w:val="TableGrid"/>
        <w:tblW w:w="0" w:type="auto"/>
        <w:tblLook w:val="04A0" w:firstRow="1" w:lastRow="0" w:firstColumn="1" w:lastColumn="0" w:noHBand="0" w:noVBand="1"/>
      </w:tblPr>
      <w:tblGrid>
        <w:gridCol w:w="2405"/>
        <w:gridCol w:w="6611"/>
      </w:tblGrid>
      <w:tr w:rsidR="00861AEB" w14:paraId="333436B5" w14:textId="77777777" w:rsidTr="00861AEB">
        <w:tc>
          <w:tcPr>
            <w:tcW w:w="2405" w:type="dxa"/>
          </w:tcPr>
          <w:p w14:paraId="1AF73349" w14:textId="4A6304F0" w:rsidR="00861AEB" w:rsidRDefault="00861AEB" w:rsidP="086D05F0">
            <w:pPr>
              <w:rPr>
                <w:rFonts w:ascii="Calibri" w:eastAsia="Calibri" w:hAnsi="Calibri" w:cs="Calibri"/>
                <w:b/>
                <w:bCs/>
                <w:sz w:val="28"/>
                <w:szCs w:val="28"/>
              </w:rPr>
            </w:pPr>
            <w:r w:rsidRPr="00853A99">
              <w:rPr>
                <w:rFonts w:ascii="Calibri" w:eastAsia="Calibri" w:hAnsi="Calibri" w:cs="Calibri"/>
                <w:b/>
                <w:bCs/>
                <w:sz w:val="28"/>
                <w:szCs w:val="28"/>
              </w:rPr>
              <w:t>Module code</w:t>
            </w:r>
          </w:p>
        </w:tc>
        <w:tc>
          <w:tcPr>
            <w:tcW w:w="6611" w:type="dxa"/>
          </w:tcPr>
          <w:p w14:paraId="187748E5" w14:textId="639F9F68" w:rsidR="00861AEB" w:rsidRPr="00861AEB" w:rsidRDefault="00861AEB" w:rsidP="086D05F0">
            <w:pPr>
              <w:rPr>
                <w:rFonts w:ascii="Calibri" w:eastAsia="Calibri" w:hAnsi="Calibri" w:cs="Calibri"/>
                <w:sz w:val="28"/>
                <w:szCs w:val="28"/>
              </w:rPr>
            </w:pPr>
            <w:r w:rsidRPr="00861AEB">
              <w:rPr>
                <w:rFonts w:ascii="Calibri" w:eastAsia="Calibri" w:hAnsi="Calibri" w:cs="Calibri"/>
                <w:sz w:val="28"/>
                <w:szCs w:val="28"/>
              </w:rPr>
              <w:t>PAIR1004</w:t>
            </w:r>
          </w:p>
        </w:tc>
      </w:tr>
      <w:tr w:rsidR="00861AEB" w14:paraId="27FAAE30" w14:textId="77777777" w:rsidTr="00861AEB">
        <w:tc>
          <w:tcPr>
            <w:tcW w:w="2405" w:type="dxa"/>
          </w:tcPr>
          <w:p w14:paraId="75239C76" w14:textId="231361B4" w:rsidR="00861AEB" w:rsidRPr="00CE1AEB" w:rsidRDefault="00861AEB" w:rsidP="086D05F0">
            <w:pPr>
              <w:rPr>
                <w:rFonts w:ascii="Calibri" w:eastAsia="Calibri" w:hAnsi="Calibri" w:cs="Calibri"/>
                <w:b/>
                <w:bCs/>
                <w:sz w:val="28"/>
                <w:szCs w:val="28"/>
              </w:rPr>
            </w:pPr>
            <w:r w:rsidRPr="00CE1AEB">
              <w:rPr>
                <w:rFonts w:ascii="Calibri" w:eastAsia="Calibri" w:hAnsi="Calibri" w:cs="Calibri"/>
                <w:b/>
                <w:bCs/>
                <w:sz w:val="28"/>
                <w:szCs w:val="28"/>
              </w:rPr>
              <w:t>Student number</w:t>
            </w:r>
          </w:p>
        </w:tc>
        <w:tc>
          <w:tcPr>
            <w:tcW w:w="6611" w:type="dxa"/>
          </w:tcPr>
          <w:p w14:paraId="72364B7B" w14:textId="26453622" w:rsidR="00861AEB" w:rsidRPr="007E1C50" w:rsidRDefault="007E1C50" w:rsidP="086D05F0">
            <w:r>
              <w:t>36765813</w:t>
            </w:r>
          </w:p>
        </w:tc>
      </w:tr>
      <w:tr w:rsidR="00CF46E1" w14:paraId="3744D405" w14:textId="77777777" w:rsidTr="00861AEB">
        <w:tc>
          <w:tcPr>
            <w:tcW w:w="2405" w:type="dxa"/>
          </w:tcPr>
          <w:p w14:paraId="75B17A55" w14:textId="5D11D13B" w:rsidR="00CF46E1" w:rsidRPr="00CE1AEB" w:rsidRDefault="00CF46E1" w:rsidP="086D05F0">
            <w:pPr>
              <w:rPr>
                <w:rFonts w:ascii="Calibri" w:eastAsia="Calibri" w:hAnsi="Calibri" w:cs="Calibri"/>
                <w:b/>
                <w:bCs/>
                <w:sz w:val="28"/>
                <w:szCs w:val="28"/>
              </w:rPr>
            </w:pPr>
            <w:r>
              <w:rPr>
                <w:rFonts w:ascii="Calibri" w:eastAsia="Calibri" w:hAnsi="Calibri" w:cs="Calibri"/>
                <w:b/>
                <w:bCs/>
                <w:sz w:val="28"/>
                <w:szCs w:val="28"/>
              </w:rPr>
              <w:t>Word count</w:t>
            </w:r>
          </w:p>
        </w:tc>
        <w:tc>
          <w:tcPr>
            <w:tcW w:w="6611" w:type="dxa"/>
          </w:tcPr>
          <w:p w14:paraId="4107F313" w14:textId="77777777" w:rsidR="00CF46E1" w:rsidRDefault="00CF46E1" w:rsidP="086D05F0">
            <w:pPr>
              <w:rPr>
                <w:rFonts w:ascii="Calibri" w:eastAsia="Calibri" w:hAnsi="Calibri" w:cs="Calibri"/>
                <w:b/>
                <w:bCs/>
                <w:sz w:val="28"/>
                <w:szCs w:val="28"/>
              </w:rPr>
            </w:pPr>
          </w:p>
          <w:p w14:paraId="34AEF6F5" w14:textId="6904E608" w:rsidR="00CF46E1" w:rsidRPr="00CF46E1" w:rsidRDefault="00CF46E1" w:rsidP="086D05F0">
            <w:pPr>
              <w:rPr>
                <w:rFonts w:ascii="Calibri" w:eastAsia="Calibri" w:hAnsi="Calibri" w:cs="Calibri"/>
                <w:sz w:val="28"/>
                <w:szCs w:val="28"/>
              </w:rPr>
            </w:pPr>
            <w:r w:rsidRPr="00CF46E1">
              <w:rPr>
                <w:rFonts w:ascii="Calibri" w:eastAsia="Calibri" w:hAnsi="Calibri" w:cs="Calibri"/>
                <w:sz w:val="28"/>
                <w:szCs w:val="28"/>
              </w:rPr>
              <w:t>(excludes this cover sheet and reference list)</w:t>
            </w:r>
          </w:p>
        </w:tc>
      </w:tr>
      <w:tr w:rsidR="00861AEB" w14:paraId="677CA3BC" w14:textId="77777777" w:rsidTr="00861AEB">
        <w:tc>
          <w:tcPr>
            <w:tcW w:w="2405" w:type="dxa"/>
          </w:tcPr>
          <w:p w14:paraId="56F92EB1" w14:textId="777D3685" w:rsidR="00861AEB" w:rsidRPr="00CE1AEB" w:rsidRDefault="00861AEB" w:rsidP="086D05F0">
            <w:pPr>
              <w:rPr>
                <w:rFonts w:ascii="Calibri" w:eastAsia="Calibri" w:hAnsi="Calibri" w:cs="Calibri"/>
                <w:b/>
                <w:bCs/>
                <w:sz w:val="28"/>
                <w:szCs w:val="28"/>
              </w:rPr>
            </w:pPr>
            <w:r w:rsidRPr="00CE1AEB">
              <w:rPr>
                <w:rFonts w:ascii="Calibri" w:eastAsia="Calibri" w:hAnsi="Calibri" w:cs="Calibri"/>
                <w:b/>
                <w:bCs/>
                <w:sz w:val="28"/>
                <w:szCs w:val="28"/>
              </w:rPr>
              <w:t>Assignment title</w:t>
            </w:r>
          </w:p>
        </w:tc>
        <w:tc>
          <w:tcPr>
            <w:tcW w:w="6611" w:type="dxa"/>
          </w:tcPr>
          <w:p w14:paraId="3081328A" w14:textId="69DCC42E" w:rsidR="00861AEB" w:rsidRPr="007E1C50" w:rsidRDefault="007E1C50" w:rsidP="007E1C50">
            <w:pPr>
              <w:pStyle w:val="Title"/>
              <w:rPr>
                <w:sz w:val="24"/>
                <w:szCs w:val="24"/>
              </w:rPr>
            </w:pPr>
            <w:r w:rsidRPr="007E1C50">
              <w:rPr>
                <w:sz w:val="24"/>
                <w:szCs w:val="24"/>
              </w:rPr>
              <w:t>Gandhi’s argument for non-violence is both ethical and pragmatic. Is this claim justified?</w:t>
            </w:r>
          </w:p>
        </w:tc>
      </w:tr>
    </w:tbl>
    <w:p w14:paraId="784B7D85" w14:textId="77777777" w:rsidR="003A638A" w:rsidRDefault="003A638A" w:rsidP="086D05F0">
      <w:pPr>
        <w:rPr>
          <w:rFonts w:ascii="Calibri" w:eastAsia="Calibri" w:hAnsi="Calibri" w:cs="Calibri"/>
          <w:sz w:val="28"/>
          <w:szCs w:val="28"/>
        </w:rPr>
      </w:pPr>
    </w:p>
    <w:p w14:paraId="36552FC6" w14:textId="77777777" w:rsidR="000B304A" w:rsidRDefault="000B304A" w:rsidP="086D05F0">
      <w:pPr>
        <w:rPr>
          <w:rFonts w:ascii="Calibri" w:eastAsia="Calibri" w:hAnsi="Calibri" w:cs="Calibri"/>
          <w:sz w:val="28"/>
          <w:szCs w:val="28"/>
        </w:rPr>
      </w:pPr>
      <w:r w:rsidRPr="00CE1AEB">
        <w:rPr>
          <w:rFonts w:ascii="Calibri" w:eastAsia="Calibri" w:hAnsi="Calibri" w:cs="Calibri"/>
          <w:b/>
          <w:bCs/>
          <w:sz w:val="28"/>
          <w:szCs w:val="28"/>
        </w:rPr>
        <w:t>Declaration:</w:t>
      </w:r>
      <w:r>
        <w:rPr>
          <w:rFonts w:ascii="Calibri" w:eastAsia="Calibri" w:hAnsi="Calibri" w:cs="Calibri"/>
          <w:sz w:val="28"/>
          <w:szCs w:val="28"/>
        </w:rPr>
        <w:t xml:space="preserve"> </w:t>
      </w:r>
      <w:r w:rsidRPr="4EBA926E">
        <w:rPr>
          <w:rFonts w:ascii="Calibri" w:eastAsia="Calibri" w:hAnsi="Calibri" w:cs="Calibri"/>
          <w:sz w:val="28"/>
          <w:szCs w:val="28"/>
        </w:rPr>
        <w:t>I confirm that</w:t>
      </w:r>
      <w:r>
        <w:rPr>
          <w:rFonts w:ascii="Calibri" w:eastAsia="Calibri" w:hAnsi="Calibri" w:cs="Calibri"/>
          <w:sz w:val="28"/>
          <w:szCs w:val="28"/>
        </w:rPr>
        <w:t>…</w:t>
      </w:r>
    </w:p>
    <w:p w14:paraId="35B848D3" w14:textId="1A2C5256" w:rsidR="000B304A" w:rsidRPr="005E2B9D" w:rsidRDefault="000B304A" w:rsidP="005E2B9D">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 xml:space="preserve">I </w:t>
      </w:r>
      <w:r w:rsidR="00946425">
        <w:rPr>
          <w:rFonts w:ascii="Calibri" w:eastAsia="Calibri" w:hAnsi="Calibri" w:cs="Calibri"/>
          <w:sz w:val="28"/>
          <w:szCs w:val="28"/>
        </w:rPr>
        <w:t>am familiar with</w:t>
      </w:r>
      <w:r w:rsidRPr="005E2B9D">
        <w:rPr>
          <w:rFonts w:ascii="Calibri" w:eastAsia="Calibri" w:hAnsi="Calibri" w:cs="Calibri"/>
          <w:sz w:val="28"/>
          <w:szCs w:val="28"/>
        </w:rPr>
        <w:t xml:space="preserve"> the University’s </w:t>
      </w:r>
      <w:hyperlink r:id="rId6">
        <w:r w:rsidRPr="005E2B9D">
          <w:rPr>
            <w:rStyle w:val="Hyperlink"/>
            <w:rFonts w:ascii="Calibri" w:eastAsia="Calibri" w:hAnsi="Calibri" w:cs="Calibri"/>
            <w:sz w:val="28"/>
            <w:szCs w:val="28"/>
          </w:rPr>
          <w:t>Regulations Governing Academic Responsibility and Conduct</w:t>
        </w:r>
      </w:hyperlink>
      <w:r w:rsidRPr="005E2B9D">
        <w:rPr>
          <w:rFonts w:ascii="Calibri" w:eastAsia="Calibri" w:hAnsi="Calibri" w:cs="Calibri"/>
          <w:sz w:val="28"/>
          <w:szCs w:val="28"/>
        </w:rPr>
        <w:t xml:space="preserve"> and </w:t>
      </w:r>
      <w:hyperlink r:id="rId7">
        <w:r w:rsidRPr="005E2B9D">
          <w:rPr>
            <w:rStyle w:val="Hyperlink"/>
            <w:rFonts w:ascii="Calibri" w:eastAsia="Calibri" w:hAnsi="Calibri" w:cs="Calibri"/>
            <w:sz w:val="28"/>
            <w:szCs w:val="28"/>
          </w:rPr>
          <w:t>Academic Responsibility and Conduct Guidance</w:t>
        </w:r>
      </w:hyperlink>
      <w:r w:rsidR="005C1DA7">
        <w:rPr>
          <w:rFonts w:ascii="Calibri" w:eastAsia="Calibri" w:hAnsi="Calibri" w:cs="Calibri"/>
          <w:sz w:val="28"/>
          <w:szCs w:val="28"/>
        </w:rPr>
        <w:t xml:space="preserve"> and understand my responsibilities. </w:t>
      </w:r>
    </w:p>
    <w:p w14:paraId="5E5787A5" w14:textId="0E97EE2C" w:rsidR="00A4405E" w:rsidRPr="005E2B9D" w:rsidRDefault="000B304A" w:rsidP="005E2B9D">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T</w:t>
      </w:r>
      <w:r w:rsidR="7D77F088" w:rsidRPr="005E2B9D">
        <w:rPr>
          <w:rFonts w:ascii="Calibri" w:eastAsia="Calibri" w:hAnsi="Calibri" w:cs="Calibri"/>
          <w:sz w:val="28"/>
          <w:szCs w:val="28"/>
        </w:rPr>
        <w:t xml:space="preserve">his </w:t>
      </w:r>
      <w:r w:rsidR="0062407C" w:rsidRPr="005E2B9D">
        <w:rPr>
          <w:rFonts w:ascii="Calibri" w:eastAsia="Calibri" w:hAnsi="Calibri" w:cs="Calibri"/>
          <w:sz w:val="28"/>
          <w:szCs w:val="28"/>
        </w:rPr>
        <w:t>assignment</w:t>
      </w:r>
      <w:r w:rsidR="7D77F088" w:rsidRPr="005E2B9D">
        <w:rPr>
          <w:rFonts w:ascii="Calibri" w:eastAsia="Calibri" w:hAnsi="Calibri" w:cs="Calibri"/>
          <w:sz w:val="28"/>
          <w:szCs w:val="28"/>
        </w:rPr>
        <w:t xml:space="preserve"> is all the work of the person </w:t>
      </w:r>
      <w:r w:rsidR="00E07562">
        <w:rPr>
          <w:rFonts w:ascii="Calibri" w:eastAsia="Calibri" w:hAnsi="Calibri" w:cs="Calibri"/>
          <w:sz w:val="28"/>
          <w:szCs w:val="28"/>
        </w:rPr>
        <w:t>(</w:t>
      </w:r>
      <w:r w:rsidR="7D77F088" w:rsidRPr="005E2B9D">
        <w:rPr>
          <w:rFonts w:ascii="Calibri" w:eastAsia="Calibri" w:hAnsi="Calibri" w:cs="Calibri"/>
          <w:sz w:val="28"/>
          <w:szCs w:val="28"/>
        </w:rPr>
        <w:t>or people</w:t>
      </w:r>
      <w:r w:rsidR="00E07562">
        <w:rPr>
          <w:rFonts w:ascii="Calibri" w:eastAsia="Calibri" w:hAnsi="Calibri" w:cs="Calibri"/>
          <w:sz w:val="28"/>
          <w:szCs w:val="28"/>
        </w:rPr>
        <w:t>,</w:t>
      </w:r>
      <w:r w:rsidR="7D77F088" w:rsidRPr="005E2B9D">
        <w:rPr>
          <w:rFonts w:ascii="Calibri" w:eastAsia="Calibri" w:hAnsi="Calibri" w:cs="Calibri"/>
          <w:sz w:val="28"/>
          <w:szCs w:val="28"/>
        </w:rPr>
        <w:t xml:space="preserve"> in the case of a group project) receiving credit for it.</w:t>
      </w:r>
      <w:r w:rsidR="30CA27CA" w:rsidRPr="005E2B9D">
        <w:rPr>
          <w:rFonts w:ascii="Calibri" w:eastAsia="Calibri" w:hAnsi="Calibri" w:cs="Calibri"/>
          <w:sz w:val="28"/>
          <w:szCs w:val="28"/>
        </w:rPr>
        <w:t xml:space="preserve"> I have not obtained or attempted to obtain unauthorised input from another person or service, including the unauthorised use of GenerativeAI (such as ChatGPT</w:t>
      </w:r>
      <w:r w:rsidRPr="005E2B9D">
        <w:rPr>
          <w:rFonts w:ascii="Calibri" w:eastAsia="Calibri" w:hAnsi="Calibri" w:cs="Calibri"/>
          <w:sz w:val="28"/>
          <w:szCs w:val="28"/>
        </w:rPr>
        <w:t>, DeepSeek, Co-Pilot, etc</w:t>
      </w:r>
      <w:r w:rsidR="30CA27CA" w:rsidRPr="005E2B9D">
        <w:rPr>
          <w:rFonts w:ascii="Calibri" w:eastAsia="Calibri" w:hAnsi="Calibri" w:cs="Calibri"/>
          <w:sz w:val="28"/>
          <w:szCs w:val="28"/>
        </w:rPr>
        <w:t>), in the preparation of this submission.</w:t>
      </w:r>
    </w:p>
    <w:p w14:paraId="47D5410D" w14:textId="64F7EE0A" w:rsidR="7CBD258A" w:rsidRPr="005E2B9D" w:rsidRDefault="7CBD258A" w:rsidP="005E2B9D">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 xml:space="preserve">I am aware of the consequences </w:t>
      </w:r>
      <w:r w:rsidR="005E2B9D" w:rsidRPr="005E2B9D">
        <w:rPr>
          <w:rFonts w:ascii="Calibri" w:eastAsia="Calibri" w:hAnsi="Calibri" w:cs="Calibri"/>
          <w:sz w:val="28"/>
          <w:szCs w:val="28"/>
        </w:rPr>
        <w:t>that</w:t>
      </w:r>
      <w:r w:rsidRPr="005E2B9D">
        <w:rPr>
          <w:rFonts w:ascii="Calibri" w:eastAsia="Calibri" w:hAnsi="Calibri" w:cs="Calibri"/>
          <w:sz w:val="28"/>
          <w:szCs w:val="28"/>
        </w:rPr>
        <w:t xml:space="preserve"> may follow if I am found to have breached the Regulations.</w:t>
      </w:r>
    </w:p>
    <w:p w14:paraId="147DC12E" w14:textId="4768FF32" w:rsidR="004A2810" w:rsidRDefault="004A2810">
      <w:pPr>
        <w:rPr>
          <w:rFonts w:ascii="Calibri" w:eastAsia="Calibri" w:hAnsi="Calibri" w:cs="Calibri"/>
          <w:sz w:val="28"/>
          <w:szCs w:val="28"/>
        </w:rPr>
      </w:pPr>
    </w:p>
    <w:p w14:paraId="2A9EF5D2" w14:textId="25022622" w:rsidR="00EA4B02" w:rsidRPr="000D1DF7" w:rsidRDefault="006943D3">
      <w:pPr>
        <w:rPr>
          <w:rFonts w:ascii="Calibri" w:eastAsia="Calibri" w:hAnsi="Calibri" w:cs="Calibri"/>
          <w:b/>
          <w:bCs/>
          <w:sz w:val="28"/>
          <w:szCs w:val="28"/>
        </w:rPr>
      </w:pPr>
      <w:r w:rsidRPr="000D1DF7">
        <w:rPr>
          <w:rFonts w:ascii="Calibri" w:eastAsia="Calibri" w:hAnsi="Calibri" w:cs="Calibri"/>
          <w:b/>
          <w:bCs/>
          <w:sz w:val="28"/>
          <w:szCs w:val="28"/>
        </w:rPr>
        <w:t>Optional:</w:t>
      </w:r>
    </w:p>
    <w:p w14:paraId="16464BE0" w14:textId="36DF0226" w:rsidR="006943D3" w:rsidRDefault="00624AC0">
      <w:pPr>
        <w:rPr>
          <w:rFonts w:ascii="Calibri" w:eastAsia="Calibri" w:hAnsi="Calibri" w:cs="Calibri"/>
          <w:sz w:val="28"/>
          <w:szCs w:val="28"/>
        </w:rPr>
      </w:pPr>
      <w:r>
        <w:rPr>
          <w:rFonts w:ascii="Calibri" w:eastAsia="Calibri" w:hAnsi="Calibri" w:cs="Calibri"/>
          <w:sz w:val="28"/>
          <w:szCs w:val="28"/>
        </w:rPr>
        <w:t xml:space="preserve">I consent to </w:t>
      </w:r>
      <w:r w:rsidR="00CA397D">
        <w:rPr>
          <w:rFonts w:ascii="Calibri" w:eastAsia="Calibri" w:hAnsi="Calibri" w:cs="Calibri"/>
          <w:sz w:val="28"/>
          <w:szCs w:val="28"/>
        </w:rPr>
        <w:t>this work, in whole or part, being shared anonymously as an example for other students</w:t>
      </w:r>
      <w:r w:rsidR="00D90C58">
        <w:rPr>
          <w:rFonts w:ascii="Calibri" w:eastAsia="Calibri" w:hAnsi="Calibri" w:cs="Calibri"/>
          <w:sz w:val="28"/>
          <w:szCs w:val="28"/>
        </w:rPr>
        <w:t xml:space="preserve"> (</w:t>
      </w:r>
      <w:r w:rsidR="00441670">
        <w:rPr>
          <w:rFonts w:ascii="Calibri" w:eastAsia="Calibri" w:hAnsi="Calibri" w:cs="Calibri"/>
          <w:sz w:val="28"/>
          <w:szCs w:val="28"/>
        </w:rPr>
        <w:t>check box</w:t>
      </w:r>
      <w:r w:rsidR="00D90C58">
        <w:rPr>
          <w:rFonts w:ascii="Calibri" w:eastAsia="Calibri" w:hAnsi="Calibri" w:cs="Calibri"/>
          <w:sz w:val="28"/>
          <w:szCs w:val="28"/>
        </w:rPr>
        <w:t xml:space="preserve"> to consent)</w:t>
      </w:r>
      <w:r w:rsidR="00D90C58">
        <w:rPr>
          <w:rFonts w:ascii="Calibri" w:eastAsia="Calibri" w:hAnsi="Calibri" w:cs="Calibri"/>
          <w:sz w:val="28"/>
          <w:szCs w:val="28"/>
        </w:rPr>
        <w:tab/>
      </w:r>
      <w:r w:rsidR="00D90C58">
        <w:rPr>
          <w:rFonts w:ascii="Calibri" w:eastAsia="Calibri" w:hAnsi="Calibri" w:cs="Calibri"/>
          <w:sz w:val="28"/>
          <w:szCs w:val="28"/>
        </w:rPr>
        <w:tab/>
      </w:r>
      <w:r w:rsidR="00D90C58">
        <w:rPr>
          <w:rFonts w:ascii="Calibri" w:eastAsia="Calibri" w:hAnsi="Calibri" w:cs="Calibri"/>
          <w:sz w:val="28"/>
          <w:szCs w:val="28"/>
        </w:rPr>
        <w:tab/>
      </w:r>
      <w:r w:rsidR="00D90C58">
        <w:rPr>
          <w:rFonts w:ascii="Calibri" w:eastAsia="Calibri" w:hAnsi="Calibri" w:cs="Calibri"/>
          <w:sz w:val="28"/>
          <w:szCs w:val="28"/>
        </w:rPr>
        <w:tab/>
      </w:r>
      <w:sdt>
        <w:sdtPr>
          <w:rPr>
            <w:rFonts w:ascii="Calibri" w:eastAsia="Calibri" w:hAnsi="Calibri" w:cs="Calibri"/>
            <w:sz w:val="28"/>
            <w:szCs w:val="28"/>
          </w:rPr>
          <w:id w:val="2044480651"/>
          <w14:checkbox>
            <w14:checked w14:val="1"/>
            <w14:checkedState w14:val="2612" w14:font="MS Gothic"/>
            <w14:uncheckedState w14:val="2610" w14:font="MS Gothic"/>
          </w14:checkbox>
        </w:sdtPr>
        <w:sdtContent>
          <w:r w:rsidR="007E1C50">
            <w:rPr>
              <w:rFonts w:ascii="MS Gothic" w:eastAsia="MS Gothic" w:hAnsi="MS Gothic" w:cs="Calibri" w:hint="eastAsia"/>
              <w:sz w:val="28"/>
              <w:szCs w:val="28"/>
            </w:rPr>
            <w:t>☒</w:t>
          </w:r>
        </w:sdtContent>
      </w:sdt>
    </w:p>
    <w:p w14:paraId="29325FBE" w14:textId="77777777" w:rsidR="00EA4B02" w:rsidRDefault="00EA4B02">
      <w:pPr>
        <w:rPr>
          <w:rFonts w:ascii="Calibri" w:eastAsia="Calibri" w:hAnsi="Calibri" w:cs="Calibri"/>
          <w:sz w:val="28"/>
          <w:szCs w:val="28"/>
        </w:rPr>
      </w:pPr>
    </w:p>
    <w:p w14:paraId="4CAA2D3E" w14:textId="655EEA58" w:rsidR="004A2810" w:rsidRDefault="004A2810">
      <w:pPr>
        <w:rPr>
          <w:rFonts w:ascii="Calibri" w:eastAsia="Calibri" w:hAnsi="Calibri" w:cs="Calibri"/>
          <w:sz w:val="28"/>
          <w:szCs w:val="28"/>
        </w:rPr>
      </w:pPr>
      <w:r>
        <w:rPr>
          <w:rFonts w:ascii="Calibri" w:eastAsia="Calibri" w:hAnsi="Calibri" w:cs="Calibri"/>
          <w:sz w:val="28"/>
          <w:szCs w:val="28"/>
        </w:rPr>
        <w:t xml:space="preserve">[Please </w:t>
      </w:r>
      <w:r w:rsidR="00F451ED">
        <w:rPr>
          <w:rFonts w:ascii="Calibri" w:eastAsia="Calibri" w:hAnsi="Calibri" w:cs="Calibri"/>
          <w:sz w:val="28"/>
          <w:szCs w:val="28"/>
        </w:rPr>
        <w:t>submit this</w:t>
      </w:r>
      <w:r w:rsidR="00CF46E1">
        <w:rPr>
          <w:rFonts w:ascii="Calibri" w:eastAsia="Calibri" w:hAnsi="Calibri" w:cs="Calibri"/>
          <w:sz w:val="28"/>
          <w:szCs w:val="28"/>
        </w:rPr>
        <w:t xml:space="preserve"> cover sheet</w:t>
      </w:r>
      <w:r w:rsidR="00F451ED">
        <w:rPr>
          <w:rFonts w:ascii="Calibri" w:eastAsia="Calibri" w:hAnsi="Calibri" w:cs="Calibri"/>
          <w:sz w:val="28"/>
          <w:szCs w:val="28"/>
        </w:rPr>
        <w:t xml:space="preserve"> as the first page of your assignment, with your answer below. Do </w:t>
      </w:r>
      <w:r w:rsidR="00F451ED" w:rsidRPr="00E12977">
        <w:rPr>
          <w:rFonts w:ascii="Calibri" w:eastAsia="Calibri" w:hAnsi="Calibri" w:cs="Calibri"/>
          <w:b/>
          <w:bCs/>
          <w:sz w:val="28"/>
          <w:szCs w:val="28"/>
        </w:rPr>
        <w:t>not</w:t>
      </w:r>
      <w:r w:rsidR="00F451ED">
        <w:rPr>
          <w:rFonts w:ascii="Calibri" w:eastAsia="Calibri" w:hAnsi="Calibri" w:cs="Calibri"/>
          <w:sz w:val="28"/>
          <w:szCs w:val="28"/>
        </w:rPr>
        <w:t xml:space="preserve"> submit </w:t>
      </w:r>
      <w:r w:rsidR="00E12977">
        <w:rPr>
          <w:rFonts w:ascii="Calibri" w:eastAsia="Calibri" w:hAnsi="Calibri" w:cs="Calibri"/>
          <w:sz w:val="28"/>
          <w:szCs w:val="28"/>
        </w:rPr>
        <w:t xml:space="preserve">it </w:t>
      </w:r>
      <w:r w:rsidR="003F6F25">
        <w:rPr>
          <w:rFonts w:ascii="Calibri" w:eastAsia="Calibri" w:hAnsi="Calibri" w:cs="Calibri"/>
          <w:sz w:val="28"/>
          <w:szCs w:val="28"/>
        </w:rPr>
        <w:t xml:space="preserve">as a </w:t>
      </w:r>
      <w:r w:rsidR="00E12977">
        <w:rPr>
          <w:rFonts w:ascii="Calibri" w:eastAsia="Calibri" w:hAnsi="Calibri" w:cs="Calibri"/>
          <w:sz w:val="28"/>
          <w:szCs w:val="28"/>
        </w:rPr>
        <w:t>separate</w:t>
      </w:r>
      <w:r w:rsidR="003F6F25">
        <w:rPr>
          <w:rFonts w:ascii="Calibri" w:eastAsia="Calibri" w:hAnsi="Calibri" w:cs="Calibri"/>
          <w:sz w:val="28"/>
          <w:szCs w:val="28"/>
        </w:rPr>
        <w:t xml:space="preserve"> file</w:t>
      </w:r>
      <w:r w:rsidR="00E12977">
        <w:rPr>
          <w:rFonts w:ascii="Calibri" w:eastAsia="Calibri" w:hAnsi="Calibri" w:cs="Calibri"/>
          <w:sz w:val="28"/>
          <w:szCs w:val="28"/>
        </w:rPr>
        <w:t xml:space="preserve"> – your second submission will overwrite the first.]</w:t>
      </w:r>
    </w:p>
    <w:p w14:paraId="1219B41D" w14:textId="77777777" w:rsidR="007E1C50" w:rsidRDefault="007E1C50">
      <w:pPr>
        <w:rPr>
          <w:rFonts w:ascii="Calibri" w:eastAsia="Calibri" w:hAnsi="Calibri" w:cs="Calibri"/>
          <w:sz w:val="28"/>
          <w:szCs w:val="28"/>
        </w:rPr>
      </w:pPr>
    </w:p>
    <w:p w14:paraId="76C7F5DA" w14:textId="77777777" w:rsidR="007E1C50" w:rsidRDefault="007E1C50">
      <w:pPr>
        <w:rPr>
          <w:rFonts w:ascii="Calibri" w:eastAsia="Calibri" w:hAnsi="Calibri" w:cs="Calibri"/>
          <w:sz w:val="28"/>
          <w:szCs w:val="28"/>
        </w:rPr>
      </w:pPr>
    </w:p>
    <w:p w14:paraId="7762512C" w14:textId="77777777" w:rsidR="007E1C50" w:rsidRPr="007E1C50" w:rsidRDefault="007E1C50" w:rsidP="007E1C50">
      <w:pPr>
        <w:pStyle w:val="Title"/>
      </w:pPr>
      <w:r w:rsidRPr="007E1C50">
        <w:lastRenderedPageBreak/>
        <w:t>Gandhi’s argument for non-violence is both ethical and pragmatic. Is this claim justified?</w:t>
      </w:r>
    </w:p>
    <w:p w14:paraId="11D0EC77" w14:textId="77777777" w:rsidR="007E1C50" w:rsidRPr="007E1C50" w:rsidRDefault="007E1C50" w:rsidP="007E1C50">
      <w:pPr>
        <w:rPr>
          <w:rFonts w:ascii="Garamond" w:eastAsia="Aptos" w:hAnsi="Garamond" w:cs="Aptos"/>
        </w:rPr>
      </w:pPr>
    </w:p>
    <w:p w14:paraId="170C3EDD" w14:textId="77777777" w:rsidR="007E1C50" w:rsidRPr="007E1C50" w:rsidRDefault="007E1C50" w:rsidP="007E1C50">
      <w:pPr>
        <w:pStyle w:val="Heading1"/>
      </w:pPr>
      <w:r w:rsidRPr="007E1C50">
        <w:t>Introduction</w:t>
      </w:r>
    </w:p>
    <w:p w14:paraId="4BD46F83"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Gandhi’s defence of non-violence is typically presented as reliant on two distinct tenets: an ethical commitment to the moral unity, and a pragmatic assessment of how freedom can be effectively achieved (under conditions of colonial domination). I shall argue that Gandhi’s claim is partially justified, in that non-violence is ethically coherent and consistent within his broader critique of modern civilisation and can be pragmatically effective under specific political conditions. </w:t>
      </w:r>
    </w:p>
    <w:p w14:paraId="2FC6DC84"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However, its pragmatic force is limited by its inherent reliance on specific structural factors that come with imperial rule – which restricts is applicability as a strategy of liberation. Ergo, by distinguishing clearly between ethical justifications and pragmatic effectiveness, we can see both the benefits and drawbacks of Gandhi’s argument for non-violence. </w:t>
      </w:r>
    </w:p>
    <w:p w14:paraId="7B068B51" w14:textId="77777777" w:rsidR="007E1C50" w:rsidRPr="007E1C50" w:rsidRDefault="007E1C50" w:rsidP="007E1C50">
      <w:pPr>
        <w:pStyle w:val="Heading1"/>
      </w:pPr>
      <w:r w:rsidRPr="007E1C50">
        <w:t>Ethical Aspects of Gandhian Non-Violence</w:t>
      </w:r>
    </w:p>
    <w:p w14:paraId="451B9AB0"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Ethically, Gandhi’s commitment to non-violence originates in his view of freedom, which rejects domination not only as an external political factor, but also as a moral relationship between people. In </w:t>
      </w:r>
      <w:r w:rsidRPr="007E1C50">
        <w:rPr>
          <w:rFonts w:ascii="Garamond" w:eastAsia="Aptos" w:hAnsi="Garamond" w:cs="Aptos"/>
          <w:i/>
          <w:iCs/>
        </w:rPr>
        <w:t>“Hind Swaraj”</w:t>
      </w:r>
      <w:r w:rsidRPr="007E1C50">
        <w:rPr>
          <w:rFonts w:ascii="Garamond" w:eastAsia="Aptos" w:hAnsi="Garamond" w:cs="Aptos"/>
        </w:rPr>
        <w:t xml:space="preserve">, Gandhi argues that </w:t>
      </w:r>
      <w:r w:rsidRPr="007E1C50">
        <w:rPr>
          <w:rFonts w:ascii="Garamond" w:eastAsia="Aptos" w:hAnsi="Garamond" w:cs="Aptos"/>
          <w:i/>
          <w:iCs/>
        </w:rPr>
        <w:t>swaraj</w:t>
      </w:r>
      <w:r w:rsidRPr="007E1C50">
        <w:rPr>
          <w:rFonts w:ascii="Garamond" w:eastAsia="Aptos" w:hAnsi="Garamond" w:cs="Aptos"/>
        </w:rPr>
        <w:t xml:space="preserve"> (true freedom), requires self-rule in both the collective and individual sense. Implying that liberation can’t be achieved through any means that reproduce coercion and moral corruption (Gandhi, 2009). Thereby on this view, violence is ethically self-defeating as it induces instances of domination, which are incompatible with this theory of self-rule.</w:t>
      </w:r>
    </w:p>
    <w:p w14:paraId="4F0A19F1" w14:textId="77777777" w:rsidR="007E1C50" w:rsidRPr="007E1C50" w:rsidRDefault="007E1C50" w:rsidP="007E1C50">
      <w:pPr>
        <w:rPr>
          <w:rFonts w:ascii="Garamond" w:eastAsia="Aptos" w:hAnsi="Garamond" w:cs="Aptos"/>
        </w:rPr>
      </w:pPr>
      <w:r w:rsidRPr="007E1C50">
        <w:rPr>
          <w:rFonts w:ascii="Garamond" w:eastAsia="Aptos" w:hAnsi="Garamond" w:cs="Aptos"/>
        </w:rPr>
        <w:t>This ethical position is connected to Gandhi’s broader critiques of modern western civilisation as well. He rejects the assumption that political progress is measured by technological advancement, and / or institutional efficiency; alternatively proposing, that modernity encourages moral degradation, and dependence (Gandhi, 2009). Non-violence, therefore, functions as some form of moral discipline that resists all the dehumanising tendencies of modern politics. Furthermore, Nandy observes that Gandhi’s ethical rejection of violence is in fact inseparable from his broader cultural critiques of the west, wherein violence is understood to be symptomatic of any civilisation that stakes power over moral self-restraint (Nandy, 1981).</w:t>
      </w:r>
    </w:p>
    <w:p w14:paraId="519221BE"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From this, Gandhi’s ethical argument for non-violence appears somewhat robust. Not simply being an abstract moral preference but is a systematic account of how freedom and moral agency are symbiotic and interdependent. As a note of importance, Gandhi does not claim that non-violence guarantees moral purity or political success outright but rather maintains that violent resistance necessarily undermines all ethical foundations of the freedom of which it aims to </w:t>
      </w:r>
      <w:r w:rsidRPr="007E1C50">
        <w:rPr>
          <w:rFonts w:ascii="Garamond" w:eastAsia="Aptos" w:hAnsi="Garamond" w:cs="Aptos"/>
        </w:rPr>
        <w:lastRenderedPageBreak/>
        <w:t>secure. By this, the ethical justification of non-violence is self-coherent and defensible within Gandhi’s conception of freedom.</w:t>
      </w:r>
    </w:p>
    <w:p w14:paraId="6E256524" w14:textId="77777777" w:rsidR="007E1C50" w:rsidRPr="007E1C50" w:rsidRDefault="007E1C50" w:rsidP="007E1C50">
      <w:pPr>
        <w:pStyle w:val="Heading1"/>
      </w:pPr>
      <w:r w:rsidRPr="007E1C50">
        <w:t>Non-Violence as a Pragmatic Political Strategy</w:t>
      </w:r>
    </w:p>
    <w:p w14:paraId="2BA5FE3B" w14:textId="77777777" w:rsidR="007E1C50" w:rsidRPr="007E1C50" w:rsidRDefault="007E1C50" w:rsidP="007E1C50">
      <w:pPr>
        <w:rPr>
          <w:rFonts w:ascii="Garamond" w:eastAsia="Aptos" w:hAnsi="Garamond" w:cs="Aptos"/>
        </w:rPr>
      </w:pPr>
      <w:r w:rsidRPr="007E1C50">
        <w:rPr>
          <w:rFonts w:ascii="Garamond" w:eastAsia="Aptos" w:hAnsi="Garamond" w:cs="Aptos"/>
        </w:rPr>
        <w:t>Gandhi also presents non-violence as a pragmatic strategy for resisting colonial rule. He argues that non-violent resistance incites and mobilises mass participation, exposes any moral illegitimacy of imperial power, and will necessarily degrade the authority of the coloniser without inciting excessive repression. Mantena characterises this approach as a form of “political realism”, in which Gandhi recognises as the structural asymmetries of imperial power, and adapts political resistance accordingly (Mantena, 2012).</w:t>
      </w:r>
    </w:p>
    <w:p w14:paraId="1A16E358" w14:textId="77777777" w:rsidR="007E1C50" w:rsidRPr="007E1C50" w:rsidRDefault="007E1C50" w:rsidP="007E1C50">
      <w:pPr>
        <w:rPr>
          <w:rFonts w:ascii="Garamond" w:eastAsia="Aptos" w:hAnsi="Garamond" w:cs="Aptos"/>
        </w:rPr>
      </w:pPr>
      <w:r w:rsidRPr="007E1C50">
        <w:rPr>
          <w:rFonts w:ascii="Garamond" w:eastAsia="Aptos" w:hAnsi="Garamond" w:cs="Aptos"/>
        </w:rPr>
        <w:t>Non-violent action therefore is pragmatically effective, as it targets the moral and political vulnerabilities of liberal empire. British colonial rule in India, for example, depended not only on coercive force, but also on claims of moral superiority and civilisational legitimacy. Non-violent resistance undermined these claims by forcing the colonial state to confront the contradiction between its own values and its oppressive practices. As Mantena also argued, Gandhi’s strategy aimed to transform political conflict into a moral confrontation that imperial authorities were not set to win (Mantena, 2012).</w:t>
      </w:r>
    </w:p>
    <w:p w14:paraId="7B1C6C80" w14:textId="77777777" w:rsidR="007E1C50" w:rsidRPr="007E1C50" w:rsidRDefault="007E1C50" w:rsidP="007E1C50">
      <w:pPr>
        <w:rPr>
          <w:rFonts w:ascii="Garamond" w:eastAsia="Aptos" w:hAnsi="Garamond" w:cs="Aptos"/>
        </w:rPr>
      </w:pPr>
      <w:r w:rsidRPr="007E1C50">
        <w:rPr>
          <w:rFonts w:ascii="Garamond" w:eastAsia="Aptos" w:hAnsi="Garamond" w:cs="Aptos"/>
        </w:rPr>
        <w:t>In addition, non-violence enabled broad participation trans-socially, reducing reliance on elite-led or militarised movements that risked reproducing new forms of domination after independence. In this sense, Gandhi’s pragmatic argument is closely aligned with his ethical commitments: where non-violence is not only morally preferable but politically advantageous insofar as it incites civic discipline and collective self-rule without the emergence of new domination.</w:t>
      </w:r>
    </w:p>
    <w:p w14:paraId="0C7B59EC" w14:textId="77777777" w:rsidR="007E1C50" w:rsidRPr="007E1C50" w:rsidRDefault="007E1C50" w:rsidP="007E1C50">
      <w:pPr>
        <w:pStyle w:val="Heading2"/>
      </w:pPr>
      <w:r w:rsidRPr="007E1C50">
        <w:t>Limitations of Gandhi’s pragmatic claim</w:t>
      </w:r>
    </w:p>
    <w:p w14:paraId="73356A1B"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Despite the apparent strengths of this, Gandhi’s pragmatic justification for non-violence is victim to significant limitations. Most notably, its effectiveness depends on the specific characteristics of colonial power. Non-violent resistance assumes a coloniser that is at least partially susceptible to moral pressures and are constrained by public opinion. This raises questions about whether Gandhi’s theory and strategy can be generalised beyond its relevant context of British imperial rule. </w:t>
      </w:r>
    </w:p>
    <w:p w14:paraId="63347090" w14:textId="77777777" w:rsidR="007E1C50" w:rsidRPr="007E1C50" w:rsidRDefault="007E1C50" w:rsidP="007E1C50">
      <w:pPr>
        <w:rPr>
          <w:rFonts w:ascii="Garamond" w:eastAsia="Aptos" w:hAnsi="Garamond" w:cs="Aptos"/>
        </w:rPr>
      </w:pPr>
      <w:r w:rsidRPr="007E1C50">
        <w:rPr>
          <w:rFonts w:ascii="Garamond" w:eastAsia="Aptos" w:hAnsi="Garamond" w:cs="Aptos"/>
        </w:rPr>
        <w:t>Roberts’ comparative analysis of anti-colonial struggles further emphasises this. Fanon highlights this limitation, through the argument that colonial domination is fundamentally violent, and that non-violence carries risks of reinforcing colonial hierarchies by leaving the past structure of coercion and imperialism intact (Roberts, 2004). While Gandhi rejects this conclusion, Fanon’s critique demonstrates the key vulnerabilities in the pragmatic case for non-violence: where colonial rule relies primarily on brute force, rather than moral legitimacy, non-violent resistance may lack this leverage which is necessary to achieve full and complete liberation.</w:t>
      </w:r>
    </w:p>
    <w:p w14:paraId="6DCF2D96"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Even with Gandhi’s own framework, this limitation is implicitly acknowledged. His emphasis on self-discipline, moral conversion, and gradual transformation implies an awareness that non-violence isn’t universally effective but can be a tactic that requires specific sociopolitical conditions. As Panda notes, Gandhi’s defence of non-violence presupposes a moral environment </w:t>
      </w:r>
      <w:r w:rsidRPr="007E1C50">
        <w:rPr>
          <w:rFonts w:ascii="Garamond" w:eastAsia="Aptos" w:hAnsi="Garamond" w:cs="Aptos"/>
        </w:rPr>
        <w:lastRenderedPageBreak/>
        <w:t>that may not hold in contexts marked by extreme violence and systematic dehumanisation (Panda, 2020)</w:t>
      </w:r>
    </w:p>
    <w:p w14:paraId="4014B533" w14:textId="77777777" w:rsidR="007E1C50" w:rsidRPr="007E1C50" w:rsidRDefault="007E1C50" w:rsidP="007E1C50">
      <w:pPr>
        <w:pStyle w:val="Heading1"/>
      </w:pPr>
      <w:r w:rsidRPr="007E1C50">
        <w:t>Analysis of the Ethical-Pragmatic Theory</w:t>
      </w:r>
    </w:p>
    <w:p w14:paraId="757839F8" w14:textId="77777777" w:rsidR="007E1C50" w:rsidRPr="007E1C50" w:rsidRDefault="007E1C50" w:rsidP="007E1C50">
      <w:pPr>
        <w:rPr>
          <w:rFonts w:ascii="Garamond" w:eastAsia="Aptos" w:hAnsi="Garamond" w:cs="Aptos"/>
        </w:rPr>
      </w:pPr>
      <w:r w:rsidRPr="007E1C50">
        <w:rPr>
          <w:rFonts w:ascii="Garamond" w:eastAsia="Aptos" w:hAnsi="Garamond" w:cs="Aptos"/>
        </w:rPr>
        <w:t>The tension between the ethical and pragmatic features of Gandhi’s argument shouldn’t be understood as a fatal flaw, but rather as elucidating on the rather conditional nature of his political theory. Gandhi does not claim that non-violence will always succeed, but that it represents the only means compatible with freedom understood as self-rule and moral autonomy. Where non-violence fails pragmatically, I would argue that the failure reflects not the weakness of the theory’s principle but the depth of moral and political corruption evident in such situations.</w:t>
      </w:r>
    </w:p>
    <w:p w14:paraId="2054D422" w14:textId="77777777" w:rsidR="007E1C50" w:rsidRPr="007E1C50" w:rsidRDefault="007E1C50" w:rsidP="007E1C50">
      <w:pPr>
        <w:rPr>
          <w:rFonts w:ascii="Garamond" w:eastAsia="Aptos" w:hAnsi="Garamond" w:cs="Aptos"/>
        </w:rPr>
      </w:pPr>
      <w:r w:rsidRPr="007E1C50">
        <w:rPr>
          <w:rFonts w:ascii="Garamond" w:eastAsia="Aptos" w:hAnsi="Garamond" w:cs="Aptos"/>
        </w:rPr>
        <w:t xml:space="preserve">This position, however, invites a rather critical reassessment. While the ethical justification for non-violence remains compelling, insisting on its universal pragmatic superiority risks moralising political struggle and therefore underestimating the structural realities of domination. A more defensible interpretation of Gandhi’s claim is therefore a qualified one, where non-violence is ethically necessary for freedom, but only pragmatically sufficient under certain institutional conditions. </w:t>
      </w:r>
    </w:p>
    <w:p w14:paraId="715AEB8C" w14:textId="77777777" w:rsidR="007E1C50" w:rsidRPr="007E1C50" w:rsidRDefault="007E1C50" w:rsidP="007E1C50">
      <w:pPr>
        <w:pStyle w:val="Heading1"/>
      </w:pPr>
      <w:r w:rsidRPr="007E1C50">
        <w:t>Conclusion</w:t>
      </w:r>
    </w:p>
    <w:p w14:paraId="480B59D6" w14:textId="77777777" w:rsidR="007E1C50" w:rsidRPr="007E1C50" w:rsidRDefault="007E1C50" w:rsidP="007E1C50">
      <w:pPr>
        <w:rPr>
          <w:rFonts w:ascii="Garamond" w:eastAsia="Aptos" w:hAnsi="Garamond" w:cs="Aptos"/>
        </w:rPr>
      </w:pPr>
      <w:r w:rsidRPr="007E1C50">
        <w:rPr>
          <w:rFonts w:ascii="Garamond" w:eastAsia="Aptos" w:hAnsi="Garamond" w:cs="Aptos"/>
        </w:rPr>
        <w:t>Gandhi’s argument that non-violence is both ethical and pragmatic is justified, but only within limits that we can set. Ethically, non-violence is central to the conception of freedom as self-rule, and it coheres with Gandhi’s critique of modern civilisation and domination. Pragmatically, non-violence can be an effective strategy of resistance, particularly against forms of imperial rule that depend on public accountability. However, its effectiveness is contingent on these factors rather than being universal. Recognising these limits doesn’t necessarily weaken Gandhi’s theory; instead, clarifies its range of effectiveness (as it were) and preserves its ethical power while avoiding overstated claims about universal political applicability. In this qualified sense, Gandhi’s defence of non-violence is still a powerful, unexhaustive, account of how freedom may be perused under conditions of domination.</w:t>
      </w:r>
    </w:p>
    <w:p w14:paraId="768249DF" w14:textId="77777777" w:rsidR="007E1C50" w:rsidRPr="007E1C50" w:rsidRDefault="007E1C50" w:rsidP="007E1C50">
      <w:pPr>
        <w:rPr>
          <w:rFonts w:ascii="Garamond" w:eastAsia="Aptos" w:hAnsi="Garamond" w:cs="Aptos"/>
        </w:rPr>
      </w:pPr>
    </w:p>
    <w:p w14:paraId="7F58D5C3" w14:textId="77777777" w:rsidR="007E1C50" w:rsidRPr="007E1C50" w:rsidRDefault="007E1C50" w:rsidP="007E1C50">
      <w:pPr>
        <w:pStyle w:val="Heading1"/>
      </w:pPr>
      <w:r w:rsidRPr="007E1C50">
        <w:t>Bibliography</w:t>
      </w:r>
    </w:p>
    <w:p w14:paraId="0E0D8D4F" w14:textId="77777777" w:rsidR="007E1C50" w:rsidRPr="007E1C50" w:rsidRDefault="007E1C50" w:rsidP="007E1C50">
      <w:pPr>
        <w:rPr>
          <w:rFonts w:ascii="Garamond" w:hAnsi="Garamond"/>
        </w:rPr>
      </w:pPr>
      <w:r w:rsidRPr="007E1C50">
        <w:rPr>
          <w:rFonts w:ascii="Garamond" w:eastAsia="Aptos" w:hAnsi="Garamond" w:cs="Aptos"/>
        </w:rPr>
        <w:t xml:space="preserve">Gandhi, M. (2009) </w:t>
      </w:r>
      <w:r w:rsidRPr="007E1C50">
        <w:rPr>
          <w:rFonts w:ascii="Garamond" w:eastAsia="Aptos" w:hAnsi="Garamond" w:cs="Aptos"/>
          <w:i/>
          <w:iCs/>
        </w:rPr>
        <w:t>Hind Swaraj and Other Writings</w:t>
      </w:r>
      <w:r w:rsidRPr="007E1C50">
        <w:rPr>
          <w:rFonts w:ascii="Garamond" w:eastAsia="Aptos" w:hAnsi="Garamond" w:cs="Aptos"/>
        </w:rPr>
        <w:t>. 2nd edn. Cambridge: Cambridge University Press.</w:t>
      </w:r>
    </w:p>
    <w:p w14:paraId="38F2BFBB" w14:textId="77777777" w:rsidR="007E1C50" w:rsidRPr="007E1C50" w:rsidRDefault="007E1C50" w:rsidP="007E1C50">
      <w:pPr>
        <w:rPr>
          <w:rFonts w:ascii="Garamond" w:hAnsi="Garamond"/>
        </w:rPr>
      </w:pPr>
      <w:r w:rsidRPr="007E1C50">
        <w:rPr>
          <w:rFonts w:ascii="Garamond" w:eastAsia="Aptos" w:hAnsi="Garamond" w:cs="Aptos"/>
        </w:rPr>
        <w:t xml:space="preserve">Nandy, A. (1981) ‘From Outside the Imperium: Gandhi’s Cultural Critique of the West’, </w:t>
      </w:r>
      <w:r w:rsidRPr="007E1C50">
        <w:rPr>
          <w:rFonts w:ascii="Garamond" w:eastAsia="Aptos" w:hAnsi="Garamond" w:cs="Aptos"/>
          <w:i/>
          <w:iCs/>
        </w:rPr>
        <w:t>Alternatives</w:t>
      </w:r>
      <w:r w:rsidRPr="007E1C50">
        <w:rPr>
          <w:rFonts w:ascii="Garamond" w:eastAsia="Aptos" w:hAnsi="Garamond" w:cs="Aptos"/>
        </w:rPr>
        <w:t>, 7(2), pp. 189–211.</w:t>
      </w:r>
    </w:p>
    <w:p w14:paraId="53B22CF8" w14:textId="58E76117" w:rsidR="007E1C50" w:rsidRPr="007E1C50" w:rsidRDefault="007E1C50" w:rsidP="007E1C50">
      <w:pPr>
        <w:rPr>
          <w:rFonts w:ascii="Garamond" w:hAnsi="Garamond"/>
        </w:rPr>
      </w:pPr>
      <w:r w:rsidRPr="007E1C50">
        <w:rPr>
          <w:rFonts w:ascii="Garamond" w:eastAsia="Aptos" w:hAnsi="Garamond" w:cs="Aptos"/>
        </w:rPr>
        <w:t xml:space="preserve">Mantena, K. (2012) ‘Another Realism: The Politics of Gandhian Nonviolence’, </w:t>
      </w:r>
      <w:r w:rsidRPr="007E1C50">
        <w:rPr>
          <w:rFonts w:ascii="Garamond" w:eastAsia="Aptos" w:hAnsi="Garamond" w:cs="Aptos"/>
          <w:i/>
          <w:iCs/>
        </w:rPr>
        <w:t>American Political Science Review</w:t>
      </w:r>
      <w:r>
        <w:rPr>
          <w:rFonts w:ascii="Garamond" w:eastAsia="Aptos" w:hAnsi="Garamond" w:cs="Aptos"/>
        </w:rPr>
        <w:t>.</w:t>
      </w:r>
    </w:p>
    <w:p w14:paraId="7573FD3B" w14:textId="77777777" w:rsidR="007E1C50" w:rsidRPr="007E1C50" w:rsidRDefault="007E1C50" w:rsidP="007E1C50">
      <w:pPr>
        <w:rPr>
          <w:rFonts w:ascii="Garamond" w:hAnsi="Garamond"/>
        </w:rPr>
      </w:pPr>
      <w:r w:rsidRPr="007E1C50">
        <w:rPr>
          <w:rFonts w:ascii="Garamond" w:eastAsia="Aptos" w:hAnsi="Garamond" w:cs="Aptos"/>
        </w:rPr>
        <w:t xml:space="preserve">Roberts, N. (2004) ‘Fanon, Sartre, Violence, and Freedom’, in </w:t>
      </w:r>
      <w:r w:rsidRPr="007E1C50">
        <w:rPr>
          <w:rFonts w:ascii="Garamond" w:eastAsia="Aptos" w:hAnsi="Garamond" w:cs="Aptos"/>
          <w:i/>
          <w:iCs/>
        </w:rPr>
        <w:t>Fanon, Sartre, Violence, and Freedom</w:t>
      </w:r>
      <w:r w:rsidRPr="007E1C50">
        <w:rPr>
          <w:rFonts w:ascii="Garamond" w:eastAsia="Aptos" w:hAnsi="Garamond" w:cs="Aptos"/>
        </w:rPr>
        <w:t>. Albany: SUNY Press.</w:t>
      </w:r>
    </w:p>
    <w:p w14:paraId="7DC6CA26" w14:textId="708F1ACD" w:rsidR="007E1C50" w:rsidRPr="007E1C50" w:rsidRDefault="007E1C50" w:rsidP="007E1C50">
      <w:pPr>
        <w:rPr>
          <w:rFonts w:ascii="Garamond" w:hAnsi="Garamond"/>
        </w:rPr>
      </w:pPr>
      <w:r w:rsidRPr="007E1C50">
        <w:rPr>
          <w:rFonts w:ascii="Garamond" w:eastAsia="Garamond" w:hAnsi="Garamond" w:cs="Garamond"/>
        </w:rPr>
        <w:lastRenderedPageBreak/>
        <w:t xml:space="preserve">Panda, R. (2020) ‘Gandhi’s Hind Swaraj: A Philosophical Appraisal’, </w:t>
      </w:r>
      <w:r w:rsidRPr="007E1C50">
        <w:rPr>
          <w:rFonts w:ascii="Garamond" w:eastAsia="Garamond" w:hAnsi="Garamond" w:cs="Garamond"/>
          <w:i/>
          <w:iCs/>
        </w:rPr>
        <w:t>Journal of Indian Council of Philosophical Research</w:t>
      </w:r>
      <w:r>
        <w:rPr>
          <w:rFonts w:ascii="Garamond" w:eastAsia="Garamond" w:hAnsi="Garamond" w:cs="Garamond"/>
        </w:rPr>
        <w:t>.</w:t>
      </w:r>
    </w:p>
    <w:p w14:paraId="6C078410" w14:textId="77777777" w:rsidR="007E1C50" w:rsidRPr="007E1C50" w:rsidRDefault="007E1C50">
      <w:pPr>
        <w:rPr>
          <w:rFonts w:ascii="Garamond" w:hAnsi="Garamond"/>
        </w:rPr>
      </w:pPr>
    </w:p>
    <w:sectPr w:rsidR="007E1C50" w:rsidRPr="007E1C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E3255"/>
    <w:multiLevelType w:val="hybridMultilevel"/>
    <w:tmpl w:val="6D12C9EA"/>
    <w:lvl w:ilvl="0" w:tplc="D17C4312">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55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5C3BC9"/>
    <w:rsid w:val="000341DA"/>
    <w:rsid w:val="00042C85"/>
    <w:rsid w:val="000B304A"/>
    <w:rsid w:val="000D1DF7"/>
    <w:rsid w:val="001E2D55"/>
    <w:rsid w:val="00266984"/>
    <w:rsid w:val="00271464"/>
    <w:rsid w:val="003A638A"/>
    <w:rsid w:val="003F6F25"/>
    <w:rsid w:val="0041613E"/>
    <w:rsid w:val="00441670"/>
    <w:rsid w:val="004613B8"/>
    <w:rsid w:val="004A2810"/>
    <w:rsid w:val="00582A0C"/>
    <w:rsid w:val="005C1DA7"/>
    <w:rsid w:val="005E2B9D"/>
    <w:rsid w:val="0062407C"/>
    <w:rsid w:val="00624AC0"/>
    <w:rsid w:val="006943D3"/>
    <w:rsid w:val="006C2E9A"/>
    <w:rsid w:val="007E1C50"/>
    <w:rsid w:val="00853A99"/>
    <w:rsid w:val="00861AEB"/>
    <w:rsid w:val="00946425"/>
    <w:rsid w:val="009D2A4B"/>
    <w:rsid w:val="00A4405E"/>
    <w:rsid w:val="00C957DC"/>
    <w:rsid w:val="00CA397D"/>
    <w:rsid w:val="00CE1AEB"/>
    <w:rsid w:val="00CF46E1"/>
    <w:rsid w:val="00D90C58"/>
    <w:rsid w:val="00E07562"/>
    <w:rsid w:val="00E12977"/>
    <w:rsid w:val="00EA4B02"/>
    <w:rsid w:val="00F451ED"/>
    <w:rsid w:val="086D05F0"/>
    <w:rsid w:val="09226F97"/>
    <w:rsid w:val="098392F9"/>
    <w:rsid w:val="0D237351"/>
    <w:rsid w:val="102CF733"/>
    <w:rsid w:val="1088CB2D"/>
    <w:rsid w:val="1363D3BF"/>
    <w:rsid w:val="155C3BC9"/>
    <w:rsid w:val="16AC337D"/>
    <w:rsid w:val="176168F7"/>
    <w:rsid w:val="195933C7"/>
    <w:rsid w:val="1B8D460D"/>
    <w:rsid w:val="23ACF70C"/>
    <w:rsid w:val="308F5DF4"/>
    <w:rsid w:val="30CA27CA"/>
    <w:rsid w:val="3A31C6E9"/>
    <w:rsid w:val="4EBA926E"/>
    <w:rsid w:val="4ECA3EB0"/>
    <w:rsid w:val="6278BDBB"/>
    <w:rsid w:val="6467CC3A"/>
    <w:rsid w:val="671EDFFE"/>
    <w:rsid w:val="681EB84A"/>
    <w:rsid w:val="6A3E918B"/>
    <w:rsid w:val="74F1E653"/>
    <w:rsid w:val="75F9C58D"/>
    <w:rsid w:val="7644CB63"/>
    <w:rsid w:val="7A203232"/>
    <w:rsid w:val="7CBD258A"/>
    <w:rsid w:val="7D77F088"/>
    <w:rsid w:val="7E672DC6"/>
    <w:rsid w:val="7EA247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3BC9"/>
  <w15:chartTrackingRefBased/>
  <w15:docId w15:val="{3AB7D02A-DA35-4645-A7DF-67F120CE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C50"/>
    <w:pPr>
      <w:keepNext/>
      <w:keepLines/>
      <w:spacing w:before="240" w:after="0"/>
      <w:outlineLvl w:val="0"/>
    </w:pPr>
    <w:rPr>
      <w:rFonts w:ascii="Garamond" w:eastAsiaTheme="majorEastAsia" w:hAnsi="Garamond" w:cstheme="majorBidi"/>
      <w:b/>
      <w:sz w:val="32"/>
      <w:szCs w:val="32"/>
    </w:rPr>
  </w:style>
  <w:style w:type="paragraph" w:styleId="Heading2">
    <w:name w:val="heading 2"/>
    <w:basedOn w:val="Normal"/>
    <w:next w:val="Normal"/>
    <w:link w:val="Heading2Char"/>
    <w:uiPriority w:val="9"/>
    <w:unhideWhenUsed/>
    <w:qFormat/>
    <w:rsid w:val="007E1C50"/>
    <w:pPr>
      <w:keepNext/>
      <w:keepLines/>
      <w:spacing w:before="40" w:after="0"/>
      <w:outlineLvl w:val="1"/>
    </w:pPr>
    <w:rPr>
      <w:rFonts w:ascii="Garamond" w:eastAsiaTheme="majorEastAsia" w:hAnsi="Garamond"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EBA926E"/>
    <w:rPr>
      <w:color w:val="467886"/>
      <w:u w:val="single"/>
    </w:rPr>
  </w:style>
  <w:style w:type="table" w:styleId="TableGrid">
    <w:name w:val="Table Grid"/>
    <w:basedOn w:val="TableNormal"/>
    <w:uiPriority w:val="39"/>
    <w:rsid w:val="00861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2B9D"/>
    <w:pPr>
      <w:ind w:left="720"/>
      <w:contextualSpacing/>
    </w:pPr>
  </w:style>
  <w:style w:type="character" w:customStyle="1" w:styleId="Heading1Char">
    <w:name w:val="Heading 1 Char"/>
    <w:basedOn w:val="DefaultParagraphFont"/>
    <w:link w:val="Heading1"/>
    <w:uiPriority w:val="9"/>
    <w:rsid w:val="007E1C50"/>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rsid w:val="007E1C50"/>
    <w:rPr>
      <w:rFonts w:ascii="Garamond" w:eastAsiaTheme="majorEastAsia" w:hAnsi="Garamond" w:cstheme="majorBidi"/>
      <w:b/>
      <w:sz w:val="26"/>
      <w:szCs w:val="26"/>
    </w:rPr>
  </w:style>
  <w:style w:type="paragraph" w:styleId="Title">
    <w:name w:val="Title"/>
    <w:basedOn w:val="Normal"/>
    <w:next w:val="Normal"/>
    <w:link w:val="TitleChar"/>
    <w:uiPriority w:val="10"/>
    <w:qFormat/>
    <w:rsid w:val="007E1C50"/>
    <w:pPr>
      <w:spacing w:after="0" w:line="240" w:lineRule="auto"/>
      <w:contextualSpacing/>
    </w:pPr>
    <w:rPr>
      <w:rFonts w:ascii="Garamond" w:eastAsiaTheme="majorEastAsia" w:hAnsi="Garamond" w:cstheme="majorBidi"/>
      <w:b/>
      <w:spacing w:val="-10"/>
      <w:kern w:val="28"/>
      <w:sz w:val="56"/>
      <w:szCs w:val="56"/>
    </w:rPr>
  </w:style>
  <w:style w:type="character" w:customStyle="1" w:styleId="TitleChar">
    <w:name w:val="Title Char"/>
    <w:basedOn w:val="DefaultParagraphFont"/>
    <w:link w:val="Title"/>
    <w:uiPriority w:val="10"/>
    <w:rsid w:val="007E1C50"/>
    <w:rPr>
      <w:rFonts w:ascii="Garamond" w:eastAsiaTheme="majorEastAsia" w:hAnsi="Garamond" w:cstheme="majorBidi"/>
      <w:b/>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otonac.sharepoint.com/teams/AcademicIntegrityToolKit/SitePages/Academic-Integrity-Guidance.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outhampton.ac.uk/about/governance/regulations-policies/student-regulations/academic-responsibility-condu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50CCB-BA02-4D69-BE07-DBC1EF7B6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1636</Words>
  <Characters>8704</Characters>
  <Application>Microsoft Office Word</Application>
  <DocSecurity>0</DocSecurity>
  <Lines>322</Lines>
  <Paragraphs>156</Paragraphs>
  <ScaleCrop>false</ScaleCrop>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Eloise Harding</dc:creator>
  <cp:keywords/>
  <dc:description/>
  <cp:lastModifiedBy>Louis Beer (lrnb1g25)</cp:lastModifiedBy>
  <cp:revision>2</cp:revision>
  <dcterms:created xsi:type="dcterms:W3CDTF">2026-01-04T18:01:00Z</dcterms:created>
  <dcterms:modified xsi:type="dcterms:W3CDTF">2026-01-04T18:01:00Z</dcterms:modified>
</cp:coreProperties>
</file>