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77777777" w:rsidR="009C58DB" w:rsidRDefault="00157873">
      <w:pPr>
        <w:pStyle w:val="Heading1"/>
      </w:pPr>
      <w:r>
        <w:t>Introduction</w:t>
      </w:r>
    </w:p>
    <w:p w14:paraId="00000003" w14:textId="5B0C1859" w:rsidR="009C58DB" w:rsidRDefault="00157873">
      <w:r>
        <w:t>The question of whether “colours do exist?” is concerned with the m</w:t>
      </w:r>
      <w:bookmarkStart w:id="0" w:name="_GoBack"/>
      <w:bookmarkEnd w:id="0"/>
      <w:r>
        <w:t xml:space="preserve">etaphysical status of perceptible qualities: whether colour is either a feature of the independent mind, or else, depends on perceivers. </w:t>
      </w:r>
      <w:r w:rsidR="00D92CCB">
        <w:t>O</w:t>
      </w:r>
      <w:r>
        <w:t>rdinary experience suggests that objects p</w:t>
      </w:r>
      <w:r>
        <w:t>ossess the c</w:t>
      </w:r>
      <w:r w:rsidR="00D92CCB">
        <w:t xml:space="preserve">olours that they appear to have, yet </w:t>
      </w:r>
      <w:r>
        <w:t xml:space="preserve">it is possible to cast doubt on this notion through philosophical examination. I will examine three major theories relating to this: naïve realism, which suggests that colours are mind-independent properties of </w:t>
      </w:r>
      <w:r>
        <w:t xml:space="preserve">external objects; eliminativism, which indicates that colours do not exist at all; and lastly, dispositionalism, which argues that colour is real, albeit a mind-dependent dispositional property. I argue that dispositionalism offers the most plausible </w:t>
      </w:r>
      <w:r w:rsidR="006E75A9">
        <w:t>theory</w:t>
      </w:r>
      <w:r>
        <w:t xml:space="preserve"> – since it </w:t>
      </w:r>
      <w:r w:rsidR="006E75A9">
        <w:t>holds</w:t>
      </w:r>
      <w:r>
        <w:t xml:space="preserve"> the reality of colour, whilst avoiding the problems faced by naïve realism and eliminativism. </w:t>
      </w:r>
    </w:p>
    <w:p w14:paraId="00000004" w14:textId="77777777" w:rsidR="009C58DB" w:rsidRDefault="00157873">
      <w:pPr>
        <w:pStyle w:val="Heading1"/>
      </w:pPr>
      <w:r>
        <w:t>Naïve Realism</w:t>
      </w:r>
    </w:p>
    <w:p w14:paraId="00000005" w14:textId="5F9A370E" w:rsidR="009C58DB" w:rsidRDefault="00157873">
      <w:r>
        <w:t>Naïve realism – or primitivism – maintains that colours are genuine, mind-independent properties of physical objects. There</w:t>
      </w:r>
      <w:r>
        <w:t>by, when one perceives an apple as red, one perceives a property that exists in the world, independent of whether any other observer experiences it. Naïve realism can seem an attractive theory due to its apparent agreement with ordinary experiences, i.e. w</w:t>
      </w:r>
      <w:r>
        <w:t xml:space="preserve">e ordinarily take colours to be on the surfaces of objects in roughly the same way that we take the shape or size. However, this breaks down when we examine how colour perception varies across contexts. </w:t>
      </w:r>
      <w:r w:rsidR="00D35887">
        <w:t>Colour appearance changes with lighting—an object red in daylight may look lighter or darker under other conditions. If colour were a fixed, mind-independent quality, such variation would be hard to explain. Moreover, different species perceive the spectrum differently, leaving no non-arbitrary sense in which one sees colours “correctly.”</w:t>
      </w:r>
    </w:p>
    <w:p w14:paraId="00000006" w14:textId="77777777" w:rsidR="009C58DB" w:rsidRDefault="00157873">
      <w:pPr>
        <w:pStyle w:val="Heading2"/>
      </w:pPr>
      <w:r>
        <w:t>Objections to Naïve Realism</w:t>
      </w:r>
    </w:p>
    <w:p w14:paraId="00000007" w14:textId="4DE6577C" w:rsidR="009C58DB" w:rsidRDefault="00157873">
      <w:r>
        <w:t>Naïve realism also entails the serious challenge in that once we distinguish between the different kinds of qualities that Locke identifies in “</w:t>
      </w:r>
      <w:r>
        <w:rPr>
          <w:i/>
        </w:rPr>
        <w:t>An Essay Concerning Human Underst</w:t>
      </w:r>
      <w:r>
        <w:rPr>
          <w:i/>
        </w:rPr>
        <w:t>anding</w:t>
      </w:r>
      <w:r>
        <w:t>”. Locke argues that primary qualities – such as solidity, extension, figure, and motion – exist in objects themselves intrinsically, and resemble what is perceived by the observer, whereas the proposed secondary qualities – colour, sound, taste, etc</w:t>
      </w:r>
      <w:r>
        <w:t xml:space="preserve">… – do not actually resemble anything in the object, but are simply powers to produce sensations in observers (Locke 1690/1975). </w:t>
      </w:r>
      <w:r w:rsidR="00D92CCB">
        <w:t>If this analysis is correct, colour cannot be a mind-independent quality of matter like solidity or form. Instead, it depends on the perceptual capacities of observers. This undermines naïve realism, since colour experience arises from the interaction between light, object, and perceiver rather than from any intrinsic property of the object.</w:t>
      </w:r>
    </w:p>
    <w:p w14:paraId="00000008" w14:textId="77777777" w:rsidR="009C58DB" w:rsidRDefault="00157873">
      <w:pPr>
        <w:pStyle w:val="Heading1"/>
      </w:pPr>
      <w:r>
        <w:t>Eliminativism</w:t>
      </w:r>
    </w:p>
    <w:p w14:paraId="00000009" w14:textId="77777777" w:rsidR="009C58DB" w:rsidRDefault="00157873">
      <w:r>
        <w:t>Eliminativism as a theory denies that colours are genuine properties of physical objects. It instead pr</w:t>
      </w:r>
      <w:r>
        <w:t>oposes that colours are simple appearances generated by perceivers’ faculties. This is based on early modern philosophy, such as that of Galileo. Galileo argued that if all living creatures were removed, then “tastes, odours, colours and so on… reside in c</w:t>
      </w:r>
      <w:r>
        <w:t>onsciousness. Hence if the living creature were removed, all these qualities would be wiped away and annihilated”, as such qualities exist only in the perceiver, not in the external object (Galilei 2016). Galileo claims that the external world consists onl</w:t>
      </w:r>
      <w:r>
        <w:t xml:space="preserve">y of quantitative features capable of mathematical description. Locke later developed this through primary and secondary qualities. </w:t>
      </w:r>
    </w:p>
    <w:p w14:paraId="0000000A" w14:textId="59B37F7A" w:rsidR="009C58DB" w:rsidRDefault="00157873">
      <w:pPr>
        <w:pStyle w:val="Heading2"/>
      </w:pPr>
      <w:r>
        <w:t>Objections to Eliminativism</w:t>
      </w:r>
    </w:p>
    <w:p w14:paraId="562E44B5" w14:textId="3BF709DC" w:rsidR="00B92111" w:rsidRPr="00B92111" w:rsidRDefault="00B92111" w:rsidP="00B92111">
      <w:r>
        <w:t>Eliminativism faces a major objection: if colours are mere illusions, perception would be systematically deceptive, and everyday observation would fail to represent the world accurately. This scepticism undermines confidence not only in colour but</w:t>
      </w:r>
      <w:r>
        <w:t xml:space="preserve"> also</w:t>
      </w:r>
      <w:r>
        <w:t xml:space="preserve"> in</w:t>
      </w:r>
      <w:r w:rsidR="006E75A9">
        <w:t xml:space="preserve"> sensory reliability itself. This</w:t>
      </w:r>
      <w:r>
        <w:t xml:space="preserve"> view </w:t>
      </w:r>
      <w:r w:rsidR="006E75A9">
        <w:t xml:space="preserve">is </w:t>
      </w:r>
      <w:r>
        <w:t>rendered</w:t>
      </w:r>
      <w:r>
        <w:t xml:space="preserve"> unattractive, acceptable only if no alternative explains the apparent reality of colour.</w:t>
      </w:r>
    </w:p>
    <w:p w14:paraId="0000000C" w14:textId="77777777" w:rsidR="009C58DB" w:rsidRDefault="00157873">
      <w:pPr>
        <w:pStyle w:val="Heading1"/>
      </w:pPr>
      <w:r>
        <w:lastRenderedPageBreak/>
        <w:t>Dispositionalism</w:t>
      </w:r>
    </w:p>
    <w:p w14:paraId="0000000D" w14:textId="77777777" w:rsidR="009C58DB" w:rsidRDefault="00157873">
      <w:r>
        <w:t>D</w:t>
      </w:r>
      <w:r>
        <w:t>ispositionalism, in my opinion, offers a solid middle-ground between the extremes of naïve realism and eliminativism. This theory accepts the eliminativist vie</w:t>
      </w:r>
      <w:r>
        <w:t>w that colour perception is mind-dependent but refutes the claim that colours are therefore unreal. Alternatively, it proposes that colours are understood as “dispositions” or “powers” of physical objects to cause certain experiences or sensations in obser</w:t>
      </w:r>
      <w:r>
        <w:t xml:space="preserve">vers. When an object is “red”, it means that it possesses the power to make observers experience red sensations. </w:t>
      </w:r>
    </w:p>
    <w:p w14:paraId="0000000E" w14:textId="77777777" w:rsidR="009C58DB" w:rsidRDefault="00157873">
      <w:r>
        <w:t>This originated with Locke, who argued that secondary qualities – such as colour – “are nothing in the objects themselves but powers to produc</w:t>
      </w:r>
      <w:r>
        <w:t>e various sensations in us by their primary qualities” (Locke 1690/1975). By this, we can determine that colour does not vanish from the world altogether, but is an efficacious quality of physical matter, which affects observers.</w:t>
      </w:r>
    </w:p>
    <w:p w14:paraId="0000000F" w14:textId="77777777" w:rsidR="009C58DB" w:rsidRDefault="00157873">
      <w:pPr>
        <w:pStyle w:val="Heading1"/>
      </w:pPr>
      <w:r>
        <w:t>Critical Argument of Dispo</w:t>
      </w:r>
      <w:r>
        <w:t>sitionalism</w:t>
      </w:r>
    </w:p>
    <w:p w14:paraId="00000010" w14:textId="77777777" w:rsidR="009C58DB" w:rsidRDefault="00157873">
      <w:bookmarkStart w:id="1" w:name="_heading=h.jgifnneg8q9r" w:colFirst="0" w:colLast="0"/>
      <w:bookmarkEnd w:id="1"/>
      <w:r>
        <w:t xml:space="preserve">Despite the appeal of dispositionalism, there also exists the objection based on circularity. It is argued that the theory defines colour in tautological terms; i.e. to say an object is red because it is disposed to cause red sensations, seems </w:t>
      </w:r>
      <w:r>
        <w:t xml:space="preserve">uninformative unless we already understand what a red sensation is to a normal observer. This is significant in that it suggests that dispositionalism may have triviality, where colour properties are perceptual rather than objective features of the world. </w:t>
      </w:r>
    </w:p>
    <w:p w14:paraId="00000011" w14:textId="79B1B7A9" w:rsidR="009C58DB" w:rsidRDefault="00157873">
      <w:bookmarkStart w:id="2" w:name="_heading=h.gl3rjvyavk0p" w:colFirst="0" w:colLast="0"/>
      <w:bookmarkEnd w:id="2"/>
      <w:r>
        <w:t xml:space="preserve">However, this can be </w:t>
      </w:r>
      <w:r w:rsidR="006E75A9">
        <w:t>rectified</w:t>
      </w:r>
      <w:r>
        <w:t xml:space="preserve"> as Locke suggests that secondary qualities depend on “the constitution of bodies” that cause sensations in us, not on arbitrary</w:t>
      </w:r>
      <w:r w:rsidR="00E87183">
        <w:t xml:space="preserve"> standards regarding perception of colour </w:t>
      </w:r>
      <w:r w:rsidR="00E87183">
        <w:fldChar w:fldCharType="begin"/>
      </w:r>
      <w:r w:rsidR="00E87183">
        <w:instrText xml:space="preserve"> ADDIN EN.CITE &lt;EndNote&gt;&lt;Cite&gt;&lt;Author&gt;Locke&lt;/Author&gt;&lt;Year&gt;1690/1975&lt;/Year&gt;&lt;RecNum&gt;3&lt;/RecNum&gt;&lt;DisplayText&gt;(Locke 1690/1975)&lt;/DisplayText&gt;&lt;record&gt;&lt;rec-number&gt;3&lt;/rec-number&gt;&lt;foreign-keys&gt;&lt;key app="EN" db-id="e2r00rxth2vrejedtrlpwpd1r9perrtae5z0" timestamp="1761683055"&gt;3&lt;/key&gt;&lt;/foreign-keys&gt;&lt;ref-type name="Book Section"&gt;5&lt;/ref-type&gt;&lt;contributors&gt;&lt;authors&gt;&lt;author&gt;Locke, John&lt;/author&gt;&lt;/authors&gt;&lt;/contributors&gt;&lt;titles&gt;&lt;title&gt;An Essay Concerning Humane Understanding&lt;/title&gt;&lt;/titles&gt;&lt;pages&gt;7-19&lt;/pages&gt;&lt;dates&gt;&lt;year&gt;1690/1975&lt;/year&gt;&lt;/dates&gt;&lt;pub-location&gt;Oxford&lt;/pub-location&gt;&lt;publisher&gt;Clarendon Press&lt;/publisher&gt;&lt;urls&gt;&lt;/urls&gt;&lt;/record&gt;&lt;/Cite&gt;&lt;/EndNote&gt;</w:instrText>
      </w:r>
      <w:r w:rsidR="00E87183">
        <w:fldChar w:fldCharType="separate"/>
      </w:r>
      <w:r w:rsidR="00E87183">
        <w:rPr>
          <w:noProof/>
        </w:rPr>
        <w:t>(Locke 1690/1975)</w:t>
      </w:r>
      <w:r w:rsidR="00E87183">
        <w:fldChar w:fldCharType="end"/>
      </w:r>
      <w:r w:rsidR="00E87183">
        <w:t>.</w:t>
      </w:r>
    </w:p>
    <w:p w14:paraId="7E474F35" w14:textId="163F2381" w:rsidR="00745D1E" w:rsidRDefault="00E87183">
      <w:r>
        <w:t>This is further supported in the way that while dispositionalism may have circularity, this can be avoided if “normal conditions” are said to be e</w:t>
      </w:r>
      <w:r w:rsidR="00745D1E">
        <w:t>mpirical rather than conceptual</w:t>
      </w:r>
      <w:r>
        <w:t xml:space="preserve"> </w:t>
      </w:r>
      <w:r>
        <w:fldChar w:fldCharType="begin"/>
      </w:r>
      <w:r>
        <w:instrText xml:space="preserve"> ADDIN EN.CITE &lt;EndNote&gt;&lt;Cite&gt;&lt;Author&gt;Logue&lt;/Author&gt;&lt;Year&gt;2016&lt;/Year&gt;&lt;RecNum&gt;4&lt;/RecNum&gt;&lt;DisplayText&gt;(Logue 2016)&lt;/DisplayText&gt;&lt;record&gt;&lt;rec-number&gt;4&lt;/rec-number&gt;&lt;foreign-keys&gt;&lt;key app="EN" db-id="e2r00rxth2vrejedtrlpwpd1r9perrtae5z0" timestamp="1761752559"&gt;4&lt;/key&gt;&lt;/foreign-keys&gt;&lt;ref-type name="Journal Article"&gt;17&lt;/ref-type&gt;&lt;contributors&gt;&lt;authors&gt;&lt;author&gt;Logue, Heather&lt;/author&gt;&lt;/authors&gt;&lt;/contributors&gt;&lt;titles&gt;&lt;title&gt;Metaphysics of Color 2: Non-Physicalist Theories of Color&lt;/title&gt;&lt;secondary-title&gt;Philosophy Compass&lt;/secondary-title&gt;&lt;/titles&gt;&lt;periodical&gt;&lt;full-title&gt;Philosophy Compass&lt;/full-title&gt;&lt;/periodical&gt;&lt;pages&gt;220-231&lt;/pages&gt;&lt;volume&gt;11&lt;/volume&gt;&lt;number&gt;4&lt;/number&gt;&lt;dates&gt;&lt;year&gt;2016&lt;/year&gt;&lt;/dates&gt;&lt;isbn&gt;1747-9991&lt;/isbn&gt;&lt;urls&gt;&lt;related-urls&gt;&lt;url&gt;https://compass.onlinelibrary.wiley.com/doi/abs/10.1111/phc3.12312&lt;/url&gt;&lt;/related-urls&gt;&lt;/urls&gt;&lt;electronic-resource-num&gt;https://doi.org/10.1111/phc3.12312&lt;/electronic-resource-num&gt;&lt;/record&gt;&lt;/Cite&gt;&lt;/EndNote&gt;</w:instrText>
      </w:r>
      <w:r>
        <w:fldChar w:fldCharType="separate"/>
      </w:r>
      <w:r>
        <w:rPr>
          <w:noProof/>
        </w:rPr>
        <w:t>(Logue 2016)</w:t>
      </w:r>
      <w:r>
        <w:fldChar w:fldCharType="end"/>
      </w:r>
      <w:r w:rsidR="00745D1E">
        <w:t>. We can define these “normal observers”, as observers with functional visual faculties under standard illumination – without any presupposition about what a “correct”</w:t>
      </w:r>
      <w:r w:rsidR="006E75A9">
        <w:t xml:space="preserve"> colour experience is</w:t>
      </w:r>
      <w:r w:rsidR="00745D1E">
        <w:t xml:space="preserve">. </w:t>
      </w:r>
    </w:p>
    <w:p w14:paraId="21D9FEC0" w14:textId="2C9AC805" w:rsidR="00745D1E" w:rsidRDefault="00745D1E" w:rsidP="00745D1E">
      <w:pPr>
        <w:pStyle w:val="Heading1"/>
      </w:pPr>
      <w:r>
        <w:t>Conclusion</w:t>
      </w:r>
    </w:p>
    <w:p w14:paraId="48F842C7" w14:textId="11E174E6" w:rsidR="00745D1E" w:rsidRPr="00745D1E" w:rsidRDefault="00B92111" w:rsidP="00745D1E">
      <w:r>
        <w:t xml:space="preserve">In conclusion, whether colours exist reveals tension between how the world appears and how it is interpreted. Naïve realism gives an intuitive but unstable theory, failing to explain perceptual variation. Eliminativism offers a more scientific account but undermines experiential reliability. Dispositionalism provides a </w:t>
      </w:r>
      <w:r>
        <w:t xml:space="preserve">more </w:t>
      </w:r>
      <w:r>
        <w:t xml:space="preserve">balanced view: colours exist as powers of objects to evoke sensations in perceivers. This allows colour to remain part of the external world while acknowledging its dependence on perception. Ultimately, colour is neither fixed nor illusory but a feature that </w:t>
      </w:r>
      <w:r>
        <w:t>relates the</w:t>
      </w:r>
      <w:r>
        <w:t xml:space="preserve"> mind a</w:t>
      </w:r>
      <w:r>
        <w:t>nd world.</w:t>
      </w:r>
    </w:p>
    <w:p w14:paraId="00000013" w14:textId="31AFE849" w:rsidR="009C58DB" w:rsidRDefault="00157873">
      <w:pPr>
        <w:pStyle w:val="Heading1"/>
      </w:pPr>
      <w:r>
        <w:t>Bibliography</w:t>
      </w:r>
    </w:p>
    <w:p w14:paraId="00000014" w14:textId="77777777" w:rsidR="009C58DB" w:rsidRDefault="00157873">
      <w:pPr>
        <w:pBdr>
          <w:top w:val="nil"/>
          <w:left w:val="nil"/>
          <w:bottom w:val="nil"/>
          <w:right w:val="nil"/>
          <w:between w:val="nil"/>
        </w:pBdr>
        <w:spacing w:line="240" w:lineRule="auto"/>
        <w:rPr>
          <w:color w:val="000000"/>
        </w:rPr>
      </w:pPr>
      <w:r>
        <w:rPr>
          <w:color w:val="000000"/>
        </w:rPr>
        <w:t xml:space="preserve">Galilei, G. (2016). The Assayer: Translated from the Italian by </w:t>
      </w:r>
      <w:proofErr w:type="spellStart"/>
      <w:r>
        <w:rPr>
          <w:color w:val="000000"/>
        </w:rPr>
        <w:t>Stillman</w:t>
      </w:r>
      <w:proofErr w:type="spellEnd"/>
      <w:r>
        <w:rPr>
          <w:color w:val="000000"/>
        </w:rPr>
        <w:t xml:space="preserve"> Drake. </w:t>
      </w:r>
      <w:r>
        <w:rPr>
          <w:color w:val="000000"/>
          <w:u w:val="single"/>
        </w:rPr>
        <w:t>T</w:t>
      </w:r>
      <w:r>
        <w:rPr>
          <w:color w:val="000000"/>
          <w:u w:val="single"/>
        </w:rPr>
        <w:t>he Controversy on the Comets of 1618</w:t>
      </w:r>
      <w:r>
        <w:rPr>
          <w:color w:val="000000"/>
        </w:rPr>
        <w:t xml:space="preserve">. D. </w:t>
      </w:r>
      <w:proofErr w:type="spellStart"/>
      <w:r>
        <w:rPr>
          <w:color w:val="000000"/>
        </w:rPr>
        <w:t>Stillman</w:t>
      </w:r>
      <w:proofErr w:type="spellEnd"/>
      <w:r>
        <w:rPr>
          <w:color w:val="000000"/>
        </w:rPr>
        <w:t>. Philadelphia, University of Pennsylvania Press</w:t>
      </w:r>
      <w:r>
        <w:rPr>
          <w:b/>
          <w:color w:val="000000"/>
        </w:rPr>
        <w:t xml:space="preserve">: </w:t>
      </w:r>
      <w:r>
        <w:rPr>
          <w:color w:val="000000"/>
        </w:rPr>
        <w:t>151–336.</w:t>
      </w:r>
    </w:p>
    <w:p w14:paraId="58D03A63" w14:textId="50D202FF" w:rsidR="00E87183" w:rsidRPr="00745D1E" w:rsidRDefault="00157873" w:rsidP="00745D1E">
      <w:pPr>
        <w:pBdr>
          <w:top w:val="nil"/>
          <w:left w:val="nil"/>
          <w:bottom w:val="nil"/>
          <w:right w:val="nil"/>
          <w:between w:val="nil"/>
        </w:pBdr>
        <w:spacing w:line="240" w:lineRule="auto"/>
        <w:rPr>
          <w:color w:val="000000"/>
        </w:rPr>
      </w:pPr>
      <w:r>
        <w:rPr>
          <w:color w:val="000000"/>
        </w:rPr>
        <w:t>Locke, J. (1690/1975). An Essay Concerning Humane Understanding. Oxford, Clarendon Press</w:t>
      </w:r>
      <w:r>
        <w:rPr>
          <w:b/>
          <w:color w:val="000000"/>
        </w:rPr>
        <w:t xml:space="preserve">: </w:t>
      </w:r>
      <w:r>
        <w:rPr>
          <w:color w:val="000000"/>
        </w:rPr>
        <w:t>7–19.</w:t>
      </w:r>
      <w:r w:rsidR="00E87183">
        <w:fldChar w:fldCharType="begin"/>
      </w:r>
      <w:r w:rsidR="00E87183">
        <w:instrText xml:space="preserve"> ADDIN EN.REFLIST </w:instrText>
      </w:r>
      <w:r w:rsidR="00E87183">
        <w:fldChar w:fldCharType="separate"/>
      </w:r>
    </w:p>
    <w:p w14:paraId="2C1C6ADE" w14:textId="63CA5E9D" w:rsidR="00E87183" w:rsidRPr="00E87183" w:rsidRDefault="00E87183" w:rsidP="00745D1E">
      <w:pPr>
        <w:pStyle w:val="EndNoteBibliography"/>
      </w:pPr>
      <w:r w:rsidRPr="00E87183">
        <w:t xml:space="preserve">Logue, H. (2016). "Metaphysics of Color 2: Non-Physicalist Theories of Color." </w:t>
      </w:r>
      <w:r w:rsidRPr="00E87183">
        <w:rPr>
          <w:u w:val="single"/>
        </w:rPr>
        <w:t>Philosophy Compass</w:t>
      </w:r>
      <w:r w:rsidRPr="00E87183">
        <w:t xml:space="preserve"> </w:t>
      </w:r>
      <w:r w:rsidRPr="00E87183">
        <w:rPr>
          <w:b/>
        </w:rPr>
        <w:t>11</w:t>
      </w:r>
      <w:r w:rsidRPr="00E87183">
        <w:t>(4): 220–231.</w:t>
      </w:r>
    </w:p>
    <w:p w14:paraId="01CC7C4A" w14:textId="77777777" w:rsidR="00E87183" w:rsidRPr="00E87183" w:rsidRDefault="00E87183" w:rsidP="00E87183">
      <w:pPr>
        <w:pStyle w:val="EndNoteBibliography"/>
      </w:pPr>
    </w:p>
    <w:p w14:paraId="00000017" w14:textId="593C8523" w:rsidR="009C58DB" w:rsidRDefault="00E87183">
      <w:r>
        <w:fldChar w:fldCharType="end"/>
      </w:r>
    </w:p>
    <w:sectPr w:rsidR="009C58DB">
      <w:head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1B49C5" w14:textId="77777777" w:rsidR="00157873" w:rsidRDefault="00157873">
      <w:pPr>
        <w:spacing w:after="0" w:line="240" w:lineRule="auto"/>
      </w:pPr>
      <w:r>
        <w:separator/>
      </w:r>
    </w:p>
  </w:endnote>
  <w:endnote w:type="continuationSeparator" w:id="0">
    <w:p w14:paraId="5561EAA4" w14:textId="77777777" w:rsidR="00157873" w:rsidRDefault="00157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embedRegular r:id="rId1" w:fontKey="{289F4C1F-F0BF-42DE-808A-C33BFF7681D6}"/>
    <w:embedBold r:id="rId2" w:fontKey="{B7A0102E-04F2-4750-8139-F95ED2C380E5}"/>
    <w:embedItalic r:id="rId3" w:fontKey="{A34E1CD7-03A9-443C-B8D4-16D34CF026AA}"/>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4" w:fontKey="{96D76703-3323-443A-95E3-0466D32F68DF}"/>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DC63C8D0-3B5B-4033-B823-54346F06B31E}"/>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DA85B" w14:textId="77777777" w:rsidR="00157873" w:rsidRDefault="00157873">
      <w:pPr>
        <w:spacing w:after="0" w:line="240" w:lineRule="auto"/>
      </w:pPr>
      <w:r>
        <w:separator/>
      </w:r>
    </w:p>
  </w:footnote>
  <w:footnote w:type="continuationSeparator" w:id="0">
    <w:p w14:paraId="7E1B6278" w14:textId="77777777" w:rsidR="00157873" w:rsidRDefault="00157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18" w14:textId="66173232" w:rsidR="009C58DB" w:rsidRDefault="00862F56">
    <w:pPr>
      <w:pBdr>
        <w:top w:val="nil"/>
        <w:left w:val="nil"/>
        <w:bottom w:val="nil"/>
        <w:right w:val="nil"/>
        <w:between w:val="nil"/>
      </w:pBdr>
      <w:spacing w:after="0" w:line="240" w:lineRule="auto"/>
      <w:rPr>
        <w:color w:val="000000"/>
      </w:rPr>
    </w:pPr>
    <w:r>
      <w:rPr>
        <w:color w:val="000000"/>
      </w:rPr>
      <w:t>LIBA 1002</w:t>
    </w:r>
  </w:p>
  <w:p w14:paraId="22ED9FE7" w14:textId="64D281FA" w:rsidR="00862F56" w:rsidRPr="00862F56" w:rsidRDefault="00862F56" w:rsidP="00862F56">
    <w:pPr>
      <w:rPr>
        <w:rFonts w:ascii="Times New Roman" w:eastAsia="Times New Roman" w:hAnsi="Times New Roman" w:cs="Times New Roman"/>
        <w:sz w:val="24"/>
        <w:szCs w:val="24"/>
      </w:rPr>
    </w:pPr>
    <w:r>
      <w:rPr>
        <w:color w:val="000000"/>
      </w:rPr>
      <w:t>Student Number: 36765813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Garamond&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r00rxth2vrejedtrlpwpd1r9perrtae5z0&quot;&gt;My EndNote Library&lt;record-ids&gt;&lt;item&gt;3&lt;/item&gt;&lt;item&gt;4&lt;/item&gt;&lt;/record-ids&gt;&lt;/item&gt;&lt;/Libraries&gt;"/>
  </w:docVars>
  <w:rsids>
    <w:rsidRoot w:val="009C58DB"/>
    <w:rsid w:val="00157873"/>
    <w:rsid w:val="002815BD"/>
    <w:rsid w:val="006E75A9"/>
    <w:rsid w:val="00745D1E"/>
    <w:rsid w:val="00862F56"/>
    <w:rsid w:val="009C58DB"/>
    <w:rsid w:val="00B92111"/>
    <w:rsid w:val="00D35887"/>
    <w:rsid w:val="00D92CCB"/>
    <w:rsid w:val="00E8718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8911E"/>
  <w15:docId w15:val="{8DAFB274-5474-4A75-AF13-42BFE0735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aramond" w:eastAsia="Garamond" w:hAnsi="Garamond" w:cs="Garamond"/>
        <w:sz w:val="22"/>
        <w:szCs w:val="22"/>
        <w:lang w:val="en-GB"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240" w:after="0"/>
      <w:outlineLvl w:val="0"/>
    </w:pPr>
    <w:rPr>
      <w:b/>
      <w:sz w:val="32"/>
      <w:szCs w:val="32"/>
    </w:rPr>
  </w:style>
  <w:style w:type="paragraph" w:styleId="Heading2">
    <w:name w:val="heading 2"/>
    <w:basedOn w:val="Normal"/>
    <w:next w:val="Normal"/>
    <w:link w:val="Heading2Char"/>
    <w:pPr>
      <w:keepNext/>
      <w:keepLines/>
      <w:spacing w:before="40" w:after="0"/>
      <w:outlineLvl w:val="1"/>
    </w:pPr>
    <w:rPr>
      <w:b/>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0" w:line="240" w:lineRule="auto"/>
    </w:pPr>
    <w:rPr>
      <w:b/>
      <w:sz w:val="40"/>
      <w:szCs w:val="40"/>
    </w:rPr>
  </w:style>
  <w:style w:type="character" w:customStyle="1" w:styleId="Heading1Char">
    <w:name w:val="Heading 1 Char"/>
    <w:basedOn w:val="DefaultParagraphFont"/>
    <w:link w:val="Heading1"/>
    <w:rsid w:val="003157A6"/>
    <w:rPr>
      <w:rFonts w:ascii="Garamond" w:eastAsiaTheme="majorEastAsia" w:hAnsi="Garamond" w:cstheme="majorBidi"/>
      <w:b/>
      <w:sz w:val="32"/>
      <w:szCs w:val="32"/>
      <w:lang w:val="en-US" w:eastAsia="en-US"/>
    </w:rPr>
  </w:style>
  <w:style w:type="paragraph" w:styleId="Bibliography">
    <w:name w:val="Bibliography"/>
    <w:basedOn w:val="Normal"/>
    <w:next w:val="Normal"/>
    <w:uiPriority w:val="37"/>
    <w:unhideWhenUsed/>
    <w:rsid w:val="006561F9"/>
  </w:style>
  <w:style w:type="paragraph" w:styleId="NoSpacing">
    <w:name w:val="No Spacing"/>
    <w:uiPriority w:val="1"/>
    <w:qFormat/>
    <w:rsid w:val="003157A6"/>
    <w:pPr>
      <w:spacing w:after="0" w:line="240" w:lineRule="auto"/>
    </w:pPr>
  </w:style>
  <w:style w:type="character" w:customStyle="1" w:styleId="Heading2Char">
    <w:name w:val="Heading 2 Char"/>
    <w:basedOn w:val="DefaultParagraphFont"/>
    <w:link w:val="Heading2"/>
    <w:uiPriority w:val="9"/>
    <w:rsid w:val="003157A6"/>
    <w:rPr>
      <w:rFonts w:ascii="Garamond" w:eastAsiaTheme="majorEastAsia" w:hAnsi="Garamond" w:cstheme="majorBidi"/>
      <w:b/>
      <w:sz w:val="26"/>
      <w:szCs w:val="26"/>
    </w:rPr>
  </w:style>
  <w:style w:type="character" w:customStyle="1" w:styleId="TitleChar">
    <w:name w:val="Title Char"/>
    <w:basedOn w:val="DefaultParagraphFont"/>
    <w:link w:val="Title"/>
    <w:uiPriority w:val="10"/>
    <w:rsid w:val="003157A6"/>
    <w:rPr>
      <w:rFonts w:ascii="Garamond" w:eastAsiaTheme="majorEastAsia" w:hAnsi="Garamond" w:cstheme="majorBidi"/>
      <w:b/>
      <w:spacing w:val="-10"/>
      <w:kern w:val="28"/>
      <w:sz w:val="40"/>
      <w:szCs w:val="56"/>
    </w:rPr>
  </w:style>
  <w:style w:type="character" w:customStyle="1" w:styleId="SubtitleChar">
    <w:name w:val="Subtitle Char"/>
    <w:basedOn w:val="DefaultParagraphFont"/>
    <w:link w:val="Subtitle"/>
    <w:uiPriority w:val="11"/>
    <w:rsid w:val="003157A6"/>
    <w:rPr>
      <w:rFonts w:ascii="Garamond" w:hAnsi="Garamond"/>
      <w:color w:val="5A5A5A" w:themeColor="text1" w:themeTint="A5"/>
      <w:spacing w:val="15"/>
    </w:rPr>
  </w:style>
  <w:style w:type="paragraph" w:styleId="Header">
    <w:name w:val="header"/>
    <w:basedOn w:val="Normal"/>
    <w:link w:val="HeaderChar"/>
    <w:uiPriority w:val="99"/>
    <w:unhideWhenUsed/>
    <w:rsid w:val="00315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57A6"/>
    <w:rPr>
      <w:rFonts w:ascii="Garamond" w:hAnsi="Garamond"/>
    </w:rPr>
  </w:style>
  <w:style w:type="paragraph" w:styleId="Footer">
    <w:name w:val="footer"/>
    <w:basedOn w:val="Normal"/>
    <w:link w:val="FooterChar"/>
    <w:uiPriority w:val="99"/>
    <w:unhideWhenUsed/>
    <w:rsid w:val="00315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57A6"/>
    <w:rPr>
      <w:rFonts w:ascii="Garamond" w:hAnsi="Garamond"/>
    </w:rPr>
  </w:style>
  <w:style w:type="paragraph" w:customStyle="1" w:styleId="EndNoteBibliographyTitle">
    <w:name w:val="EndNote Bibliography Title"/>
    <w:basedOn w:val="Normal"/>
    <w:link w:val="EndNoteBibliographyTitleChar"/>
    <w:rsid w:val="00D24BE1"/>
    <w:pPr>
      <w:spacing w:after="0"/>
      <w:jc w:val="center"/>
    </w:pPr>
    <w:rPr>
      <w:noProof/>
    </w:rPr>
  </w:style>
  <w:style w:type="character" w:customStyle="1" w:styleId="EndNoteBibliographyTitleChar">
    <w:name w:val="EndNote Bibliography Title Char"/>
    <w:basedOn w:val="DefaultParagraphFont"/>
    <w:link w:val="EndNoteBibliographyTitle"/>
    <w:rsid w:val="00D24BE1"/>
    <w:rPr>
      <w:noProof/>
    </w:rPr>
  </w:style>
  <w:style w:type="paragraph" w:customStyle="1" w:styleId="EndNoteBibliography">
    <w:name w:val="EndNote Bibliography"/>
    <w:basedOn w:val="Normal"/>
    <w:link w:val="EndNoteBibliographyChar"/>
    <w:rsid w:val="00D24BE1"/>
    <w:pPr>
      <w:spacing w:line="240" w:lineRule="auto"/>
    </w:pPr>
    <w:rPr>
      <w:noProof/>
    </w:rPr>
  </w:style>
  <w:style w:type="character" w:customStyle="1" w:styleId="EndNoteBibliographyChar">
    <w:name w:val="EndNote Bibliography Char"/>
    <w:basedOn w:val="DefaultParagraphFont"/>
    <w:link w:val="EndNoteBibliography"/>
    <w:rsid w:val="00D24BE1"/>
    <w:rPr>
      <w:noProof/>
    </w:rPr>
  </w:style>
  <w:style w:type="character" w:styleId="Hyperlink">
    <w:name w:val="Hyperlink"/>
    <w:basedOn w:val="DefaultParagraphFont"/>
    <w:uiPriority w:val="99"/>
    <w:semiHidden/>
    <w:unhideWhenUsed/>
    <w:rsid w:val="00D24BE1"/>
    <w:rPr>
      <w:color w:val="0000FF"/>
      <w:u w:val="single"/>
    </w:rPr>
  </w:style>
  <w:style w:type="paragraph" w:styleId="Subtitle">
    <w:name w:val="Subtitle"/>
    <w:basedOn w:val="Normal"/>
    <w:next w:val="Normal"/>
    <w:link w:val="SubtitleChar"/>
    <w:rPr>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173367">
      <w:bodyDiv w:val="1"/>
      <w:marLeft w:val="0"/>
      <w:marRight w:val="0"/>
      <w:marTop w:val="0"/>
      <w:marBottom w:val="0"/>
      <w:divBdr>
        <w:top w:val="none" w:sz="0" w:space="0" w:color="auto"/>
        <w:left w:val="none" w:sz="0" w:space="0" w:color="auto"/>
        <w:bottom w:val="none" w:sz="0" w:space="0" w:color="auto"/>
        <w:right w:val="none" w:sz="0" w:space="0" w:color="auto"/>
      </w:divBdr>
      <w:divsChild>
        <w:div w:id="2067607539">
          <w:marLeft w:val="0"/>
          <w:marRight w:val="0"/>
          <w:marTop w:val="0"/>
          <w:marBottom w:val="0"/>
          <w:divBdr>
            <w:top w:val="none" w:sz="0" w:space="0" w:color="auto"/>
            <w:left w:val="none" w:sz="0" w:space="0" w:color="auto"/>
            <w:bottom w:val="none" w:sz="0" w:space="0" w:color="auto"/>
            <w:right w:val="none" w:sz="0" w:space="0" w:color="auto"/>
          </w:divBdr>
        </w:div>
      </w:divsChild>
    </w:div>
    <w:div w:id="1693455482">
      <w:bodyDiv w:val="1"/>
      <w:marLeft w:val="0"/>
      <w:marRight w:val="0"/>
      <w:marTop w:val="0"/>
      <w:marBottom w:val="0"/>
      <w:divBdr>
        <w:top w:val="none" w:sz="0" w:space="0" w:color="auto"/>
        <w:left w:val="none" w:sz="0" w:space="0" w:color="auto"/>
        <w:bottom w:val="none" w:sz="0" w:space="0" w:color="auto"/>
        <w:right w:val="none" w:sz="0" w:space="0" w:color="auto"/>
      </w:divBdr>
      <w:divsChild>
        <w:div w:id="140151844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VXkFhV0Hp76tn5GBWcNkKC5sCg==">CgMxLjAyDmguamdpZm5uZWc4cTlyMg5oLmdsM3JqdnlhdmswcDgAciExQjhZSi05dXlvSk5vVGNtRTdqcXRpN25NLU1hN25TTUM=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Hugh Jackman</dc:creator>
  <cp:lastModifiedBy>Hugh Jackman</cp:lastModifiedBy>
  <cp:revision>15</cp:revision>
  <dcterms:created xsi:type="dcterms:W3CDTF">2025-10-27T23:15:00Z</dcterms:created>
  <dcterms:modified xsi:type="dcterms:W3CDTF">2025-10-29T16:21:00Z</dcterms:modified>
</cp:coreProperties>
</file>