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rPr>
          <w:rFonts w:ascii="Arial" w:cs="Arial" w:eastAsia="Arial" w:hAnsi="Arial"/>
          <w:color w:val="1E293B"/>
          <w:sz w:val="20"/>
          <w:szCs w:val="20"/>
        </w:rPr>
        <w:t xml:space="preserve"/>
      </w:r>
    </w:p>
    <w:p>
      <w:pPr>
        <w:spacing w:before="0" w:after="80"/>
        <w:jc w:val="center"/>
      </w:pPr>
      <w:r>
        <w:rPr>
          <w:rFonts w:ascii="Arial" w:cs="Arial" w:eastAsia="Arial" w:hAnsi="Arial"/>
          <w:b/>
          <w:bCs/>
          <w:color w:val="2C3E6B"/>
          <w:sz w:val="44"/>
          <w:szCs w:val="44"/>
        </w:rPr>
        <w:t xml:space="preserve">NRES New Models SDA Pilot</w:t>
      </w:r>
    </w:p>
    <w:p>
      <w:pPr>
        <w:spacing w:before="0" w:after="80"/>
        <w:jc w:val="center"/>
      </w:pPr>
      <w:r>
        <w:rPr>
          <w:rFonts w:ascii="Arial" w:cs="Arial" w:eastAsia="Arial" w:hAnsi="Arial"/>
          <w:color w:val="0D9488"/>
          <w:sz w:val="28"/>
          <w:szCs w:val="28"/>
        </w:rPr>
        <w:t xml:space="preserve">Comprehensive Reporting Plan</w:t>
      </w:r>
    </w:p>
    <w:p>
      <w:pPr>
        <w:spacing w:before="0" w:after="200"/>
        <w:jc w:val="center"/>
      </w:pPr>
      <w:r>
        <w:rPr>
          <w:rFonts w:ascii="Arial" w:cs="Arial" w:eastAsia="Arial" w:hAnsi="Arial"/>
          <w:color w:val="6B7280"/>
          <w:sz w:val="22"/>
          <w:szCs w:val="22"/>
        </w:rPr>
        <w:t xml:space="preserve">Rural East &amp; South Neighbourhood Access Service</w:t>
      </w:r>
    </w:p>
    <w:p>
      <w:pPr>
        <w:spacing w:before="0" w:after="400"/>
        <w:jc w:val="center"/>
      </w:pPr>
      <w:r>
        <w:rPr>
          <w:rFonts w:ascii="Arial" w:cs="Arial" w:eastAsia="Arial" w:hAnsi="Arial"/>
          <w:b/>
          <w:bCs/>
          <w:color w:val="1E293B"/>
          <w:sz w:val="22"/>
          <w:szCs w:val="22"/>
        </w:rPr>
        <w:t xml:space="preserve">89,584 Patients  |  7 GP Practices  |  £2.34M Contract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1E293B"/>
                <w:sz w:val="18"/>
                <w:szCs w:val="18"/>
              </w:rPr>
              <w:t xml:space="preserve">Document Owner: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293B"/>
                <w:sz w:val="18"/>
                <w:szCs w:val="18"/>
              </w:rPr>
              <w:t xml:space="preserve">NRES Programme Board</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1E293B"/>
                <w:sz w:val="18"/>
                <w:szCs w:val="18"/>
              </w:rPr>
              <w:t xml:space="preserve">Version: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293B"/>
                <w:sz w:val="18"/>
                <w:szCs w:val="18"/>
              </w:rPr>
              <w:t xml:space="preserve">1.7</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1E293B"/>
                <w:sz w:val="18"/>
                <w:szCs w:val="18"/>
              </w:rPr>
              <w:t xml:space="preserve">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293B"/>
                <w:sz w:val="18"/>
                <w:szCs w:val="18"/>
              </w:rPr>
              <w:t xml:space="preserve">March 2026</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1E293B"/>
                <w:sz w:val="18"/>
                <w:szCs w:val="18"/>
              </w:rPr>
              <w:t xml:space="preserve">Status: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293B"/>
                <w:sz w:val="18"/>
                <w:szCs w:val="18"/>
              </w:rPr>
              <w:t xml:space="preserve">For ICB/Programme Board Approval</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1E293B"/>
                <w:sz w:val="18"/>
                <w:szCs w:val="18"/>
              </w:rPr>
              <w:t xml:space="preserve">Classification: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293B"/>
                <w:sz w:val="18"/>
                <w:szCs w:val="18"/>
              </w:rPr>
              <w:t xml:space="preserve">Official – Sensitive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1E293B"/>
                <w:sz w:val="18"/>
                <w:szCs w:val="18"/>
              </w:rPr>
              <w:t xml:space="preserve">Data Source: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293B"/>
                <w:sz w:val="18"/>
                <w:szCs w:val="18"/>
              </w:rPr>
              <w:t xml:space="preserve">Excel Workbook V3.1 (primary) + Clinical System Extracts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1E293B"/>
                <w:sz w:val="18"/>
                <w:szCs w:val="18"/>
              </w:rPr>
              <w:t xml:space="preserve">ICB Alignment: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E293B"/>
                <w:sz w:val="18"/>
                <w:szCs w:val="18"/>
              </w:rPr>
              <w:t xml:space="preserve">Cross-referenced to ICB Enhanced Service Specification v7</w:t>
            </w:r>
          </w:p>
        </w:tc>
      </w:tr>
    </w:tbl>
    <w:p>
      <w:r>
        <w:br w:type="page"/>
      </w:r>
    </w:p>
    <w:p>
      <w:pPr>
        <w:pStyle w:val="Heading1"/>
        <w:spacing w:before="360" w:after="160"/>
      </w:pPr>
      <w:r>
        <w:rPr>
          <w:rFonts w:ascii="Arial" w:cs="Arial" w:eastAsia="Arial" w:hAnsi="Arial"/>
          <w:b/>
          <w:bCs/>
          <w:color w:val="2C3E6B"/>
          <w:sz w:val="32"/>
          <w:szCs w:val="32"/>
        </w:rPr>
        <w:t xml:space="preserve">1. Executive Summary</w:t>
      </w:r>
    </w:p>
    <w:p>
      <w:pPr>
        <w:spacing w:before="0" w:after="120"/>
      </w:pPr>
      <w:r>
        <w:rPr>
          <w:rFonts w:ascii="Arial" w:cs="Arial" w:eastAsia="Arial" w:hAnsi="Arial"/>
          <w:color w:val="1E293B"/>
          <w:sz w:val="20"/>
          <w:szCs w:val="20"/>
        </w:rPr>
        <w:t xml:space="preserve">This Reporting Plan establishes the framework for monitoring, evaluating and reporting on the NRES New Models Same Day Access (SDA) pilot serving </w:t>
      </w:r>
      <w:r>
        <w:rPr>
          <w:rFonts w:ascii="Arial" w:cs="Arial" w:eastAsia="Arial" w:hAnsi="Arial"/>
          <w:b/>
          <w:bCs/>
          <w:color w:val="1E293B"/>
          <w:sz w:val="20"/>
          <w:szCs w:val="20"/>
        </w:rPr>
        <w:t xml:space="preserve">89,584 patients</w:t>
      </w:r>
      <w:r>
        <w:rPr>
          <w:rFonts w:ascii="Arial" w:cs="Arial" w:eastAsia="Arial" w:hAnsi="Arial"/>
          <w:color w:val="1E293B"/>
          <w:sz w:val="20"/>
          <w:szCs w:val="20"/>
        </w:rPr>
        <w:t xml:space="preserve"> across </w:t>
      </w:r>
      <w:r>
        <w:rPr>
          <w:rFonts w:ascii="Arial" w:cs="Arial" w:eastAsia="Arial" w:hAnsi="Arial"/>
          <w:b/>
          <w:bCs/>
          <w:color w:val="1E293B"/>
          <w:sz w:val="20"/>
          <w:szCs w:val="20"/>
        </w:rPr>
        <w:t xml:space="preserve">7 GP practices</w:t>
      </w:r>
      <w:r>
        <w:rPr>
          <w:rFonts w:ascii="Arial" w:cs="Arial" w:eastAsia="Arial" w:hAnsi="Arial"/>
          <w:color w:val="1E293B"/>
          <w:sz w:val="20"/>
          <w:szCs w:val="20"/>
        </w:rPr>
        <w:t xml:space="preserve"> in the Rural East &amp; South neighbourhood. The plan meets Northamptonshire ICB’s requirements for oversight, assurance and value-for-money assessment of the </w:t>
      </w:r>
      <w:r>
        <w:rPr>
          <w:rFonts w:ascii="Arial" w:cs="Arial" w:eastAsia="Arial" w:hAnsi="Arial"/>
          <w:b/>
          <w:bCs/>
          <w:color w:val="1E293B"/>
          <w:sz w:val="20"/>
          <w:szCs w:val="20"/>
        </w:rPr>
        <w:t xml:space="preserve">£2.34M annual investment</w:t>
      </w:r>
      <w:r>
        <w:rPr>
          <w:rFonts w:ascii="Arial" w:cs="Arial" w:eastAsia="Arial" w:hAnsi="Arial"/>
          <w:color w:val="1E293B"/>
          <w:sz w:val="20"/>
          <w:szCs w:val="20"/>
        </w:rPr>
        <w:t xml:space="preserve">. Version 1.7 has been cross-referenced against the ICB Enhanced Service Specification and the ICB Key Metrics Requirements Report v2 (March 2026) to ensure full alignment with all mandatory reporting requirements. Baseline data from 48 weeks of GPAD practice-level exports (561,294 appointments, 31 March 2025 – 23 February 2026) has been incorporated to ground KPI targets against actual pre-pilot activity levels.</w:t>
      </w:r>
    </w:p>
    <w:p>
      <w:pPr>
        <w:spacing w:before="0" w:after="120"/>
      </w:pPr>
      <w:r>
        <w:rPr>
          <w:rFonts w:ascii="Arial" w:cs="Arial" w:eastAsia="Arial" w:hAnsi="Arial"/>
          <w:color w:val="1E293B"/>
          <w:sz w:val="20"/>
          <w:szCs w:val="20"/>
        </w:rPr>
        <w:t xml:space="preserve">The reporting framework covers two distinct provision types:</w:t>
      </w:r>
    </w:p>
    <w:p>
      <w:pPr>
        <w:spacing w:before="0" w:after="120"/>
      </w:pPr>
      <w:r>
        <w:rPr>
          <w:rFonts w:ascii="Arial" w:cs="Arial" w:eastAsia="Arial" w:hAnsi="Arial"/>
          <w:b/>
          <w:bCs/>
          <w:color w:val="1E293B"/>
          <w:sz w:val="20"/>
          <w:szCs w:val="20"/>
        </w:rPr>
        <w:t xml:space="preserve">Part A — Reactive SDA (15 min): </w:t>
      </w:r>
      <w:r>
        <w:rPr>
          <w:rFonts w:ascii="Arial" w:cs="Arial" w:eastAsia="Arial" w:hAnsi="Arial"/>
          <w:color w:val="1E293B"/>
          <w:sz w:val="20"/>
          <w:szCs w:val="20"/>
        </w:rPr>
        <w:t xml:space="preserve">New staff/sessions funded directly by the contract, delivered as same-day 15-minute appointments using slot types NRES SDA Face 2 Face and NRES SDA Virtual.</w:t>
      </w:r>
    </w:p>
    <w:p>
      <w:pPr>
        <w:spacing w:before="0" w:after="120"/>
      </w:pPr>
      <w:r>
        <w:rPr>
          <w:rFonts w:ascii="Arial" w:cs="Arial" w:eastAsia="Arial" w:hAnsi="Arial"/>
          <w:b/>
          <w:bCs/>
          <w:color w:val="1E293B"/>
          <w:sz w:val="20"/>
          <w:szCs w:val="20"/>
        </w:rPr>
        <w:t xml:space="preserve">Part B — Continuity &amp; Proactive Care (30 min): </w:t>
      </w:r>
      <w:r>
        <w:rPr>
          <w:rFonts w:ascii="Arial" w:cs="Arial" w:eastAsia="Arial" w:hAnsi="Arial"/>
          <w:color w:val="1E293B"/>
          <w:sz w:val="20"/>
          <w:szCs w:val="20"/>
        </w:rPr>
        <w:t xml:space="preserve">Longer 30-minute appointments across four national tracked categories (Long-Term Conditions, Mental Health, Frailty/Complex, Cancer/Palliative) using SDA-prefixed slot types. Part B activity provides the reinvestment evidence required for buy-back claims.</w:t>
      </w:r>
    </w:p>
    <w:p>
      <w:pPr>
        <w:spacing w:before="0" w:after="120"/>
      </w:pPr>
      <w:r>
        <w:rPr>
          <w:rFonts w:ascii="Arial" w:cs="Arial" w:eastAsia="Arial" w:hAnsi="Arial"/>
          <w:i/>
          <w:iCs/>
          <w:color w:val="1E293B"/>
          <w:sz w:val="20"/>
          <w:szCs w:val="20"/>
        </w:rPr>
        <w:t xml:space="preserve">The primary operational tool is the </w:t>
      </w:r>
      <w:r>
        <w:rPr>
          <w:rFonts w:ascii="Arial" w:cs="Arial" w:eastAsia="Arial" w:hAnsi="Arial"/>
          <w:b/>
          <w:bCs/>
          <w:i/>
          <w:iCs/>
          <w:color w:val="1E293B"/>
          <w:sz w:val="20"/>
          <w:szCs w:val="20"/>
        </w:rPr>
        <w:t xml:space="preserve">NRES SDA Rota Management Workbook V3.1</w:t>
      </w:r>
      <w:r>
        <w:rPr>
          <w:rFonts w:ascii="Arial" w:cs="Arial" w:eastAsia="Arial" w:hAnsi="Arial"/>
          <w:i/>
          <w:iCs/>
          <w:color w:val="1E293B"/>
          <w:sz w:val="20"/>
          <w:szCs w:val="20"/>
        </w:rPr>
        <w:t xml:space="preserve"> (Excel), managed centrally by Malcolm Railson and Amanda Palin. No additional funding or systems are required.</w:t>
      </w:r>
    </w:p>
    <w:p>
      <w:pPr>
        <w:pBdr>
          <w:left w:val="single" w:color="2563EB" w:sz="12"/>
        </w:pBdr>
        <w:shd w:fill="EFF6FF" w:val="clear"/>
        <w:spacing w:before="120" w:after="120"/>
      </w:pPr>
      <w:r>
        <w:rPr>
          <w:rFonts w:ascii="Arial" w:cs="Arial" w:eastAsia="Arial" w:hAnsi="Arial"/>
          <w:color w:val="1E3A5F"/>
          <w:sz w:val="18"/>
          <w:szCs w:val="18"/>
        </w:rPr>
        <w:t xml:space="preserve">v1.7 ICB Alignment: This version updates the contract value to £2.34M, aligns with the ICB Key Metrics Requirements Report v2 (March 2026) feasibility assessment of 18 indicators, and incorporates 48-week GPAD baseline data. It retains all mandatory reporting areas from v1.6 including complaints, safeguarding, health inequalities/Core20PLUS5, onward referrals and diagnostics, unmet demand, repeat attendances, prescribing/medicines management, equity of utilisation, EMAS referrals, staff satisfaction, Part B appointment duration monitoring, and named practice reporting leads. ICB indicator feasibility tiers (Low/Medium/High difficulty) now cross-referenced to KPI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563EB" w:sz="12"/>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color w:val="6B7280"/>
                <w:sz w:val="16"/>
                <w:szCs w:val="16"/>
              </w:rPr>
              <w:t xml:space="preserve">TOTAL TARGET/WK</w:t>
            </w:r>
          </w:p>
          <w:p>
            <w:pPr>
              <w:spacing w:after="20"/>
            </w:pPr>
            <w:r>
              <w:rPr>
                <w:rFonts w:ascii="Arial" w:cs="Arial" w:eastAsia="Arial" w:hAnsi="Arial"/>
                <w:b/>
                <w:bCs/>
                <w:color w:val="2563EB"/>
                <w:sz w:val="24"/>
                <w:szCs w:val="24"/>
              </w:rPr>
              <w:t xml:space="preserve">1,362</w:t>
            </w:r>
          </w:p>
          <w:p>
            <w:r>
              <w:rPr>
                <w:rFonts w:ascii="Arial" w:cs="Arial" w:eastAsia="Arial" w:hAnsi="Arial"/>
                <w:color w:val="9CA3AF"/>
                <w:sz w:val="14"/>
                <w:szCs w:val="14"/>
              </w:rPr>
              <w:t xml:space="preserve">Non-Winter (39 wks)</w:t>
            </w:r>
          </w:p>
        </w:tc>
        <w:tc>
          <w:tcPr>
            <w:tcW w:type="dxa" w:w="1872"/>
            <w:tcBorders>
              <w:top w:val="single" w:color="F59E0B" w:sz="12"/>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color w:val="6B7280"/>
                <w:sz w:val="16"/>
                <w:szCs w:val="16"/>
              </w:rPr>
              <w:t xml:space="preserve">WINTER TARGET/WK</w:t>
            </w:r>
          </w:p>
          <w:p>
            <w:pPr>
              <w:spacing w:after="20"/>
            </w:pPr>
            <w:r>
              <w:rPr>
                <w:rFonts w:ascii="Arial" w:cs="Arial" w:eastAsia="Arial" w:hAnsi="Arial"/>
                <w:b/>
                <w:bCs/>
                <w:color w:val="F59E0B"/>
                <w:sz w:val="24"/>
                <w:szCs w:val="24"/>
              </w:rPr>
              <w:t xml:space="preserve">1,631</w:t>
            </w:r>
          </w:p>
          <w:p>
            <w:r>
              <w:rPr>
                <w:rFonts w:ascii="Arial" w:cs="Arial" w:eastAsia="Arial" w:hAnsi="Arial"/>
                <w:color w:val="9CA3AF"/>
                <w:sz w:val="14"/>
                <w:szCs w:val="14"/>
              </w:rPr>
              <w:t xml:space="preserve">Winter (13 wks)</w:t>
            </w:r>
          </w:p>
        </w:tc>
        <w:tc>
          <w:tcPr>
            <w:tcW w:type="dxa" w:w="1872"/>
            <w:tcBorders>
              <w:top w:val="single" w:color="0D9488" w:sz="12"/>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color w:val="6B7280"/>
                <w:sz w:val="16"/>
                <w:szCs w:val="16"/>
              </w:rPr>
              <w:t xml:space="preserve">ANNUAL TARGET</w:t>
            </w:r>
          </w:p>
          <w:p>
            <w:pPr>
              <w:spacing w:after="20"/>
            </w:pPr>
            <w:r>
              <w:rPr>
                <w:rFonts w:ascii="Arial" w:cs="Arial" w:eastAsia="Arial" w:hAnsi="Arial"/>
                <w:b/>
                <w:bCs/>
                <w:color w:val="0D9488"/>
                <w:sz w:val="24"/>
                <w:szCs w:val="24"/>
              </w:rPr>
              <w:t xml:space="preserve">74,302</w:t>
            </w:r>
          </w:p>
          <w:p>
            <w:r>
              <w:rPr>
                <w:rFonts w:ascii="Arial" w:cs="Arial" w:eastAsia="Arial" w:hAnsi="Arial"/>
                <w:color w:val="9CA3AF"/>
                <w:sz w:val="14"/>
                <w:szCs w:val="14"/>
              </w:rPr>
              <w:t xml:space="preserve">52-week total</w:t>
            </w:r>
          </w:p>
        </w:tc>
        <w:tc>
          <w:tcPr>
            <w:tcW w:type="dxa" w:w="1872"/>
            <w:tcBorders>
              <w:top w:val="single" w:color="1E293B" w:sz="12"/>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color w:val="6B7280"/>
                <w:sz w:val="16"/>
                <w:szCs w:val="16"/>
              </w:rPr>
              <w:t xml:space="preserve">CONTRACT VALUE</w:t>
            </w:r>
          </w:p>
          <w:p>
            <w:pPr>
              <w:spacing w:after="20"/>
            </w:pPr>
            <w:r>
              <w:rPr>
                <w:rFonts w:ascii="Arial" w:cs="Arial" w:eastAsia="Arial" w:hAnsi="Arial"/>
                <w:b/>
                <w:bCs/>
                <w:color w:val="1E293B"/>
                <w:sz w:val="24"/>
                <w:szCs w:val="24"/>
              </w:rPr>
              <w:t xml:space="preserve">£2.34M</w:t>
            </w:r>
          </w:p>
          <w:p>
            <w:r>
              <w:rPr>
                <w:rFonts w:ascii="Arial" w:cs="Arial" w:eastAsia="Arial" w:hAnsi="Arial"/>
                <w:color w:val="9CA3AF"/>
                <w:sz w:val="14"/>
                <w:szCs w:val="14"/>
              </w:rPr>
              <w:t xml:space="preserve">12-month LES</w:t>
            </w:r>
          </w:p>
        </w:tc>
        <w:tc>
          <w:tcPr>
            <w:tcW w:type="dxa" w:w="1872"/>
            <w:tcBorders>
              <w:top w:val="single" w:color="10B981" w:sz="12"/>
              <w:left w:val="single" w:color="CCCCCC" w:sz="1"/>
              <w:bottom w:val="single" w:color="CCCCCC" w:sz="1"/>
              <w:right w:val="single" w:color="CCCCCC" w:sz="1"/>
            </w:tcBorders>
            <w:shd w:fill="FFFFFF" w:val="clear"/>
            <w:tcMar>
              <w:top w:type="dxa" w:w="80"/>
              <w:left w:type="dxa" w:w="120"/>
              <w:bottom w:type="dxa" w:w="80"/>
              <w:right w:type="dxa" w:w="120"/>
            </w:tcMar>
          </w:tcPr>
          <w:p>
            <w:pPr>
              <w:spacing w:after="20"/>
            </w:pPr>
            <w:r>
              <w:rPr>
                <w:rFonts w:ascii="Arial" w:cs="Arial" w:eastAsia="Arial" w:hAnsi="Arial"/>
                <w:color w:val="6B7280"/>
                <w:sz w:val="16"/>
                <w:szCs w:val="16"/>
              </w:rPr>
              <w:t xml:space="preserve">RECRUIT BUDGET</w:t>
            </w:r>
          </w:p>
          <w:p>
            <w:pPr>
              <w:spacing w:after="20"/>
            </w:pPr>
            <w:r>
              <w:rPr>
                <w:rFonts w:ascii="Arial" w:cs="Arial" w:eastAsia="Arial" w:hAnsi="Arial"/>
                <w:b/>
                <w:bCs/>
                <w:color w:val="10B981"/>
                <w:sz w:val="24"/>
                <w:szCs w:val="24"/>
              </w:rPr>
              <w:t xml:space="preserve">£1.76M</w:t>
            </w:r>
          </w:p>
          <w:p>
            <w:r>
              <w:rPr>
                <w:rFonts w:ascii="Arial" w:cs="Arial" w:eastAsia="Arial" w:hAnsi="Arial"/>
                <w:color w:val="9CA3AF"/>
                <w:sz w:val="14"/>
                <w:szCs w:val="14"/>
              </w:rPr>
              <w:t xml:space="preserve">75% of contract</w:t>
            </w:r>
          </w:p>
        </w:tc>
      </w:tr>
    </w:tbl>
    <w:p>
      <w:r>
        <w:br w:type="page"/>
      </w:r>
    </w:p>
    <w:p>
      <w:pPr>
        <w:pStyle w:val="Heading1"/>
        <w:spacing w:before="360" w:after="160"/>
      </w:pPr>
      <w:r>
        <w:rPr>
          <w:rFonts w:ascii="Arial" w:cs="Arial" w:eastAsia="Arial" w:hAnsi="Arial"/>
          <w:b/>
          <w:bCs/>
          <w:color w:val="2C3E6B"/>
          <w:sz w:val="32"/>
          <w:szCs w:val="32"/>
        </w:rPr>
        <w:t xml:space="preserve">2. Scope &amp; Objectives</w:t>
      </w:r>
    </w:p>
    <w:p>
      <w:pPr>
        <w:pStyle w:val="Heading3"/>
        <w:spacing w:before="200" w:after="100"/>
      </w:pPr>
      <w:r>
        <w:rPr>
          <w:rFonts w:ascii="Arial" w:cs="Arial" w:eastAsia="Arial" w:hAnsi="Arial"/>
          <w:b/>
          <w:bCs/>
          <w:color w:val="3B5998"/>
          <w:sz w:val="24"/>
          <w:szCs w:val="24"/>
        </w:rPr>
        <w:t xml:space="preserve">2.1 Reporting Objectives</w:t>
      </w:r>
    </w:p>
    <w:p>
      <w:pPr>
        <w:spacing w:before="0" w:after="120"/>
        <w:ind w:left="360"/>
      </w:pPr>
      <w:r>
        <w:rPr>
          <w:rFonts w:ascii="Arial" w:cs="Arial" w:eastAsia="Arial" w:hAnsi="Arial"/>
          <w:color w:val="1E293B"/>
          <w:sz w:val="20"/>
          <w:szCs w:val="20"/>
        </w:rPr>
        <w:t xml:space="preserve">1. Demonstrate compliance with contractual obligations and NHS standards, including weekly appointment targets per practice calculated from list sizes (15.2/1,000 non-winter, 18.2/1,000 winter).</w:t>
      </w:r>
    </w:p>
    <w:p>
      <w:pPr>
        <w:spacing w:before="0" w:after="120"/>
        <w:ind w:left="360"/>
      </w:pPr>
      <w:r>
        <w:rPr>
          <w:rFonts w:ascii="Arial" w:cs="Arial" w:eastAsia="Arial" w:hAnsi="Arial"/>
          <w:color w:val="1E293B"/>
          <w:sz w:val="20"/>
          <w:szCs w:val="20"/>
        </w:rPr>
        <w:t xml:space="preserve">2. Provide ICB with transparent oversight of service performance, financial expenditure, and open book accounting across all 7 practices.</w:t>
      </w:r>
    </w:p>
    <w:p>
      <w:pPr>
        <w:spacing w:before="0" w:after="120"/>
        <w:ind w:left="360"/>
      </w:pPr>
      <w:r>
        <w:rPr>
          <w:rFonts w:ascii="Arial" w:cs="Arial" w:eastAsia="Arial" w:hAnsi="Arial"/>
          <w:color w:val="1E293B"/>
          <w:sz w:val="20"/>
          <w:szCs w:val="20"/>
        </w:rPr>
        <w:t xml:space="preserve">3. Enable evidence-based decision making for service optimisation, including Part B continuity evidence and buy-back scheme monitoring.</w:t>
      </w:r>
    </w:p>
    <w:p>
      <w:pPr>
        <w:spacing w:before="0" w:after="120"/>
        <w:ind w:left="360"/>
      </w:pPr>
      <w:r>
        <w:rPr>
          <w:rFonts w:ascii="Arial" w:cs="Arial" w:eastAsia="Arial" w:hAnsi="Arial"/>
          <w:color w:val="1E293B"/>
          <w:sz w:val="20"/>
          <w:szCs w:val="20"/>
        </w:rPr>
        <w:t xml:space="preserve">4. Support pilot evaluation and business case development for Year 2 commissioning.</w:t>
      </w:r>
    </w:p>
    <w:p>
      <w:pPr>
        <w:spacing w:before="0" w:after="120"/>
        <w:ind w:left="360"/>
      </w:pPr>
      <w:r>
        <w:rPr>
          <w:rFonts w:ascii="Arial" w:cs="Arial" w:eastAsia="Arial" w:hAnsi="Arial"/>
          <w:color w:val="1E293B"/>
          <w:sz w:val="20"/>
          <w:szCs w:val="20"/>
        </w:rPr>
        <w:t xml:space="preserve">5. Identify variation across practices to share best practice and address underperformance.</w:t>
      </w:r>
    </w:p>
    <w:p>
      <w:pPr>
        <w:spacing w:before="0" w:after="120"/>
        <w:ind w:left="360"/>
      </w:pPr>
      <w:r>
        <w:rPr>
          <w:rFonts w:ascii="Arial" w:cs="Arial" w:eastAsia="Arial" w:hAnsi="Arial"/>
          <w:color w:val="1E293B"/>
          <w:sz w:val="20"/>
          <w:szCs w:val="20"/>
        </w:rPr>
        <w:t xml:space="preserve">6. Meet all ICB mandatory monthly data submission requirements as set out in ICB ES Section 2.2.1, including quality domains (complaints, safeguarding, IPC, effectiveness), access equity, and narrative performance explanation.</w:t>
      </w:r>
    </w:p>
    <w:p>
      <w:pPr>
        <w:pStyle w:val="Heading3"/>
        <w:spacing w:before="200" w:after="100"/>
      </w:pPr>
      <w:r>
        <w:rPr>
          <w:rFonts w:ascii="Arial" w:cs="Arial" w:eastAsia="Arial" w:hAnsi="Arial"/>
          <w:b/>
          <w:bCs/>
          <w:color w:val="3B5998"/>
          <w:sz w:val="24"/>
          <w:szCs w:val="24"/>
        </w:rPr>
        <w:t xml:space="preserve">2.2 The 7 NRES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900"/>
        <w:gridCol w:w="1060"/>
        <w:gridCol w:w="1100"/>
        <w:gridCol w:w="1200"/>
        <w:gridCol w:w="120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Practice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List Size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 of Total</w:t>
            </w:r>
          </w:p>
        </w:tc>
        <w:tc>
          <w:tcPr>
            <w:tcW w:type="dxa" w:w="1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Hub/Spoke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System</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Target/Wk (NW)</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Target/Wk (W)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The Parks MC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22,827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25.5%</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59E0B"/>
                <w:sz w:val="17"/>
                <w:szCs w:val="17"/>
              </w:rPr>
              <w:t xml:space="preserve">HUB</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SystmOne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416</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Brackley MC</w:t>
            </w:r>
          </w:p>
        </w:tc>
        <w:tc>
          <w:tcPr>
            <w:tcW w:type="dxa" w:w="1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16,212</w:t>
            </w:r>
          </w:p>
        </w:tc>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18.1%</w:t>
            </w:r>
          </w:p>
        </w:tc>
        <w:tc>
          <w:tcPr>
            <w:tcW w:type="dxa" w:w="10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F59E0B"/>
                <w:sz w:val="17"/>
                <w:szCs w:val="17"/>
              </w:rPr>
              <w:t xml:space="preserve">HUB</w:t>
            </w:r>
          </w:p>
        </w:tc>
        <w:tc>
          <w:tcPr>
            <w:tcW w:type="dxa" w:w="11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SystmOne</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246</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295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Springfield Surgery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12,611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14.1%</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SPOKE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EMIS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192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230</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Towcester MC</w:t>
            </w:r>
          </w:p>
        </w:tc>
        <w:tc>
          <w:tcPr>
            <w:tcW w:type="dxa" w:w="1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11,748</w:t>
            </w:r>
          </w:p>
        </w:tc>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13.1%</w:t>
            </w:r>
          </w:p>
        </w:tc>
        <w:tc>
          <w:tcPr>
            <w:tcW w:type="dxa" w:w="10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SPOKE</w:t>
            </w:r>
          </w:p>
        </w:tc>
        <w:tc>
          <w:tcPr>
            <w:tcW w:type="dxa" w:w="11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EMIS</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179</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214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Bugbrooke Surgery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10,788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12.0%</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SPOKE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SystmOne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164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196</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Brook Health Centre</w:t>
            </w:r>
          </w:p>
        </w:tc>
        <w:tc>
          <w:tcPr>
            <w:tcW w:type="dxa" w:w="1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9,069</w:t>
            </w:r>
          </w:p>
        </w:tc>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10.1%</w:t>
            </w:r>
          </w:p>
        </w:tc>
        <w:tc>
          <w:tcPr>
            <w:tcW w:type="dxa" w:w="10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SPOKE</w:t>
            </w:r>
          </w:p>
        </w:tc>
        <w:tc>
          <w:tcPr>
            <w:tcW w:type="dxa" w:w="11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SystmOne</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138</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165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Denton Village Surgery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6,329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7.1%</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SPOKE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SystmOne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115</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TOTAL</w:t>
            </w:r>
          </w:p>
        </w:tc>
        <w:tc>
          <w:tcPr>
            <w:tcW w:type="dxa" w:w="1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89,584</w:t>
            </w:r>
          </w:p>
        </w:tc>
        <w:tc>
          <w:tcPr>
            <w:tcW w:type="dxa" w:w="9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100%</w:t>
            </w:r>
          </w:p>
        </w:tc>
        <w:tc>
          <w:tcPr>
            <w:tcW w:type="dxa" w:w="10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11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1,362</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1,631</w:t>
            </w:r>
          </w:p>
        </w:tc>
      </w:tr>
    </w:tbl>
    <w:p>
      <w:pPr>
        <w:pStyle w:val="Heading3"/>
        <w:spacing w:before="200" w:after="100"/>
      </w:pPr>
      <w:r>
        <w:rPr>
          <w:rFonts w:ascii="Arial" w:cs="Arial" w:eastAsia="Arial" w:hAnsi="Arial"/>
          <w:b/>
          <w:bCs/>
          <w:color w:val="3B5998"/>
          <w:sz w:val="24"/>
          <w:szCs w:val="24"/>
        </w:rPr>
        <w:t xml:space="preserve">2.3 Named Practice Reporting Leads (ICB Requirement)</w:t>
      </w:r>
    </w:p>
    <w:p>
      <w:pPr>
        <w:spacing w:before="0" w:after="120"/>
      </w:pPr>
      <w:r>
        <w:rPr>
          <w:rFonts w:ascii="Arial" w:cs="Arial" w:eastAsia="Arial" w:hAnsi="Arial"/>
          <w:color w:val="1E293B"/>
          <w:sz w:val="20"/>
          <w:szCs w:val="20"/>
        </w:rPr>
        <w:t xml:space="preserve">Per ICB Section 2.2.1, each GP Practice must nominate a named reporting lead responsible for timely and accurate data submission. These leads will work with the central NRES management team (Malcolm Railson and Amanda Palin) to ensure all monthly data is submitted within the agreed timeframe.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Practice</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Named Reporting Lead</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Role</w:t>
            </w:r>
          </w:p>
        </w:tc>
        <w:tc>
          <w:tcPr>
            <w:tcW w:type="dxa" w:w="1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Confirmed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The Parks MC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TBC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Manager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Pending</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Brackley MC</w:t>
            </w:r>
          </w:p>
        </w:tc>
        <w:tc>
          <w:tcPr>
            <w:tcW w:type="dxa" w:w="28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Amanda Palin</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PCN Development Mgr</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Confirmed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Springfield Surgery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TBC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Manager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Pending</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Towcester MC</w:t>
            </w:r>
          </w:p>
        </w:tc>
        <w:tc>
          <w:tcPr>
            <w:tcW w:type="dxa" w:w="28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TBC</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Manager</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Pending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Bugbrooke Surgery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TBC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Manager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Pending</w:t>
            </w:r>
          </w:p>
        </w:tc>
      </w:tr>
      <w:tr>
        <w:tc>
          <w:tcPr>
            <w:tcW w:type="dxa" w:w="24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Brook Health Centre</w:t>
            </w:r>
          </w:p>
        </w:tc>
        <w:tc>
          <w:tcPr>
            <w:tcW w:type="dxa" w:w="28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TBC</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Manager</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Pending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Denton Village Surgery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TBC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Manager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Pending</w:t>
            </w:r>
          </w:p>
        </w:tc>
      </w:tr>
    </w:tbl>
    <w:p>
      <w:pPr>
        <w:pStyle w:val="Heading3"/>
        <w:spacing w:before="200" w:after="100"/>
      </w:pPr>
      <w:r>
        <w:rPr>
          <w:rFonts w:ascii="Arial" w:cs="Arial" w:eastAsia="Arial" w:hAnsi="Arial"/>
          <w:b/>
          <w:bCs/>
          <w:color w:val="3B5998"/>
          <w:sz w:val="24"/>
          <w:szCs w:val="24"/>
        </w:rPr>
        <w:t xml:space="preserve">2.4 Risk Stratification &amp; Continuity of Care</w:t>
      </w:r>
    </w:p>
    <w:p>
      <w:pPr>
        <w:spacing w:before="0" w:after="120"/>
      </w:pPr>
      <w:r>
        <w:rPr>
          <w:rFonts w:ascii="Arial" w:cs="Arial" w:eastAsia="Arial" w:hAnsi="Arial"/>
          <w:b/>
          <w:bCs/>
          <w:color w:val="EF4444"/>
          <w:sz w:val="20"/>
          <w:szCs w:val="20"/>
        </w:rPr>
        <w:t xml:space="preserve">RED Flag Patients: </w:t>
      </w:r>
      <w:r>
        <w:rPr>
          <w:rFonts w:ascii="Arial" w:cs="Arial" w:eastAsia="Arial" w:hAnsi="Arial"/>
          <w:color w:val="1E293B"/>
          <w:sz w:val="20"/>
          <w:szCs w:val="20"/>
        </w:rPr>
        <w:t xml:space="preserve">High-risk patients automatically filtered to Continuity of Care with their named GP. </w:t>
      </w:r>
      <w:r>
        <w:rPr>
          <w:rFonts w:ascii="Arial" w:cs="Arial" w:eastAsia="Arial" w:hAnsi="Arial"/>
          <w:b/>
          <w:bCs/>
          <w:color w:val="F59E0B"/>
          <w:sz w:val="20"/>
          <w:szCs w:val="20"/>
        </w:rPr>
        <w:t xml:space="preserve">AMBER Flag Patients: </w:t>
      </w:r>
      <w:r>
        <w:rPr>
          <w:rFonts w:ascii="Arial" w:cs="Arial" w:eastAsia="Arial" w:hAnsi="Arial"/>
          <w:color w:val="1E293B"/>
          <w:sz w:val="20"/>
          <w:szCs w:val="20"/>
        </w:rPr>
        <w:t xml:space="preserve">Moderate-risk, may access SDA for acute presentations. </w:t>
      </w:r>
      <w:r>
        <w:rPr>
          <w:rFonts w:ascii="Arial" w:cs="Arial" w:eastAsia="Arial" w:hAnsi="Arial"/>
          <w:b/>
          <w:bCs/>
          <w:color w:val="10B981"/>
          <w:sz w:val="20"/>
          <w:szCs w:val="20"/>
        </w:rPr>
        <w:t xml:space="preserve">GREEN Flag Patients: </w:t>
      </w:r>
      <w:r>
        <w:rPr>
          <w:rFonts w:ascii="Arial" w:cs="Arial" w:eastAsia="Arial" w:hAnsi="Arial"/>
          <w:color w:val="1E293B"/>
          <w:sz w:val="20"/>
          <w:szCs w:val="20"/>
        </w:rPr>
        <w:t xml:space="preserve">Lower-risk, appropriate for standard SDA routing.</w:t>
      </w:r>
    </w:p>
    <w:p>
      <w:pPr>
        <w:pStyle w:val="Heading3"/>
        <w:spacing w:before="200" w:after="100"/>
      </w:pPr>
      <w:r>
        <w:rPr>
          <w:rFonts w:ascii="Arial" w:cs="Arial" w:eastAsia="Arial" w:hAnsi="Arial"/>
          <w:b/>
          <w:bCs/>
          <w:color w:val="3B5998"/>
          <w:sz w:val="24"/>
          <w:szCs w:val="24"/>
        </w:rPr>
        <w:t xml:space="preserve">2.5 Part B Continuity Scheme &amp; Slot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160"/>
        <w:gridCol w:w="4000"/>
      </w:tblGrid>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Category</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Slot Type</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Duration</w:t>
            </w:r>
          </w:p>
        </w:tc>
        <w:tc>
          <w:tcPr>
            <w:tcW w:type="dxa" w:w="4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Long-Term Conditions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SDA-LTC-REVIEW</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30 min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Structured LTC reviews, medication optimisation</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Mental Health &amp; Wellbeing</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SDA-MH-WELLBEING</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30 min</w:t>
            </w:r>
          </w:p>
        </w:tc>
        <w:tc>
          <w:tcPr>
            <w:tcW w:type="dxa" w:w="4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Psychological support, SMI checks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Frailty / Complex Elderly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SDA-FRAILTY-COMPLEX</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30 min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Falls risk, polypharmacy, care planning</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Cancer / Palliative Care</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SDA-CANCER-PALL</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30 min</w:t>
            </w:r>
          </w:p>
        </w:tc>
        <w:tc>
          <w:tcPr>
            <w:tcW w:type="dxa" w:w="4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Holistic reviews, symptom management</w:t>
            </w:r>
          </w:p>
        </w:tc>
      </w:tr>
    </w:tbl>
    <w:p>
      <w:pPr>
        <w:pStyle w:val="Heading3"/>
        <w:spacing w:before="200" w:after="100"/>
      </w:pPr>
      <w:r>
        <w:rPr>
          <w:rFonts w:ascii="Arial" w:cs="Arial" w:eastAsia="Arial" w:hAnsi="Arial"/>
          <w:b/>
          <w:bCs/>
          <w:color w:val="3B5998"/>
          <w:sz w:val="24"/>
          <w:szCs w:val="24"/>
        </w:rPr>
        <w:t xml:space="preserve">2.6 Buy-Back Scheme</w:t>
      </w:r>
    </w:p>
    <w:p>
      <w:pPr>
        <w:spacing w:before="0" w:after="120"/>
      </w:pPr>
      <w:r>
        <w:rPr>
          <w:rFonts w:ascii="Arial" w:cs="Arial" w:eastAsia="Arial" w:hAnsi="Arial"/>
          <w:b/>
          <w:bCs/>
          <w:color w:val="1E293B"/>
          <w:sz w:val="20"/>
          <w:szCs w:val="20"/>
        </w:rPr>
        <w:t xml:space="preserve">Budget: </w:t>
      </w:r>
      <w:r>
        <w:rPr>
          <w:rFonts w:ascii="Arial" w:cs="Arial" w:eastAsia="Arial" w:hAnsi="Arial"/>
          <w:color w:val="1E293B"/>
          <w:sz w:val="20"/>
          <w:szCs w:val="20"/>
        </w:rPr>
        <w:t xml:space="preserve">75% of each practice’s allocation designated as recruit budget (£1.76M total). </w:t>
      </w:r>
      <w:r>
        <w:rPr>
          <w:rFonts w:ascii="Arial" w:cs="Arial" w:eastAsia="Arial" w:hAnsi="Arial"/>
          <w:b/>
          <w:bCs/>
          <w:color w:val="1E293B"/>
          <w:sz w:val="20"/>
          <w:szCs w:val="20"/>
        </w:rPr>
        <w:t xml:space="preserve">Approval: </w:t>
      </w:r>
      <w:r>
        <w:rPr>
          <w:rFonts w:ascii="Arial" w:cs="Arial" w:eastAsia="Arial" w:hAnsi="Arial"/>
          <w:color w:val="1E293B"/>
          <w:sz w:val="20"/>
          <w:szCs w:val="20"/>
        </w:rPr>
        <w:t xml:space="preserve">Dr Mark Gray sole approver via 6-step workflow. </w:t>
      </w: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At submission, within 3 months, and ongoing quarterly including Part B clinical CSV data.</w:t>
      </w:r>
    </w:p>
    <w:p>
      <w:pPr>
        <w:pStyle w:val="Heading3"/>
        <w:spacing w:before="200" w:after="100"/>
      </w:pPr>
      <w:r>
        <w:rPr>
          <w:rFonts w:ascii="Arial" w:cs="Arial" w:eastAsia="Arial" w:hAnsi="Arial"/>
          <w:b/>
          <w:bCs/>
          <w:color w:val="3B5998"/>
          <w:sz w:val="24"/>
          <w:szCs w:val="24"/>
        </w:rPr>
        <w:t xml:space="preserve">2.7 Clinical System Interoperability</w:t>
      </w:r>
    </w:p>
    <w:p>
      <w:pPr>
        <w:spacing w:before="0" w:after="120"/>
      </w:pPr>
      <w:r>
        <w:rPr>
          <w:rFonts w:ascii="Arial" w:cs="Arial" w:eastAsia="Arial" w:hAnsi="Arial"/>
          <w:b/>
          <w:bCs/>
          <w:color w:val="1E293B"/>
          <w:sz w:val="20"/>
          <w:szCs w:val="20"/>
        </w:rPr>
        <w:t xml:space="preserve">SystmOne Direct (5 practices): </w:t>
      </w:r>
      <w:r>
        <w:rPr>
          <w:rFonts w:ascii="Arial" w:cs="Arial" w:eastAsia="Arial" w:hAnsi="Arial"/>
          <w:color w:val="1E293B"/>
          <w:sz w:val="20"/>
          <w:szCs w:val="20"/>
        </w:rPr>
        <w:t xml:space="preserve">Full record visibility, real-time slots. </w:t>
      </w:r>
      <w:r>
        <w:rPr>
          <w:rFonts w:ascii="Arial" w:cs="Arial" w:eastAsia="Arial" w:hAnsi="Arial"/>
          <w:b/>
          <w:bCs/>
          <w:color w:val="1E293B"/>
          <w:sz w:val="20"/>
          <w:szCs w:val="20"/>
        </w:rPr>
        <w:t xml:space="preserve">GP Connect (2 EMIS practices): </w:t>
      </w:r>
      <w:r>
        <w:rPr>
          <w:rFonts w:ascii="Arial" w:cs="Arial" w:eastAsia="Arial" w:hAnsi="Arial"/>
          <w:color w:val="1E293B"/>
          <w:sz w:val="20"/>
          <w:szCs w:val="20"/>
        </w:rPr>
        <w:t xml:space="preserve">Springfield and Towcester cross-system booking. Target: ≥98% success rate.</w:t>
      </w:r>
    </w:p>
    <w:p>
      <w:r>
        <w:br w:type="page"/>
      </w:r>
    </w:p>
    <w:p>
      <w:pPr>
        <w:pStyle w:val="Heading1"/>
        <w:spacing w:before="360" w:after="160"/>
      </w:pPr>
      <w:r>
        <w:rPr>
          <w:rFonts w:ascii="Arial" w:cs="Arial" w:eastAsia="Arial" w:hAnsi="Arial"/>
          <w:b/>
          <w:bCs/>
          <w:color w:val="2C3E6B"/>
          <w:sz w:val="32"/>
          <w:szCs w:val="32"/>
        </w:rPr>
        <w:t xml:space="preserve">3. Key Performance Indicator Framework</w:t>
      </w:r>
    </w:p>
    <w:p>
      <w:pPr>
        <w:spacing w:before="0" w:after="120"/>
      </w:pPr>
      <w:r>
        <w:rPr>
          <w:rFonts w:ascii="Arial" w:cs="Arial" w:eastAsia="Arial" w:hAnsi="Arial"/>
          <w:color w:val="1E293B"/>
          <w:sz w:val="20"/>
          <w:szCs w:val="20"/>
        </w:rPr>
        <w:t xml:space="preserve">The following KPIs are aligned with NHS England’s Primary Care Access standards, ICB commissioning requirements, and the ICB Enhanced Service Specification. KPIs marked with ★ are new in v1.7, added to close gaps identified against the ICB specification.</w:t>
      </w:r>
    </w:p>
    <w:p>
      <w:pPr>
        <w:pStyle w:val="Heading3"/>
        <w:spacing w:before="200" w:after="100"/>
      </w:pPr>
      <w:r>
        <w:rPr>
          <w:rFonts w:ascii="Arial" w:cs="Arial" w:eastAsia="Arial" w:hAnsi="Arial"/>
          <w:b/>
          <w:bCs/>
          <w:color w:val="3B5998"/>
          <w:sz w:val="24"/>
          <w:szCs w:val="24"/>
        </w:rPr>
        <w:t xml:space="preserve">3.1 Access &amp; Utilisation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Slot Utilisation Rate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Booked ÷ Available × 100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≥85%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DNA Rate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Did Not Attend ÷ Total Booked</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&lt;5%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Same Day Access Rate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Same-day booked &amp; attended ÷ Total</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≥70%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Mode Split (F2F:Remote)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50:50 target per contract</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50:50 ±10%</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Time to Appointment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Mean hours from request to appointment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&lt;4 hours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 Compliance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Actual vs target per practice</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≥95%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Part B % of Total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30-min continuity as % of all appointments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Unmet Demand</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Patients unable to book due to lack of availability</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Repeat Attendances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Patients attending NAS 2+ times in 4 weeks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Equity of Utilisation</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NAS usage per practice vs list size proportion</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Under-5 F2F Compliance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Under-5s seen face-to-face (ICB requirement)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EMAS Referrals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Ambulance service bookings into NAS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bl>
    <w:p>
      <w:pPr>
        <w:pStyle w:val="Heading3"/>
        <w:spacing w:before="200" w:after="100"/>
      </w:pPr>
      <w:r>
        <w:rPr>
          <w:rFonts w:ascii="Arial" w:cs="Arial" w:eastAsia="Arial" w:hAnsi="Arial"/>
          <w:b/>
          <w:bCs/>
          <w:color w:val="3B5998"/>
          <w:sz w:val="24"/>
          <w:szCs w:val="24"/>
        </w:rPr>
        <w:t xml:space="preserve">3.2 Clinical System Connectivity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SystmOne Booking Rate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bookings via SystmOne direct (5 practices)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GP Connect Booking Rate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bookings via GP Connect (2 EMIS)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GP Connect Success Rate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Successful transactions ÷ Attempts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bl>
    <w:p>
      <w:pPr>
        <w:pStyle w:val="Heading3"/>
        <w:spacing w:before="200" w:after="100"/>
      </w:pPr>
      <w:r>
        <w:rPr>
          <w:rFonts w:ascii="Arial" w:cs="Arial" w:eastAsia="Arial" w:hAnsi="Arial"/>
          <w:b/>
          <w:bCs/>
          <w:color w:val="3B5998"/>
          <w:sz w:val="24"/>
          <w:szCs w:val="24"/>
        </w:rPr>
        <w:t xml:space="preserve">3.3 Risk Stratification &amp; Continuity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RED Flag Continuity Rate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RED flag patients seen by named GP</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RED Flag SDA Diversion</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RED patients incorrectly routed to SDA</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&lt;10%</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Risk Flag Currency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patients with up-to-date stratification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bl>
    <w:p>
      <w:pPr>
        <w:pStyle w:val="Heading3"/>
        <w:spacing w:before="200" w:after="100"/>
      </w:pPr>
      <w:r>
        <w:rPr>
          <w:rFonts w:ascii="Arial" w:cs="Arial" w:eastAsia="Arial" w:hAnsi="Arial"/>
          <w:b/>
          <w:bCs/>
          <w:color w:val="3B5998"/>
          <w:sz w:val="24"/>
          <w:szCs w:val="24"/>
        </w:rPr>
        <w:t xml:space="preserve">3.4 Workforce &amp; Capacity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GP Sessions Delivered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GP sessions completed vs planned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ANP Sessions Delivered</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ANP sessions completed vs planned</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≥95%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ACP/Paramedic/Pharmacist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Allied health professional sessions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Unfilled Sessions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Planned sessions with no clinician</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&lt;5%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Staff Satisfaction Score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 staff survey result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≥4.0/5.0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Staff Retention Rate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12-month rolling retention</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≥90%</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Vacancies / Recruitment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Active vacancies and pipeline status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bl>
    <w:p>
      <w:pPr>
        <w:pStyle w:val="Heading3"/>
        <w:spacing w:before="200" w:after="100"/>
      </w:pPr>
      <w:r>
        <w:rPr>
          <w:rFonts w:ascii="Arial" w:cs="Arial" w:eastAsia="Arial" w:hAnsi="Arial"/>
          <w:b/>
          <w:bCs/>
          <w:color w:val="3B5998"/>
          <w:sz w:val="24"/>
          <w:szCs w:val="24"/>
        </w:rPr>
        <w:t xml:space="preserve">3.5 Quality &amp; Safety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Patient Satisfaction (FFT)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Positive response rate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Consultation Outcome Rate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Resolved at NAS vs follow-up required</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≥75%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Safety Events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Incidents linked to NAS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Immediate</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Complaints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Volume, themes, resolution, learning actions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Safeguarding Referrals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Safeguarding concerns raised from NAS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IPC Compliance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Infection prevention &amp; control at hub sites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100%</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Clinical Effectiveness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Appropriate referral rates, coding quality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bl>
    <w:p>
      <w:pPr>
        <w:pStyle w:val="Heading3"/>
        <w:spacing w:before="200" w:after="100"/>
      </w:pPr>
      <w:r>
        <w:rPr>
          <w:rFonts w:ascii="Arial" w:cs="Arial" w:eastAsia="Arial" w:hAnsi="Arial"/>
          <w:b/>
          <w:bCs/>
          <w:color w:val="3B5998"/>
          <w:sz w:val="24"/>
          <w:szCs w:val="24"/>
        </w:rPr>
        <w:t xml:space="preserve">3.6 Financial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Cost per Appointment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Total expenditure ÷ Completed appointments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Budget Variance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Actual spend vs profiled budget</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Activity vs Contract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Delivered vs contracted volumes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Buy-Back Drawdown</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Claims vs recruit budget allocated</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Prescribing Cost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NAS prescribing budget spend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Formulary Compliance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prescriptions on local formulary</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≥95%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bl>
    <w:p>
      <w:pPr>
        <w:pStyle w:val="Heading3"/>
        <w:spacing w:before="200" w:after="100"/>
      </w:pPr>
      <w:r>
        <w:rPr>
          <w:rFonts w:ascii="Arial" w:cs="Arial" w:eastAsia="Arial" w:hAnsi="Arial"/>
          <w:b/>
          <w:bCs/>
          <w:color w:val="3B5998"/>
          <w:sz w:val="24"/>
          <w:szCs w:val="24"/>
        </w:rPr>
        <w:t xml:space="preserve">3.7 Referrals &amp; Diagnostics Metrics ★ NEW</w:t>
      </w:r>
    </w:p>
    <w:p>
      <w:pPr>
        <w:spacing w:before="0" w:after="120"/>
      </w:pPr>
      <w:r>
        <w:rPr>
          <w:rFonts w:ascii="Arial" w:cs="Arial" w:eastAsia="Arial" w:hAnsi="Arial"/>
          <w:color w:val="1E293B"/>
          <w:sz w:val="20"/>
          <w:szCs w:val="20"/>
        </w:rPr>
        <w:t xml:space="preserve">Per ICB Section 2.2.1, onward referrals and diagnostics are fixed monthly reporting items for both Part A and Part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Onward Referral Volume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Total referrals from NAS by destination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Onward Referral Rate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Referrals as % of attended appointments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Direct Referral %</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Referrals made directly by NAS clinician (not passed to host practice)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Diagnostics Ordered</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Pathology, imaging, ECG from NAS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2WW Urgent Referrals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Two-week-wait cancer pathway referrals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bl>
    <w:p>
      <w:pPr>
        <w:pStyle w:val="Heading3"/>
        <w:spacing w:before="200" w:after="100"/>
      </w:pPr>
      <w:r>
        <w:rPr>
          <w:rFonts w:ascii="Arial" w:cs="Arial" w:eastAsia="Arial" w:hAnsi="Arial"/>
          <w:b/>
          <w:bCs/>
          <w:color w:val="3B5998"/>
          <w:sz w:val="24"/>
          <w:szCs w:val="24"/>
        </w:rPr>
        <w:t xml:space="preserve">3.8 Health Inequalities &amp; Core20PLUS5 Metrics ★ NEW</w:t>
      </w:r>
    </w:p>
    <w:p>
      <w:pPr>
        <w:pBdr>
          <w:left w:val="single" w:color="F59E0B" w:sz="12"/>
        </w:pBdr>
        <w:shd w:fill="FFFBEB" w:val="clear"/>
        <w:spacing w:before="120" w:after="120"/>
      </w:pPr>
      <w:r>
        <w:rPr>
          <w:rFonts w:ascii="Arial" w:cs="Arial" w:eastAsia="Arial" w:hAnsi="Arial"/>
          <w:color w:val="92400E"/>
          <w:sz w:val="18"/>
          <w:szCs w:val="18"/>
        </w:rPr>
        <w:t xml:space="preserve">ICB Specification Pending: Detailed reporting expectations for health inequalities metrics have not yet been provided by the ICB as at 16 March 2026. The framework below shows our proposed approach, ready to align with ICB requirements once confirmed. We have requested this information from the ICB and will update this section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Core20 NAS Utilisation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NAS usage by patients in 20% most deprived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Proportional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Deprivation Gap</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Difference in NAS access by IMD quintile</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&lt;2.5%</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Core20PLUS5 Cohort Rates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Appointment rates for 5 priority cohorts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Interpreter Service Usage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Language support provided at NAS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Reasonable Adjustments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Adjustments requested and delivered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At-Risk Group Access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Access rates for locally defined vulnerable groups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bl>
    <w:p>
      <w:pPr>
        <w:pStyle w:val="Heading3"/>
        <w:spacing w:before="200" w:after="100"/>
      </w:pPr>
      <w:r>
        <w:rPr>
          <w:rFonts w:ascii="Arial" w:cs="Arial" w:eastAsia="Arial" w:hAnsi="Arial"/>
          <w:b/>
          <w:bCs/>
          <w:color w:val="3B5998"/>
          <w:sz w:val="24"/>
          <w:szCs w:val="24"/>
        </w:rPr>
        <w:t xml:space="preserve">3.9 Prescribing &amp; Medicines Management Metrics ★ NEW</w:t>
      </w:r>
    </w:p>
    <w:p>
      <w:pPr>
        <w:spacing w:before="0" w:after="120"/>
      </w:pPr>
      <w:r>
        <w:rPr>
          <w:rFonts w:ascii="Arial" w:cs="Arial" w:eastAsia="Arial" w:hAnsi="Arial"/>
          <w:color w:val="1E293B"/>
          <w:sz w:val="20"/>
          <w:szCs w:val="20"/>
        </w:rPr>
        <w:t xml:space="preserve">Per ICB Medicines Optimisation section, the NAS prescribing budget forms part of the primary care prescribing budget. The Prescribing Achievement Framework will be monitored in consultation with the ICB.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NAS Prescribing Volume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Items prescribed from NAS consultations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NAS Prescribing Cost</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Cost of prescriptions from NAS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Formulary Compliance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adherence to local formulary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Antibiotic Prescribing Rate</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Antibiotics as % of NAS consultations</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PAF Score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Prescribing Achievement Framework</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bl>
    <w:p>
      <w:pPr>
        <w:pStyle w:val="Heading3"/>
        <w:spacing w:before="200" w:after="100"/>
      </w:pPr>
      <w:r>
        <w:rPr>
          <w:rFonts w:ascii="Arial" w:cs="Arial" w:eastAsia="Arial" w:hAnsi="Arial"/>
          <w:b/>
          <w:bCs/>
          <w:color w:val="3B5998"/>
          <w:sz w:val="24"/>
          <w:szCs w:val="24"/>
        </w:rPr>
        <w:t xml:space="preserve">3.10 Part B Appointment Duration ★ NEW</w:t>
      </w:r>
    </w:p>
    <w:p>
      <w:pPr>
        <w:spacing w:before="0" w:after="120"/>
      </w:pPr>
      <w:r>
        <w:rPr>
          <w:rFonts w:ascii="Arial" w:cs="Arial" w:eastAsia="Arial" w:hAnsi="Arial"/>
          <w:color w:val="1E293B"/>
          <w:sz w:val="20"/>
          <w:szCs w:val="20"/>
        </w:rPr>
        <w:t xml:space="preserve">Per ICB Part B specification, proactive care appointments are variable length and must be tracked. This confirms that longer consultations are being delivered as intended.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1160"/>
        <w:gridCol w:w="1200"/>
      </w:tblGrid>
      <w:tr>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KPI</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Definition</w:t>
            </w:r>
          </w:p>
        </w:tc>
        <w:tc>
          <w:tcPr>
            <w:tcW w:type="dxa" w:w="1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Target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Part B Avg Duration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Mean appointment length across Part B slots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≥28 min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Duration by Category</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Avg length per SDA-prefixed slot type</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Duration Compliance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of Part B appts meeting planned length</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Specific Clinic Types</w:t>
            </w:r>
          </w:p>
        </w:tc>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Named clinics running (COPD, diabetes, frailty, etc.)</w:t>
            </w:r>
          </w:p>
        </w:tc>
        <w:tc>
          <w:tcPr>
            <w:tcW w:type="dxa" w:w="1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Monitor</w:t>
            </w:r>
          </w:p>
        </w:tc>
        <w:tc>
          <w:tcPr>
            <w:tcW w:type="dxa" w:w="1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r>
    </w:tbl>
    <w:p>
      <w:r>
        <w:br w:type="page"/>
      </w:r>
    </w:p>
    <w:p>
      <w:pPr>
        <w:pStyle w:val="Heading1"/>
        <w:spacing w:before="360" w:after="160"/>
      </w:pPr>
      <w:r>
        <w:rPr>
          <w:rFonts w:ascii="Arial" w:cs="Arial" w:eastAsia="Arial" w:hAnsi="Arial"/>
          <w:b/>
          <w:bCs/>
          <w:color w:val="2C3E6B"/>
          <w:sz w:val="32"/>
          <w:szCs w:val="32"/>
        </w:rPr>
        <w:t xml:space="preserve">4. Reporting Schedule &amp; Governance</w:t>
      </w:r>
    </w:p>
    <w:p>
      <w:pPr>
        <w:pStyle w:val="Heading3"/>
        <w:spacing w:before="200" w:after="100"/>
      </w:pPr>
      <w:r>
        <w:rPr>
          <w:rFonts w:ascii="Arial" w:cs="Arial" w:eastAsia="Arial" w:hAnsi="Arial"/>
          <w:b/>
          <w:bCs/>
          <w:color w:val="3B5998"/>
          <w:sz w:val="24"/>
          <w:szCs w:val="24"/>
        </w:rPr>
        <w:t xml:space="preserve">4.1 Report Types &amp;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960"/>
        <w:gridCol w:w="2200"/>
      </w:tblGrid>
      <w:tr>
        <w:tc>
          <w:tcPr>
            <w:tcW w:type="dxa" w:w="2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Report</w:t>
            </w:r>
          </w:p>
        </w:tc>
        <w:tc>
          <w:tcPr>
            <w:tcW w:type="dxa" w:w="2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Audience</w:t>
            </w:r>
          </w:p>
        </w:tc>
        <w:tc>
          <w:tcPr>
            <w:tcW w:type="dxa" w:w="1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Frequency</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Owner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Operational Dashboard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Managers, PCN Team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Real-time / Daily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NRES Development Manager</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 Activity Report</w:t>
            </w:r>
          </w:p>
        </w:tc>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 Practices</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 (Monday)</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NRES Development Manager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 Performance Report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Programme Board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 (by 10th)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 Chair</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Buy-Back Status Report</w:t>
            </w:r>
          </w:p>
        </w:tc>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 ICB Finance</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Malcolm Railson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Quality &amp; Safety Report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Programme Board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Clinical Governance Lead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Prescribing Report</w:t>
            </w:r>
          </w:p>
        </w:tc>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Medicines Team</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NAS Clinical Lead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Part B Continuity Report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 ICB</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NRES Development Manager</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Health Inequalities Report</w:t>
            </w:r>
          </w:p>
        </w:tc>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Programme Board</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NRES Development Manager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Benefits Realisation Report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Board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 Evaluation</w:t>
            </w:r>
          </w:p>
        </w:tc>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Board, NHS England</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w:t>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Annual Review &amp; Business Case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NHS England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Annually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w:t>
            </w:r>
          </w:p>
        </w:tc>
      </w:tr>
    </w:tbl>
    <w:p>
      <w:pPr>
        <w:pStyle w:val="Heading3"/>
        <w:spacing w:before="200" w:after="100"/>
      </w:pPr>
      <w:r>
        <w:rPr>
          <w:rFonts w:ascii="Arial" w:cs="Arial" w:eastAsia="Arial" w:hAnsi="Arial"/>
          <w:b/>
          <w:bCs/>
          <w:color w:val="3B5998"/>
          <w:sz w:val="24"/>
          <w:szCs w:val="24"/>
        </w:rPr>
        <w:t xml:space="preserve">4.2 Mandatory Narrative Requirements (ICB Section 2.2.1)</w:t>
      </w:r>
    </w:p>
    <w:p>
      <w:pPr>
        <w:pBdr>
          <w:left w:val="single" w:color="2563EB" w:sz="12"/>
        </w:pBdr>
        <w:shd w:fill="EFF6FF" w:val="clear"/>
        <w:spacing w:before="120" w:after="120"/>
      </w:pPr>
      <w:r>
        <w:rPr>
          <w:rFonts w:ascii="Arial" w:cs="Arial" w:eastAsia="Arial" w:hAnsi="Arial"/>
          <w:color w:val="1E3A5F"/>
          <w:sz w:val="18"/>
          <w:szCs w:val="18"/>
        </w:rPr>
        <w:t xml:space="preserve">Per ICB requirement, all monthly and quarterly reports must include mandatory narrative sections covering: (1) performance variances explained, (2) actions taken to address underperformance, (3) evidence of implementation of patient and staff feedback, and (4) learning from incidents. Reports without complete narrative will not be accepted.</w:t>
      </w:r>
    </w:p>
    <w:p>
      <w:pPr>
        <w:pStyle w:val="Heading3"/>
        <w:spacing w:before="200" w:after="100"/>
      </w:pPr>
      <w:r>
        <w:rPr>
          <w:rFonts w:ascii="Arial" w:cs="Arial" w:eastAsia="Arial" w:hAnsi="Arial"/>
          <w:b/>
          <w:bCs/>
          <w:color w:val="3B5998"/>
          <w:sz w:val="24"/>
          <w:szCs w:val="24"/>
        </w:rPr>
        <w:t xml:space="preserve">4.3 Escalation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10B981"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GREEN</w:t>
            </w:r>
          </w:p>
        </w:tc>
        <w:tc>
          <w:tcPr>
            <w:tcW w:type="dxa" w:w="8160"/>
            <w:tcBorders>
              <w:top w:val="none"/>
              <w:left w:val="none"/>
              <w:bottom w:val="none"/>
              <w:right w:val="none"/>
            </w:tcBorders>
            <w:tcMar>
              <w:top w:type="dxa" w:w="60"/>
              <w:left w:type="dxa" w:w="100"/>
              <w:bottom w:type="dxa" w:w="60"/>
              <w:right w:type="dxa" w:w="100"/>
            </w:tcMar>
          </w:tcPr>
          <w:p>
            <w:r>
              <w:rPr>
                <w:rFonts w:ascii="Arial" w:cs="Arial" w:eastAsia="Arial" w:hAnsi="Arial"/>
                <w:color w:val="1E293B"/>
                <w:sz w:val="17"/>
                <w:szCs w:val="17"/>
              </w:rPr>
              <w:t xml:space="preserve">All KPIs on track. Utilisation ≥85%, satisfaction ≥4.0/5.0, compliance ≥95%, no unresolved incidents or complaints.</w:t>
            </w:r>
          </w:p>
        </w:tc>
      </w:tr>
    </w:tbl>
    <w:p>
      <w:pPr>
        <w:spacing w:before="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F59E0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AMBER</w:t>
            </w:r>
          </w:p>
        </w:tc>
        <w:tc>
          <w:tcPr>
            <w:tcW w:type="dxa" w:w="8160"/>
            <w:tcBorders>
              <w:top w:val="none"/>
              <w:left w:val="none"/>
              <w:bottom w:val="none"/>
              <w:right w:val="none"/>
            </w:tcBorders>
            <w:tcMar>
              <w:top w:type="dxa" w:w="60"/>
              <w:left w:type="dxa" w:w="100"/>
              <w:bottom w:type="dxa" w:w="60"/>
              <w:right w:type="dxa" w:w="100"/>
            </w:tcMar>
          </w:tcPr>
          <w:p>
            <w:r>
              <w:rPr>
                <w:rFonts w:ascii="Arial" w:cs="Arial" w:eastAsia="Arial" w:hAnsi="Arial"/>
                <w:color w:val="1E293B"/>
                <w:sz w:val="17"/>
                <w:szCs w:val="17"/>
              </w:rPr>
              <w:t xml:space="preserve">One or more KPIs below target ≥4 weeks. Corrective action plan within 10 days. Practice notified. ICB informed.</w:t>
            </w:r>
          </w:p>
        </w:tc>
      </w:tr>
    </w:tbl>
    <w:p>
      <w:pPr>
        <w:spacing w:before="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F444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RED</w:t>
            </w:r>
          </w:p>
        </w:tc>
        <w:tc>
          <w:tcPr>
            <w:tcW w:type="dxa" w:w="8160"/>
            <w:tcBorders>
              <w:top w:val="none"/>
              <w:left w:val="none"/>
              <w:bottom w:val="none"/>
              <w:right w:val="none"/>
            </w:tcBorders>
            <w:tcMar>
              <w:top w:type="dxa" w:w="60"/>
              <w:left w:type="dxa" w:w="100"/>
              <w:bottom w:type="dxa" w:w="60"/>
              <w:right w:type="dxa" w:w="100"/>
            </w:tcMar>
          </w:tcPr>
          <w:p>
            <w:r>
              <w:rPr>
                <w:rFonts w:ascii="Arial" w:cs="Arial" w:eastAsia="Arial" w:hAnsi="Arial"/>
                <w:color w:val="1E293B"/>
                <w:sz w:val="17"/>
                <w:szCs w:val="17"/>
              </w:rPr>
              <w:t xml:space="preserve">KPIs persistently below target &gt;4 weeks, patient safety concern, safeguarding failure, financial discrepancy, or buy-back evidence overdue &gt;30 days. Immediate ICB escalation.</w:t>
            </w:r>
          </w:p>
        </w:tc>
      </w:tr>
    </w:tbl>
    <w:p>
      <w:pPr>
        <w:spacing w:before="0" w:after="80"/>
      </w:pPr>
      <w:r>
        <w:rPr>
          <w:rFonts w:ascii="Arial" w:cs="Arial" w:eastAsia="Arial" w:hAnsi="Arial"/>
          <w:color w:val="1E293B"/>
          <w:sz w:val="20"/>
          <w:szCs w:val="20"/>
        </w:rPr>
        <w:t xml:space="preserve"/>
      </w:r>
    </w:p>
    <w:p>
      <w:pPr>
        <w:spacing w:before="0" w:after="120"/>
      </w:pPr>
      <w:r>
        <w:rPr>
          <w:rFonts w:ascii="Arial" w:cs="Arial" w:eastAsia="Arial" w:hAnsi="Arial"/>
          <w:b/>
          <w:bCs/>
          <w:color w:val="1E293B"/>
          <w:sz w:val="20"/>
          <w:szCs w:val="20"/>
        </w:rPr>
        <w:t xml:space="preserve">Additional triggers (v1.7):</w:t>
      </w:r>
    </w:p>
    <w:p>
      <w:pPr>
        <w:spacing w:before="0" w:after="120"/>
        <w:ind w:left="360"/>
      </w:pPr>
      <w:r>
        <w:rPr>
          <w:rFonts w:ascii="Arial" w:cs="Arial" w:eastAsia="Arial" w:hAnsi="Arial"/>
          <w:color w:val="1E293B"/>
          <w:sz w:val="20"/>
          <w:szCs w:val="20"/>
        </w:rPr>
        <w:t xml:space="preserve">• RED: Unmet demand &gt;5% of weekly capacity for 2 consecutive weeks</w:t>
      </w:r>
    </w:p>
    <w:p>
      <w:pPr>
        <w:spacing w:before="0" w:after="120"/>
        <w:ind w:left="360"/>
      </w:pPr>
      <w:r>
        <w:rPr>
          <w:rFonts w:ascii="Arial" w:cs="Arial" w:eastAsia="Arial" w:hAnsi="Arial"/>
          <w:color w:val="1E293B"/>
          <w:sz w:val="20"/>
          <w:szCs w:val="20"/>
        </w:rPr>
        <w:t xml:space="preserve">• RED: Safeguarding referral not raised where indicated</w:t>
      </w:r>
    </w:p>
    <w:p>
      <w:pPr>
        <w:spacing w:before="0" w:after="120"/>
        <w:ind w:left="360"/>
      </w:pPr>
      <w:r>
        <w:rPr>
          <w:rFonts w:ascii="Arial" w:cs="Arial" w:eastAsia="Arial" w:hAnsi="Arial"/>
          <w:color w:val="1E293B"/>
          <w:sz w:val="20"/>
          <w:szCs w:val="20"/>
        </w:rPr>
        <w:t xml:space="preserve">• AMBER: Complaint unresolved &gt;20 working days</w:t>
      </w:r>
    </w:p>
    <w:p>
      <w:pPr>
        <w:spacing w:before="0" w:after="120"/>
        <w:ind w:left="360"/>
      </w:pPr>
      <w:r>
        <w:rPr>
          <w:rFonts w:ascii="Arial" w:cs="Arial" w:eastAsia="Arial" w:hAnsi="Arial"/>
          <w:color w:val="1E293B"/>
          <w:sz w:val="20"/>
          <w:szCs w:val="20"/>
        </w:rPr>
        <w:t xml:space="preserve">• AMBER: Practice not submitting data by agreed deadline</w:t>
      </w:r>
    </w:p>
    <w:p>
      <w:pPr>
        <w:spacing w:before="0" w:after="120"/>
        <w:ind w:left="360"/>
      </w:pPr>
      <w:r>
        <w:rPr>
          <w:rFonts w:ascii="Arial" w:cs="Arial" w:eastAsia="Arial" w:hAnsi="Arial"/>
          <w:color w:val="1E293B"/>
          <w:sz w:val="20"/>
          <w:szCs w:val="20"/>
        </w:rPr>
        <w:t xml:space="preserve">• AMBER: Prescribing formulary compliance &lt;90%</w:t>
      </w:r>
    </w:p>
    <w:p>
      <w:pPr>
        <w:spacing w:before="0" w:after="120"/>
        <w:ind w:left="360"/>
      </w:pPr>
      <w:r>
        <w:rPr>
          <w:rFonts w:ascii="Arial" w:cs="Arial" w:eastAsia="Arial" w:hAnsi="Arial"/>
          <w:color w:val="1E293B"/>
          <w:sz w:val="20"/>
          <w:szCs w:val="20"/>
        </w:rPr>
        <w:t xml:space="preserve">• AMBER: Equity index &lt;0.85 for any practice</w:t>
      </w:r>
    </w:p>
    <w:p>
      <w:r>
        <w:br w:type="page"/>
      </w:r>
    </w:p>
    <w:p>
      <w:pPr>
        <w:pStyle w:val="Heading1"/>
        <w:spacing w:before="360" w:after="160"/>
      </w:pPr>
      <w:r>
        <w:rPr>
          <w:rFonts w:ascii="Arial" w:cs="Arial" w:eastAsia="Arial" w:hAnsi="Arial"/>
          <w:b/>
          <w:bCs/>
          <w:color w:val="2C3E6B"/>
          <w:sz w:val="32"/>
          <w:szCs w:val="32"/>
        </w:rPr>
        <w:t xml:space="preserve">5. Detailed Report Specifications</w:t>
      </w:r>
    </w:p>
    <w:p>
      <w:pPr>
        <w:pStyle w:val="Heading3"/>
        <w:spacing w:before="200" w:after="100"/>
      </w:pPr>
      <w:r>
        <w:rPr>
          <w:rFonts w:ascii="Arial" w:cs="Arial" w:eastAsia="Arial" w:hAnsi="Arial"/>
          <w:b/>
          <w:bCs/>
          <w:color w:val="3B5998"/>
          <w:sz w:val="24"/>
          <w:szCs w:val="24"/>
        </w:rPr>
        <w:t xml:space="preserve">5.1 Weekly Activity Report</w:t>
      </w:r>
    </w:p>
    <w:p>
      <w:pPr>
        <w:spacing w:before="0" w:after="120"/>
      </w:pPr>
      <w:r>
        <w:rPr>
          <w:rFonts w:ascii="Arial" w:cs="Arial" w:eastAsia="Arial" w:hAnsi="Arial"/>
          <w:color w:val="1E293B"/>
          <w:sz w:val="20"/>
          <w:szCs w:val="20"/>
        </w:rPr>
        <w:t xml:space="preserve">Data sourced from Excel Compliance Tracker. Content: Total appointments by slot type (Part A 15-min + Part B 30-min); rota type and staff type; booking source; utilisation per practice; DNA rates; same-day booking rate; unfilled slots; unmet demand count; EMAS bookings; week-on-week trend; risk stratification routing; exception report and actions.</w:t>
      </w:r>
    </w:p>
    <w:p>
      <w:pPr>
        <w:pStyle w:val="Heading3"/>
        <w:spacing w:before="200" w:after="100"/>
      </w:pPr>
      <w:r>
        <w:rPr>
          <w:rFonts w:ascii="Arial" w:cs="Arial" w:eastAsia="Arial" w:hAnsi="Arial"/>
          <w:b/>
          <w:bCs/>
          <w:color w:val="3B5998"/>
          <w:sz w:val="24"/>
          <w:szCs w:val="24"/>
        </w:rPr>
        <w:t xml:space="preserve">5.2 Monthly Performance Report</w:t>
      </w:r>
    </w:p>
    <w:p>
      <w:pPr>
        <w:spacing w:before="0" w:after="120"/>
      </w:pPr>
      <w:r>
        <w:rPr>
          <w:rFonts w:ascii="Arial" w:cs="Arial" w:eastAsia="Arial" w:hAnsi="Arial"/>
          <w:color w:val="1E293B"/>
          <w:sz w:val="20"/>
          <w:szCs w:val="20"/>
        </w:rPr>
        <w:t xml:space="preserve">Content: Executive summary with RAG; KPI dashboard with targets vs actuals; practice-level breakdown; Part A/B split; mode analysis; workforce by staff type; risk stratification; financial summary (open book, buy-back drawdown); patient feedback; complaints and safeguarding summary; prescribing summary; repeat attendance analysis; demand patterns; risk register update; recommendations. Must include mandatory narrative section.</w:t>
      </w:r>
    </w:p>
    <w:p>
      <w:pPr>
        <w:pStyle w:val="Heading3"/>
        <w:spacing w:before="200" w:after="100"/>
      </w:pPr>
      <w:r>
        <w:rPr>
          <w:rFonts w:ascii="Arial" w:cs="Arial" w:eastAsia="Arial" w:hAnsi="Arial"/>
          <w:b/>
          <w:bCs/>
          <w:color w:val="3B5998"/>
          <w:sz w:val="24"/>
          <w:szCs w:val="24"/>
        </w:rPr>
        <w:t xml:space="preserve">5.3 Quality &amp; Safety Report ★ NEW</w:t>
      </w:r>
    </w:p>
    <w:p>
      <w:pPr>
        <w:spacing w:before="0" w:after="120"/>
      </w:pPr>
      <w:r>
        <w:rPr>
          <w:rFonts w:ascii="Arial" w:cs="Arial" w:eastAsia="Arial" w:hAnsi="Arial"/>
          <w:color w:val="1E293B"/>
          <w:sz w:val="20"/>
          <w:szCs w:val="20"/>
        </w:rPr>
        <w:t xml:space="preserve">Content: Complaints tracker (volume, themes, practice, resolution status, days open, learning actions); safeguarding referrals raised from NAS (by type and practice); IPC compliance for hub sites; clinical effectiveness indicators; safety events; training compliance; mandatory narrative on learning from incidents and implementation of patient feedback.</w:t>
      </w:r>
    </w:p>
    <w:p>
      <w:pPr>
        <w:pStyle w:val="Heading3"/>
        <w:spacing w:before="200" w:after="100"/>
      </w:pPr>
      <w:r>
        <w:rPr>
          <w:rFonts w:ascii="Arial" w:cs="Arial" w:eastAsia="Arial" w:hAnsi="Arial"/>
          <w:b/>
          <w:bCs/>
          <w:color w:val="3B5998"/>
          <w:sz w:val="24"/>
          <w:szCs w:val="24"/>
        </w:rPr>
        <w:t xml:space="preserve">5.4 Prescribing &amp; Medicines Report ★ NEW</w:t>
      </w:r>
    </w:p>
    <w:p>
      <w:pPr>
        <w:spacing w:before="0" w:after="120"/>
      </w:pPr>
      <w:r>
        <w:rPr>
          <w:rFonts w:ascii="Arial" w:cs="Arial" w:eastAsia="Arial" w:hAnsi="Arial"/>
          <w:color w:val="1E293B"/>
          <w:sz w:val="20"/>
          <w:szCs w:val="20"/>
        </w:rPr>
        <w:t xml:space="preserve">Content: NAS prescribing volume and cost; prescribing by category; formulary compliance %; antibiotic prescribing rates; Prescribing Achievement Framework scores; practice-level breakdown; polypharmacy review status for Part B patients.</w:t>
      </w:r>
    </w:p>
    <w:p>
      <w:pPr>
        <w:pStyle w:val="Heading3"/>
        <w:spacing w:before="200" w:after="100"/>
      </w:pPr>
      <w:r>
        <w:rPr>
          <w:rFonts w:ascii="Arial" w:cs="Arial" w:eastAsia="Arial" w:hAnsi="Arial"/>
          <w:b/>
          <w:bCs/>
          <w:color w:val="3B5998"/>
          <w:sz w:val="24"/>
          <w:szCs w:val="24"/>
        </w:rPr>
        <w:t xml:space="preserve">5.5 Health Inequalities Report ★ NEW</w:t>
      </w:r>
    </w:p>
    <w:p>
      <w:pPr>
        <w:pBdr>
          <w:left w:val="single" w:color="F59E0B" w:sz="12"/>
        </w:pBdr>
        <w:shd w:fill="FFFBEB" w:val="clear"/>
        <w:spacing w:before="120" w:after="120"/>
      </w:pPr>
      <w:r>
        <w:rPr>
          <w:rFonts w:ascii="Arial" w:cs="Arial" w:eastAsia="Arial" w:hAnsi="Arial"/>
          <w:color w:val="92400E"/>
          <w:sz w:val="18"/>
          <w:szCs w:val="18"/>
        </w:rPr>
        <w:t xml:space="preserve">This report specification will be finalised once the ICB provides detailed expectations for health inequalities reporting metrics. As at 16 March 2026, this information has not yet been provided. The proposed framework below is ready for alignment.</w:t>
      </w:r>
    </w:p>
    <w:p>
      <w:pPr>
        <w:spacing w:before="0" w:after="120"/>
      </w:pPr>
      <w:r>
        <w:rPr>
          <w:rFonts w:ascii="Arial" w:cs="Arial" w:eastAsia="Arial" w:hAnsi="Arial"/>
          <w:color w:val="1E293B"/>
          <w:sz w:val="20"/>
          <w:szCs w:val="20"/>
        </w:rPr>
        <w:t xml:space="preserve">Proposed content: Core20PLUS5 cohort tracking; IMD deprivation quintile analysis; NAS utilisation equity across practices; at-risk group access monitoring (GRT communities, rough sleepers, asylum seekers, LD register, digitally excluded); interpreter service usage; reasonable adjustments; demographic breakdown.</w:t>
      </w:r>
    </w:p>
    <w:p>
      <w:pPr>
        <w:pStyle w:val="Heading3"/>
        <w:spacing w:before="200" w:after="100"/>
      </w:pPr>
      <w:r>
        <w:rPr>
          <w:rFonts w:ascii="Arial" w:cs="Arial" w:eastAsia="Arial" w:hAnsi="Arial"/>
          <w:b/>
          <w:bCs/>
          <w:color w:val="3B5998"/>
          <w:sz w:val="24"/>
          <w:szCs w:val="24"/>
        </w:rPr>
        <w:t xml:space="preserve">5.6 Referrals &amp; Diagnostics Report ★ NEW</w:t>
      </w:r>
    </w:p>
    <w:p>
      <w:pPr>
        <w:spacing w:before="0" w:after="120"/>
      </w:pPr>
      <w:r>
        <w:rPr>
          <w:rFonts w:ascii="Arial" w:cs="Arial" w:eastAsia="Arial" w:hAnsi="Arial"/>
          <w:color w:val="1E293B"/>
          <w:sz w:val="20"/>
          <w:szCs w:val="20"/>
        </w:rPr>
        <w:t xml:space="preserve">Content: Onward referral volumes by destination (secondary care, community, MH, MSK, social prescribing); referral rate per practice; direct-from-NAS compliance (not passed back to host practice); diagnostics ordered (pathology, imaging, ECG); 2WW urgent cancer referrals; practice-level breakdown.</w:t>
      </w:r>
    </w:p>
    <w:p>
      <w:pPr>
        <w:pStyle w:val="Heading3"/>
        <w:spacing w:before="200" w:after="100"/>
      </w:pPr>
      <w:r>
        <w:rPr>
          <w:rFonts w:ascii="Arial" w:cs="Arial" w:eastAsia="Arial" w:hAnsi="Arial"/>
          <w:b/>
          <w:bCs/>
          <w:color w:val="3B5998"/>
          <w:sz w:val="24"/>
          <w:szCs w:val="24"/>
        </w:rPr>
        <w:t xml:space="preserve">5.7 Quarterly Evaluation Report</w:t>
      </w:r>
    </w:p>
    <w:p>
      <w:pPr>
        <w:spacing w:before="0" w:after="120"/>
      </w:pPr>
      <w:r>
        <w:rPr>
          <w:rFonts w:ascii="Arial" w:cs="Arial" w:eastAsia="Arial" w:hAnsi="Arial"/>
          <w:color w:val="1E293B"/>
          <w:sz w:val="20"/>
          <w:szCs w:val="20"/>
        </w:rPr>
        <w:t xml:space="preserve">Content: Cumulative KPIs; Part B continuity outcomes across 4 categories; Part B appointment duration analysis; specific clinic types operational; health inequalities quarterly analysis; benefits realisation update (financial and non-financial); trend analysis; hub vs spoke comparison; value for money; winter/non-winter comparison; lessons learned; recommendations.</w:t>
      </w:r>
    </w:p>
    <w:p>
      <w:pPr>
        <w:pStyle w:val="Heading3"/>
        <w:spacing w:before="200" w:after="100"/>
      </w:pPr>
      <w:r>
        <w:rPr>
          <w:rFonts w:ascii="Arial" w:cs="Arial" w:eastAsia="Arial" w:hAnsi="Arial"/>
          <w:b/>
          <w:bCs/>
          <w:color w:val="3B5998"/>
          <w:sz w:val="24"/>
          <w:szCs w:val="24"/>
        </w:rPr>
        <w:t xml:space="preserve">5.8 Benefits Realisation Report ★ NEW</w:t>
      </w:r>
    </w:p>
    <w:p>
      <w:pPr>
        <w:spacing w:before="0" w:after="120"/>
      </w:pPr>
      <w:r>
        <w:rPr>
          <w:rFonts w:ascii="Arial" w:cs="Arial" w:eastAsia="Arial" w:hAnsi="Arial"/>
          <w:color w:val="1E293B"/>
          <w:sz w:val="20"/>
          <w:szCs w:val="20"/>
        </w:rPr>
        <w:t xml:space="preserve">Per ICB Section 2.2, a formal Benefits Realisation Programme covering:</w:t>
      </w:r>
    </w:p>
    <w:p>
      <w:pPr>
        <w:spacing w:before="0" w:after="120"/>
      </w:pPr>
      <w:r>
        <w:rPr>
          <w:rFonts w:ascii="Arial" w:cs="Arial" w:eastAsia="Arial" w:hAnsi="Arial"/>
          <w:b/>
          <w:bCs/>
          <w:color w:val="1E293B"/>
          <w:sz w:val="20"/>
          <w:szCs w:val="20"/>
        </w:rPr>
        <w:t xml:space="preserve">Financial benefits: </w:t>
      </w:r>
      <w:r>
        <w:rPr>
          <w:rFonts w:ascii="Arial" w:cs="Arial" w:eastAsia="Arial" w:hAnsi="Arial"/>
          <w:color w:val="1E293B"/>
          <w:sz w:val="20"/>
          <w:szCs w:val="20"/>
        </w:rPr>
        <w:t xml:space="preserve">Cashable savings (cost savings), non-cashable savings (cost avoidance, productivity). Measured against baseline trajectories.</w:t>
      </w:r>
    </w:p>
    <w:p>
      <w:pPr>
        <w:spacing w:before="0" w:after="120"/>
      </w:pPr>
      <w:r>
        <w:rPr>
          <w:rFonts w:ascii="Arial" w:cs="Arial" w:eastAsia="Arial" w:hAnsi="Arial"/>
          <w:b/>
          <w:bCs/>
          <w:color w:val="1E293B"/>
          <w:sz w:val="20"/>
          <w:szCs w:val="20"/>
        </w:rPr>
        <w:t xml:space="preserve">Non-financial benefits: </w:t>
      </w:r>
      <w:r>
        <w:rPr>
          <w:rFonts w:ascii="Arial" w:cs="Arial" w:eastAsia="Arial" w:hAnsi="Arial"/>
          <w:color w:val="1E293B"/>
          <w:sz w:val="20"/>
          <w:szCs w:val="20"/>
        </w:rPr>
        <w:t xml:space="preserve">Service effectiveness (patient outcomes, safety, experience, satisfaction); workforce (morale, retention, recruitment); strategic goals; risk mitigation; reputation. System savings in excess of investment, measured against baseline trajectories.</w:t>
      </w:r>
    </w:p>
    <w:p>
      <w:r>
        <w:br w:type="page"/>
      </w:r>
    </w:p>
    <w:p>
      <w:pPr>
        <w:pStyle w:val="Heading1"/>
        <w:spacing w:before="360" w:after="160"/>
      </w:pPr>
      <w:r>
        <w:rPr>
          <w:rFonts w:ascii="Arial" w:cs="Arial" w:eastAsia="Arial" w:hAnsi="Arial"/>
          <w:b/>
          <w:bCs/>
          <w:color w:val="2C3E6B"/>
          <w:sz w:val="32"/>
          <w:szCs w:val="32"/>
        </w:rPr>
        <w:t xml:space="preserve">6. Alignment with Operations Tool</w:t>
      </w:r>
    </w:p>
    <w:p>
      <w:pPr>
        <w:pBdr>
          <w:left w:val="single" w:color="D4A800" w:sz="12"/>
        </w:pBdr>
        <w:shd w:fill="FDF8E1" w:val="clear"/>
        <w:spacing w:before="120" w:after="120"/>
      </w:pPr>
      <w:r>
        <w:rPr>
          <w:rFonts w:ascii="Arial" w:cs="Arial" w:eastAsia="Arial" w:hAnsi="Arial"/>
          <w:color w:val="92400E"/>
          <w:sz w:val="18"/>
          <w:szCs w:val="18"/>
        </w:rPr>
        <w:t xml:space="preserve">The Excel Workbook V3.1 is the primary data source for all reports. The 20 tabs map directly to the reporting components described in this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Excel Tab</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Reporting Component</w:t>
            </w:r>
          </w:p>
        </w:tc>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Report Type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Assumptions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Contract parameters, list sizes, period dates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All reports (baseline)</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Allocations</w:t>
            </w:r>
          </w:p>
        </w:tc>
        <w:tc>
          <w:tcPr>
            <w:tcW w:type="dxa" w:w="4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of total, weekly targets, financial allocations</w:t>
            </w:r>
          </w:p>
        </w:tc>
        <w:tc>
          <w:tcPr>
            <w:tcW w:type="dxa" w:w="3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 Monthly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 Rota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Sessions planned vs delivered by staff type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 Activity</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 Rota</w:t>
            </w:r>
          </w:p>
        </w:tc>
        <w:tc>
          <w:tcPr>
            <w:tcW w:type="dxa" w:w="4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Calendar view, cumulative compliance</w:t>
            </w:r>
          </w:p>
        </w:tc>
        <w:tc>
          <w:tcPr>
            <w:tcW w:type="dxa" w:w="3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 Performance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Buy-Back Tracker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Applications, approvals, evidence status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Buy-Back Status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Cash Flow</w:t>
            </w:r>
          </w:p>
        </w:tc>
        <w:tc>
          <w:tcPr>
            <w:tcW w:type="dxa" w:w="4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Monthly instalments, cumulative spend, ceiling</w:t>
            </w:r>
          </w:p>
        </w:tc>
        <w:tc>
          <w:tcPr>
            <w:tcW w:type="dxa" w:w="3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Financial Reconciliation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Compliance Tracker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52-week compliance by practice, RAG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All reports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DNA Tracking</w:t>
            </w:r>
          </w:p>
        </w:tc>
        <w:tc>
          <w:tcPr>
            <w:tcW w:type="dxa" w:w="4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DNA rates by practice, mode, trend</w:t>
            </w:r>
          </w:p>
        </w:tc>
        <w:tc>
          <w:tcPr>
            <w:tcW w:type="dxa" w:w="3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Weekly, Monthly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Absence Tracker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Staff absence impacting session delivery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Workforce metrics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 Dashboards (×7)</w:t>
            </w:r>
          </w:p>
        </w:tc>
        <w:tc>
          <w:tcPr>
            <w:tcW w:type="dxa" w:w="4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Individual practice performance view</w:t>
            </w:r>
          </w:p>
        </w:tc>
        <w:tc>
          <w:tcPr>
            <w:tcW w:type="dxa" w:w="3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Practice-level reporting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Audit Log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All changes tracked for accountability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 Annual</w:t>
            </w:r>
          </w:p>
        </w:tc>
      </w:tr>
    </w:tbl>
    <w:p>
      <w:r>
        <w:br w:type="page"/>
      </w:r>
    </w:p>
    <w:p>
      <w:pPr>
        <w:pStyle w:val="Heading1"/>
        <w:spacing w:before="360" w:after="160"/>
      </w:pPr>
      <w:r>
        <w:rPr>
          <w:rFonts w:ascii="Arial" w:cs="Arial" w:eastAsia="Arial" w:hAnsi="Arial"/>
          <w:b/>
          <w:bCs/>
          <w:color w:val="2C3E6B"/>
          <w:sz w:val="32"/>
          <w:szCs w:val="32"/>
        </w:rPr>
        <w:t xml:space="preserve">7. Dashboard &amp; Report Mockup Screens</w:t>
      </w:r>
    </w:p>
    <w:p>
      <w:pPr>
        <w:spacing w:before="0" w:after="120"/>
      </w:pPr>
      <w:r>
        <w:rPr>
          <w:rFonts w:ascii="Arial" w:cs="Arial" w:eastAsia="Arial" w:hAnsi="Arial"/>
          <w:color w:val="1E293B"/>
          <w:sz w:val="20"/>
          <w:szCs w:val="20"/>
        </w:rPr>
        <w:t xml:space="preserve">The following 16 screens illustrate the key reporting views in the Notewell design system. Screens 1–10 cover operational reporting; Screens 11–16 (marked ★ NEW) address the ICB specification requirements identified in the alignment review.</w:t>
      </w:r>
    </w:p>
    <w:p>
      <w:pPr>
        <w:pStyle w:val="Heading3"/>
        <w:spacing w:before="200" w:after="100"/>
      </w:pPr>
      <w:r>
        <w:rPr>
          <w:rFonts w:ascii="Arial" w:cs="Arial" w:eastAsia="Arial" w:hAnsi="Arial"/>
          <w:b/>
          <w:bCs/>
          <w:color w:val="3B5998"/>
          <w:sz w:val="24"/>
          <w:szCs w:val="24"/>
        </w:rPr>
        <w:t xml:space="preserve">7.1 KPI Dashboard Overview</w:t>
      </w:r>
    </w:p>
    <w:p>
      <w:pPr>
        <w:spacing w:before="0" w:after="120"/>
      </w:pPr>
      <w:r>
        <w:rPr>
          <w:rFonts w:ascii="Arial" w:cs="Arial" w:eastAsia="Arial" w:hAnsi="Arial"/>
          <w:color w:val="1E293B"/>
          <w:sz w:val="20"/>
          <w:szCs w:val="20"/>
        </w:rPr>
        <w:t xml:space="preserve">Primary dashboard: weekly KPIs, mode split, compliance trend, RAG summary, Part A/B split</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 KPI Dashboard Overview — Notewell AI reporting view</w:t>
      </w:r>
    </w:p>
    <w:p>
      <w:pPr>
        <w:pStyle w:val="Heading3"/>
        <w:spacing w:before="200" w:after="100"/>
      </w:pPr>
      <w:r>
        <w:rPr>
          <w:rFonts w:ascii="Arial" w:cs="Arial" w:eastAsia="Arial" w:hAnsi="Arial"/>
          <w:b/>
          <w:bCs/>
          <w:color w:val="3B5998"/>
          <w:sz w:val="24"/>
          <w:szCs w:val="24"/>
        </w:rPr>
        <w:t xml:space="preserve">7.2 Weekly Activity Report</w:t>
      </w:r>
    </w:p>
    <w:p>
      <w:pPr>
        <w:spacing w:before="0" w:after="120"/>
      </w:pPr>
      <w:r>
        <w:rPr>
          <w:rFonts w:ascii="Arial" w:cs="Arial" w:eastAsia="Arial" w:hAnsi="Arial"/>
          <w:color w:val="1E293B"/>
          <w:sz w:val="20"/>
          <w:szCs w:val="20"/>
        </w:rPr>
        <w:t xml:space="preserve">Slot type analysis including Part B, rota performance by staff role, week-on-week trend</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7.2 Weekly Activity Report — Notewell AI reporting view</w:t>
      </w:r>
    </w:p>
    <w:p>
      <w:r>
        <w:br w:type="page"/>
      </w:r>
    </w:p>
    <w:p>
      <w:pPr>
        <w:pStyle w:val="Heading3"/>
        <w:spacing w:before="200" w:after="100"/>
      </w:pPr>
      <w:r>
        <w:rPr>
          <w:rFonts w:ascii="Arial" w:cs="Arial" w:eastAsia="Arial" w:hAnsi="Arial"/>
          <w:b/>
          <w:bCs/>
          <w:color w:val="3B5998"/>
          <w:sz w:val="24"/>
          <w:szCs w:val="24"/>
        </w:rPr>
        <w:t xml:space="preserve">7.3 Practice Comparison</w:t>
      </w:r>
    </w:p>
    <w:p>
      <w:pPr>
        <w:spacing w:before="0" w:after="120"/>
      </w:pPr>
      <w:r>
        <w:rPr>
          <w:rFonts w:ascii="Arial" w:cs="Arial" w:eastAsia="Arial" w:hAnsi="Arial"/>
          <w:color w:val="1E293B"/>
          <w:sz w:val="20"/>
          <w:szCs w:val="20"/>
        </w:rPr>
        <w:t xml:space="preserve">All 7 practices: actual vs target, hub/spoke, list size allocation, financial allocation</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7.3 Practice Comparison — Notewell AI reporting view</w:t>
      </w:r>
    </w:p>
    <w:p>
      <w:pPr>
        <w:pStyle w:val="Heading3"/>
        <w:spacing w:before="200" w:after="100"/>
      </w:pPr>
      <w:r>
        <w:rPr>
          <w:rFonts w:ascii="Arial" w:cs="Arial" w:eastAsia="Arial" w:hAnsi="Arial"/>
          <w:b/>
          <w:bCs/>
          <w:color w:val="3B5998"/>
          <w:sz w:val="24"/>
          <w:szCs w:val="24"/>
        </w:rPr>
        <w:t xml:space="preserve">7.4 Part B Continuity Evidence</w:t>
      </w:r>
    </w:p>
    <w:p>
      <w:pPr>
        <w:spacing w:before="0" w:after="120"/>
      </w:pPr>
      <w:r>
        <w:rPr>
          <w:rFonts w:ascii="Arial" w:cs="Arial" w:eastAsia="Arial" w:hAnsi="Arial"/>
          <w:color w:val="1E293B"/>
          <w:sz w:val="20"/>
          <w:szCs w:val="20"/>
        </w:rPr>
        <w:t xml:space="preserve">Four national categories, SDA-prefixed slots, clinical system CSV import methodology</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7.4 Part B Continuity Evidence — Notewell AI reporting view</w:t>
      </w:r>
    </w:p>
    <w:p>
      <w:r>
        <w:br w:type="page"/>
      </w:r>
    </w:p>
    <w:p>
      <w:pPr>
        <w:pStyle w:val="Heading3"/>
        <w:spacing w:before="200" w:after="100"/>
      </w:pPr>
      <w:r>
        <w:rPr>
          <w:rFonts w:ascii="Arial" w:cs="Arial" w:eastAsia="Arial" w:hAnsi="Arial"/>
          <w:b/>
          <w:bCs/>
          <w:color w:val="3B5998"/>
          <w:sz w:val="24"/>
          <w:szCs w:val="24"/>
        </w:rPr>
        <w:t xml:space="preserve">7.5 Buy-Back Financial Tracking</w:t>
      </w:r>
    </w:p>
    <w:p>
      <w:pPr>
        <w:spacing w:before="0" w:after="120"/>
      </w:pPr>
      <w:r>
        <w:rPr>
          <w:rFonts w:ascii="Arial" w:cs="Arial" w:eastAsia="Arial" w:hAnsi="Arial"/>
          <w:color w:val="1E293B"/>
          <w:sz w:val="20"/>
          <w:szCs w:val="20"/>
        </w:rPr>
        <w:t xml:space="preserve">Open book: recruit budget, new SDA vs buy-back per practice, evidence status, 6-step workflow</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7.5 Buy-Back Financial Tracking — Notewell AI reporting view</w:t>
      </w:r>
    </w:p>
    <w:p>
      <w:pPr>
        <w:pStyle w:val="Heading3"/>
        <w:spacing w:before="200" w:after="100"/>
      </w:pPr>
      <w:r>
        <w:rPr>
          <w:rFonts w:ascii="Arial" w:cs="Arial" w:eastAsia="Arial" w:hAnsi="Arial"/>
          <w:b/>
          <w:bCs/>
          <w:color w:val="3B5998"/>
          <w:sz w:val="24"/>
          <w:szCs w:val="24"/>
        </w:rPr>
        <w:t xml:space="preserve">7.6 Risk Stratification &amp; Routing</w:t>
      </w:r>
    </w:p>
    <w:p>
      <w:pPr>
        <w:spacing w:before="0" w:after="120"/>
      </w:pPr>
      <w:r>
        <w:rPr>
          <w:rFonts w:ascii="Arial" w:cs="Arial" w:eastAsia="Arial" w:hAnsi="Arial"/>
          <w:color w:val="1E293B"/>
          <w:sz w:val="20"/>
          <w:szCs w:val="20"/>
        </w:rPr>
        <w:t xml:space="preserve">RED/AMBER/GREEN patient routing, continuity rates, weekly RED flag monitoring</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7.6 Risk Stratification &amp; Routing — Notewell AI reporting view</w:t>
      </w:r>
    </w:p>
    <w:p>
      <w:r>
        <w:br w:type="page"/>
      </w:r>
    </w:p>
    <w:p>
      <w:pPr>
        <w:pStyle w:val="Heading3"/>
        <w:spacing w:before="200" w:after="100"/>
      </w:pPr>
      <w:r>
        <w:rPr>
          <w:rFonts w:ascii="Arial" w:cs="Arial" w:eastAsia="Arial" w:hAnsi="Arial"/>
          <w:b/>
          <w:bCs/>
          <w:color w:val="3B5998"/>
          <w:sz w:val="24"/>
          <w:szCs w:val="24"/>
        </w:rPr>
        <w:t xml:space="preserve">7.7 Clinical System Connectivity</w:t>
      </w:r>
    </w:p>
    <w:p>
      <w:pPr>
        <w:spacing w:before="0" w:after="120"/>
      </w:pPr>
      <w:r>
        <w:rPr>
          <w:rFonts w:ascii="Arial" w:cs="Arial" w:eastAsia="Arial" w:hAnsi="Arial"/>
          <w:color w:val="1E293B"/>
          <w:sz w:val="20"/>
          <w:szCs w:val="20"/>
        </w:rPr>
        <w:t xml:space="preserve">SystmOne vs GP Connect performance, booking sources, system distribution</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7.7 Clinical System Connectivity — Notewell AI reporting view</w:t>
      </w:r>
    </w:p>
    <w:p>
      <w:pPr>
        <w:pStyle w:val="Heading3"/>
        <w:spacing w:before="200" w:after="100"/>
      </w:pPr>
      <w:r>
        <w:rPr>
          <w:rFonts w:ascii="Arial" w:cs="Arial" w:eastAsia="Arial" w:hAnsi="Arial"/>
          <w:b/>
          <w:bCs/>
          <w:color w:val="3B5998"/>
          <w:sz w:val="24"/>
          <w:szCs w:val="24"/>
        </w:rPr>
        <w:t xml:space="preserve">7.8 Financial Reconciliation</w:t>
      </w:r>
    </w:p>
    <w:p>
      <w:pPr>
        <w:spacing w:before="0" w:after="120"/>
      </w:pPr>
      <w:r>
        <w:rPr>
          <w:rFonts w:ascii="Arial" w:cs="Arial" w:eastAsia="Arial" w:hAnsi="Arial"/>
          <w:color w:val="1E293B"/>
          <w:sz w:val="20"/>
          <w:szCs w:val="20"/>
        </w:rPr>
        <w:t xml:space="preserve">Monthly cash flow, spend breakdown, cost per appointment by mode and staff type</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7.8 Financial Reconciliation — Notewell AI reporting view</w:t>
      </w:r>
    </w:p>
    <w:p>
      <w:r>
        <w:br w:type="page"/>
      </w:r>
    </w:p>
    <w:p>
      <w:pPr>
        <w:pStyle w:val="Heading3"/>
        <w:spacing w:before="200" w:after="100"/>
      </w:pPr>
      <w:r>
        <w:rPr>
          <w:rFonts w:ascii="Arial" w:cs="Arial" w:eastAsia="Arial" w:hAnsi="Arial"/>
          <w:b/>
          <w:bCs/>
          <w:color w:val="3B5998"/>
          <w:sz w:val="24"/>
          <w:szCs w:val="24"/>
        </w:rPr>
        <w:t xml:space="preserve">7.9 Escalation &amp; RAG Monitor</w:t>
      </w:r>
    </w:p>
    <w:p>
      <w:pPr>
        <w:spacing w:before="0" w:after="120"/>
      </w:pPr>
      <w:r>
        <w:rPr>
          <w:rFonts w:ascii="Arial" w:cs="Arial" w:eastAsia="Arial" w:hAnsi="Arial"/>
          <w:color w:val="1E293B"/>
          <w:sz w:val="20"/>
          <w:szCs w:val="20"/>
        </w:rPr>
        <w:t xml:space="preserve">Escalation thresholds, trigger monitoring, practice-level RAG with compliance bars</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7.9 Escalation &amp; RAG Monitor — Notewell AI reporting view</w:t>
      </w:r>
    </w:p>
    <w:p>
      <w:pPr>
        <w:pStyle w:val="Heading3"/>
        <w:spacing w:before="200" w:after="100"/>
      </w:pPr>
      <w:r>
        <w:rPr>
          <w:rFonts w:ascii="Arial" w:cs="Arial" w:eastAsia="Arial" w:hAnsi="Arial"/>
          <w:b/>
          <w:bCs/>
          <w:color w:val="3B5998"/>
          <w:sz w:val="24"/>
          <w:szCs w:val="24"/>
        </w:rPr>
        <w:t xml:space="preserve">7.10 Quarterly Evaluation</w:t>
      </w:r>
    </w:p>
    <w:p>
      <w:pPr>
        <w:spacing w:before="0" w:after="120"/>
      </w:pPr>
      <w:r>
        <w:rPr>
          <w:rFonts w:ascii="Arial" w:cs="Arial" w:eastAsia="Arial" w:hAnsi="Arial"/>
          <w:color w:val="1E293B"/>
          <w:sz w:val="20"/>
          <w:szCs w:val="20"/>
        </w:rPr>
        <w:t xml:space="preserve">Cumulative KPIs, value for money assessment, quarterly recommendations</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7.10 Quarterly Evaluation — Notewell AI reporting view</w:t>
      </w:r>
    </w:p>
    <w:p>
      <w:r>
        <w:br w:type="page"/>
      </w:r>
    </w:p>
    <w:p>
      <w:pPr>
        <w:pStyle w:val="Heading3"/>
        <w:spacing w:before="200" w:after="100"/>
      </w:pPr>
      <w:r>
        <w:rPr>
          <w:rFonts w:ascii="Arial" w:cs="Arial" w:eastAsia="Arial" w:hAnsi="Arial"/>
          <w:b/>
          <w:bCs/>
          <w:color w:val="3B5998"/>
          <w:sz w:val="24"/>
          <w:szCs w:val="24"/>
        </w:rPr>
        <w:t xml:space="preserve">7.11 Quality &amp; Safety Dashboard ★ NEW</w:t>
      </w:r>
    </w:p>
    <w:p>
      <w:pPr>
        <w:spacing w:before="0" w:after="120"/>
      </w:pPr>
      <w:r>
        <w:rPr>
          <w:rFonts w:ascii="Arial" w:cs="Arial" w:eastAsia="Arial" w:hAnsi="Arial"/>
          <w:color w:val="1E293B"/>
          <w:sz w:val="20"/>
          <w:szCs w:val="20"/>
        </w:rPr>
        <w:t xml:space="preserve">ICB mandatory: complaints tracker, safeguarding referrals, IPC compliance, mandatory narrative section (ICB 2.2.1)</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7.11 Quality &amp; Safety Dashboard ★ NEW — Notewell AI reporting view</w:t>
      </w:r>
    </w:p>
    <w:p>
      <w:pPr>
        <w:pStyle w:val="Heading3"/>
        <w:spacing w:before="200" w:after="100"/>
      </w:pPr>
      <w:r>
        <w:rPr>
          <w:rFonts w:ascii="Arial" w:cs="Arial" w:eastAsia="Arial" w:hAnsi="Arial"/>
          <w:b/>
          <w:bCs/>
          <w:color w:val="3B5998"/>
          <w:sz w:val="24"/>
          <w:szCs w:val="24"/>
        </w:rPr>
        <w:t xml:space="preserve">7.12 Health Inequalities &amp; Core20PLUS5 ★ NEW</w:t>
      </w:r>
    </w:p>
    <w:p>
      <w:pPr>
        <w:spacing w:before="0" w:after="120"/>
      </w:pPr>
      <w:r>
        <w:rPr>
          <w:rFonts w:ascii="Arial" w:cs="Arial" w:eastAsia="Arial" w:hAnsi="Arial"/>
          <w:color w:val="1E293B"/>
          <w:sz w:val="20"/>
          <w:szCs w:val="20"/>
        </w:rPr>
        <w:t xml:space="preserve">ICB strategic priority: deprivation quintile analysis, Core20PLUS5 cohort tracking, at-risk groups, proposed metrics (pending ICB confirmation)</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7.12 Health Inequalities &amp; Core20PLUS5 ★ NEW — Notewell AI reporting view</w:t>
      </w:r>
    </w:p>
    <w:p>
      <w:r>
        <w:br w:type="page"/>
      </w:r>
    </w:p>
    <w:p>
      <w:pPr>
        <w:pStyle w:val="Heading3"/>
        <w:spacing w:before="200" w:after="100"/>
      </w:pPr>
      <w:r>
        <w:rPr>
          <w:rFonts w:ascii="Arial" w:cs="Arial" w:eastAsia="Arial" w:hAnsi="Arial"/>
          <w:b/>
          <w:bCs/>
          <w:color w:val="3B5998"/>
          <w:sz w:val="24"/>
          <w:szCs w:val="24"/>
        </w:rPr>
        <w:t xml:space="preserve">7.13 Referrals &amp; Diagnostics ★ NEW</w:t>
      </w:r>
    </w:p>
    <w:p>
      <w:pPr>
        <w:spacing w:before="0" w:after="120"/>
      </w:pPr>
      <w:r>
        <w:rPr>
          <w:rFonts w:ascii="Arial" w:cs="Arial" w:eastAsia="Arial" w:hAnsi="Arial"/>
          <w:color w:val="1E293B"/>
          <w:sz w:val="20"/>
          <w:szCs w:val="20"/>
        </w:rPr>
        <w:t xml:space="preserve">ICB fixed monthly item: onward referral destinations, diagnostics ordered, 2WW referrals, direct-from-NAS compliance</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7.13 Referrals &amp; Diagnostics ★ NEW — Notewell AI reporting view</w:t>
      </w:r>
    </w:p>
    <w:p>
      <w:pPr>
        <w:pStyle w:val="Heading3"/>
        <w:spacing w:before="200" w:after="100"/>
      </w:pPr>
      <w:r>
        <w:rPr>
          <w:rFonts w:ascii="Arial" w:cs="Arial" w:eastAsia="Arial" w:hAnsi="Arial"/>
          <w:b/>
          <w:bCs/>
          <w:color w:val="3B5998"/>
          <w:sz w:val="24"/>
          <w:szCs w:val="24"/>
        </w:rPr>
        <w:t xml:space="preserve">7.14 Access Equity &amp; Demand ★ NEW</w:t>
      </w:r>
    </w:p>
    <w:p>
      <w:pPr>
        <w:spacing w:before="0" w:after="120"/>
      </w:pPr>
      <w:r>
        <w:rPr>
          <w:rFonts w:ascii="Arial" w:cs="Arial" w:eastAsia="Arial" w:hAnsi="Arial"/>
          <w:color w:val="1E293B"/>
          <w:sz w:val="20"/>
          <w:szCs w:val="20"/>
        </w:rPr>
        <w:t xml:space="preserve">ICB fixed monthly item: unmet demand tracking, repeat attendance analysis, equity of utilisation, EMAS bookings, named reporting leads</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7.14 Access Equity &amp; Demand ★ NEW — Notewell AI reporting view</w:t>
      </w:r>
    </w:p>
    <w:p>
      <w:r>
        <w:br w:type="page"/>
      </w:r>
    </w:p>
    <w:p>
      <w:pPr>
        <w:pStyle w:val="Heading3"/>
        <w:spacing w:before="200" w:after="100"/>
      </w:pPr>
      <w:r>
        <w:rPr>
          <w:rFonts w:ascii="Arial" w:cs="Arial" w:eastAsia="Arial" w:hAnsi="Arial"/>
          <w:b/>
          <w:bCs/>
          <w:color w:val="3B5998"/>
          <w:sz w:val="24"/>
          <w:szCs w:val="24"/>
        </w:rPr>
        <w:t xml:space="preserve">7.15 Prescribing &amp; Medicines ★ NEW</w:t>
      </w:r>
    </w:p>
    <w:p>
      <w:pPr>
        <w:spacing w:before="0" w:after="120"/>
      </w:pPr>
      <w:r>
        <w:rPr>
          <w:rFonts w:ascii="Arial" w:cs="Arial" w:eastAsia="Arial" w:hAnsi="Arial"/>
          <w:color w:val="1E293B"/>
          <w:sz w:val="20"/>
          <w:szCs w:val="20"/>
        </w:rPr>
        <w:t xml:space="preserve">ICB Medicines Optimisation: prescribing by category, formulary compliance, PAF scores, antibiotic rates, practice breakdown</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7.15 Prescribing &amp; Medicines ★ NEW — Notewell AI reporting view</w:t>
      </w:r>
    </w:p>
    <w:p>
      <w:pPr>
        <w:pStyle w:val="Heading3"/>
        <w:spacing w:before="200" w:after="100"/>
      </w:pPr>
      <w:r>
        <w:rPr>
          <w:rFonts w:ascii="Arial" w:cs="Arial" w:eastAsia="Arial" w:hAnsi="Arial"/>
          <w:b/>
          <w:bCs/>
          <w:color w:val="3B5998"/>
          <w:sz w:val="24"/>
          <w:szCs w:val="24"/>
        </w:rPr>
        <w:t xml:space="preserve">7.16 Workforce &amp; Part B Duration ★ NEW</w:t>
      </w:r>
    </w:p>
    <w:p>
      <w:pPr>
        <w:spacing w:before="0" w:after="120"/>
      </w:pPr>
      <w:r>
        <w:rPr>
          <w:rFonts w:ascii="Arial" w:cs="Arial" w:eastAsia="Arial" w:hAnsi="Arial"/>
          <w:color w:val="1E293B"/>
          <w:sz w:val="20"/>
          <w:szCs w:val="20"/>
        </w:rPr>
        <w:t xml:space="preserve">ICB outcomes: staff satisfaction survey, recruitment/retention, Part B appointment length monitoring, training placements</w:t>
      </w:r>
    </w:p>
    <w:p>
      <w:pPr>
        <w:spacing w:before="240" w:after="80"/>
        <w:jc w:val="center"/>
      </w:pPr>
      <w:r>
        <w:drawing>
          <wp:inline distT="0" distB="0" distL="0" distR="0">
            <wp:extent cx="6191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4124325"/>
                    </a:xfrm>
                    <a:prstGeom prst="rect">
                      <a:avLst/>
                    </a:prstGeom>
                  </pic:spPr>
                </pic:pic>
              </a:graphicData>
            </a:graphic>
          </wp:inline>
        </w:drawing>
      </w:r>
    </w:p>
    <w:p>
      <w:pPr>
        <w:spacing w:before="0" w:after="200"/>
        <w:jc w:val="center"/>
      </w:pPr>
      <w:r>
        <w:rPr>
          <w:rFonts w:ascii="Arial" w:cs="Arial" w:eastAsia="Arial" w:hAnsi="Arial"/>
          <w:i/>
          <w:iCs/>
          <w:color w:val="6B7280"/>
          <w:sz w:val="16"/>
          <w:szCs w:val="16"/>
        </w:rPr>
        <w:t xml:space="preserve">7.16 Workforce &amp; Part B Duration ★ NEW — Notewell AI reporting view</w:t>
      </w:r>
    </w:p>
    <w:p>
      <w:r>
        <w:br w:type="page"/>
      </w:r>
    </w:p>
    <w:p>
      <w:pPr>
        <w:pStyle w:val="Heading1"/>
        <w:spacing w:before="360" w:after="160"/>
      </w:pPr>
      <w:r>
        <w:rPr>
          <w:rFonts w:ascii="Arial" w:cs="Arial" w:eastAsia="Arial" w:hAnsi="Arial"/>
          <w:b/>
          <w:bCs/>
          <w:color w:val="2C3E6B"/>
          <w:sz w:val="32"/>
          <w:szCs w:val="32"/>
        </w:rPr>
        <w:t xml:space="preserve">8. Data Governance &amp; Quality</w:t>
      </w:r>
    </w:p>
    <w:p>
      <w:pPr>
        <w:spacing w:before="0" w:after="120"/>
      </w:pPr>
      <w:r>
        <w:rPr>
          <w:rFonts w:ascii="Arial" w:cs="Arial" w:eastAsia="Arial" w:hAnsi="Arial"/>
          <w:color w:val="1E293B"/>
          <w:sz w:val="20"/>
          <w:szCs w:val="20"/>
        </w:rPr>
        <w:t xml:space="preserve">All appointments coded with correct slot type at point of booking. Rota allocation must match clinician type. Outcome codes within 24 hours. Weekly data quality audits. Monthly validation against source systems. Buy-back evidence validated against financial records and Part B clinical data. Complaints and safeguarding data quality checked monthly.</w:t>
      </w:r>
    </w:p>
    <w:p>
      <w:pPr>
        <w:spacing w:before="0" w:after="120"/>
      </w:pPr>
      <w:r>
        <w:rPr>
          <w:rFonts w:ascii="Arial" w:cs="Arial" w:eastAsia="Arial" w:hAnsi="Arial"/>
          <w:color w:val="1E293B"/>
          <w:sz w:val="20"/>
          <w:szCs w:val="20"/>
        </w:rPr>
        <w:t xml:space="preserve">Information governance: NHS DSPT compliance; patient data pseudonymised or aggregated; secure NHS network storage; data sharing agreements between practices and PCN; open book financial data visible only to NRES board and ICB finance.</w:t>
      </w:r>
    </w:p>
    <w:p>
      <w:r>
        <w:br w:type="page"/>
      </w:r>
    </w:p>
    <w:p>
      <w:pPr>
        <w:pStyle w:val="Heading1"/>
        <w:spacing w:before="360" w:after="160"/>
      </w:pPr>
      <w:r>
        <w:rPr>
          <w:rFonts w:ascii="Arial" w:cs="Arial" w:eastAsia="Arial" w:hAnsi="Arial"/>
          <w:b/>
          <w:bCs/>
          <w:color w:val="2C3E6B"/>
          <w:sz w:val="32"/>
          <w:szCs w:val="32"/>
        </w:rPr>
        <w:t xml:space="preserve">9. ICB Specification Cross-Reference</w:t>
      </w:r>
    </w:p>
    <w:p>
      <w:pPr>
        <w:spacing w:before="0" w:after="120"/>
      </w:pPr>
      <w:r>
        <w:rPr>
          <w:rFonts w:ascii="Arial" w:cs="Arial" w:eastAsia="Arial" w:hAnsi="Arial"/>
          <w:color w:val="1E293B"/>
          <w:sz w:val="20"/>
          <w:szCs w:val="20"/>
        </w:rPr>
        <w:t xml:space="preserve">The following table maps each ICB reporting requirement to the corresponding section in this Reporting Plan, confirming full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1960"/>
      </w:tblGrid>
      <w:tr>
        <w:tc>
          <w:tcPr>
            <w:tcW w:type="dxa" w:w="2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ICB Requirement</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ICB Section Ref</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Reporting Plan Section</w:t>
            </w:r>
          </w:p>
        </w:tc>
        <w:tc>
          <w:tcPr>
            <w:tcW w:type="dxa" w:w="1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Utilisation rates (practice breakdown)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3.1, 7.3</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Outcomes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3.5</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Onward referrals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3.7, 7.13</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Diagnostics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3.7, 7.13</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Access times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3.1</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Repeat attendances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3.1, 7.14</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Patients unable to book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3.1, 7.14</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Appointment lengths (Part B)</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3.10, 7.16</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Specific clinics for cohorts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3.10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Complaints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 Quality</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3.5, 5.3, 7.11</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Safeguarding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 Quality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3.5, 5.3, 7.11</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IPC</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 Quality</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3.5</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Patient experience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 Quality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3.5</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Effectiveness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 Quality</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3.5</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Training/workforce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 Quality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3.4, 7.16</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Narrative explanation</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4.2</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Named reporting leads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2.3</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Open Book accounting</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Governance</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3.6, 6</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Quarterly practice reports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Governance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4.1</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Benefits realisation</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2.2</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5.8</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Health inequalities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Part 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3.8, 5.5, 7.12</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F59E0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Core20PLUS5</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Part A</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3.8, 7.12</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F59E0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Equity of utilisation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Exceptions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3.1, 7.14</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EMAS referrals</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Part A</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3.1, 7.14</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Prescribing/medicines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Medicines Opt.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3.9, 5.4, 7.15</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Staff satisfaction</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Outcomes 2.2</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3.4, 7.16</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2563EB"/>
                <w:sz w:val="17"/>
                <w:szCs w:val="17"/>
              </w:rPr>
              <w:t xml:space="preserve">NEW v1.7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50:50 GP/ANP skill mix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Activity Model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3.1</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Risk stratification</w:t>
            </w:r>
          </w:p>
        </w:tc>
        <w:tc>
          <w:tcPr>
            <w:tcW w:type="dxa" w:w="1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Part A</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3.3</w:t>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color w:val="10B981"/>
                <w:sz w:val="17"/>
                <w:szCs w:val="17"/>
              </w:rPr>
              <w:t xml:space="preserve">Covered</w:t>
            </w:r>
          </w:p>
        </w:tc>
      </w:tr>
    </w:tbl>
    <w:p>
      <w:pPr>
        <w:spacing w:before="0" w:after="120"/>
      </w:pPr>
      <w:r>
        <w:rPr>
          <w:rFonts w:ascii="Arial" w:cs="Arial" w:eastAsia="Arial" w:hAnsi="Arial"/>
          <w:i/>
          <w:iCs/>
          <w:color w:val="6B7280"/>
          <w:sz w:val="18"/>
          <w:szCs w:val="18"/>
        </w:rPr>
        <w:t xml:space="preserve">* Health Inequalities / Core20PLUS5 marked amber as ICB detailed metric expectations not yet provided (as at 20 Feb 2026). Framework in place ready for alignment.</w:t>
      </w:r>
    </w:p>
    <w:p>
      <w:r>
        <w:br w:type="page"/>
      </w:r>
    </w:p>
    <w:p>
      <w:pPr>
        <w:pStyle w:val="Heading1"/>
        <w:spacing w:before="360" w:after="160"/>
      </w:pPr>
      <w:r>
        <w:rPr>
          <w:rFonts w:ascii="Arial" w:cs="Arial" w:eastAsia="Arial" w:hAnsi="Arial"/>
          <w:b/>
          <w:bCs/>
          <w:color w:val="2C3E6B"/>
          <w:sz w:val="32"/>
          <w:szCs w:val="32"/>
        </w:rPr>
        <w:t xml:space="preserve">10.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960"/>
        <w:gridCol w:w="2200"/>
      </w:tblGrid>
      <w:tr>
        <w:tc>
          <w:tcPr>
            <w:tcW w:type="dxa" w:w="2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Role</w:t>
            </w:r>
          </w:p>
        </w:tc>
        <w:tc>
          <w:tcPr>
            <w:tcW w:type="dxa" w:w="2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Name</w:t>
            </w:r>
          </w:p>
        </w:tc>
        <w:tc>
          <w:tcPr>
            <w:tcW w:type="dxa" w:w="1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Date</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color w:val="2C3E6B"/>
                <w:sz w:val="17"/>
                <w:szCs w:val="17"/>
              </w:rPr>
              <w:t xml:space="preserve">Signature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NRES Development Manager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Programme Board Chair</w:t>
            </w:r>
          </w:p>
        </w:tc>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ICB Representative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Clinical Lead</w:t>
            </w:r>
          </w:p>
        </w:tc>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1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Finance Lead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E293B"/>
                <w:sz w:val="17"/>
                <w:szCs w:val="17"/>
              </w:rPr>
              <w:t xml:space="preserve"/>
            </w:r>
          </w:p>
        </w:tc>
      </w:tr>
    </w:tbl>
    <w:p>
      <w:pPr>
        <w:spacing w:before="0" w:after="200"/>
      </w:pPr>
      <w:r>
        <w:rPr>
          <w:rFonts w:ascii="Arial" w:cs="Arial" w:eastAsia="Arial" w:hAnsi="Arial"/>
          <w:color w:val="1E293B"/>
          <w:sz w:val="20"/>
          <w:szCs w:val="20"/>
        </w:rPr>
        <w:t xml:space="preserve"/>
      </w:r>
    </w:p>
    <w:p>
      <w:pPr>
        <w:spacing w:before="0" w:after="120"/>
      </w:pPr>
      <w:r>
        <w:rPr>
          <w:rFonts w:ascii="Arial" w:cs="Arial" w:eastAsia="Arial" w:hAnsi="Arial"/>
          <w:b/>
          <w:bCs/>
          <w:color w:val="1E293B"/>
          <w:sz w:val="18"/>
          <w:szCs w:val="18"/>
        </w:rPr>
        <w:t xml:space="preserve">Document Control: </w:t>
      </w:r>
      <w:r>
        <w:rPr>
          <w:rFonts w:ascii="Arial" w:cs="Arial" w:eastAsia="Arial" w:hAnsi="Arial"/>
          <w:color w:val="1E293B"/>
          <w:sz w:val="18"/>
          <w:szCs w:val="18"/>
        </w:rPr>
        <w:t xml:space="preserve">Version 1.7 aligns contract value to £2.34M (corrected from £2.36M), cross-references ICB Key Metrics Requirements Report v2 (March 2026) feasibility assessments, incorporates 48-week GPAD baseline data (561,294 appointments across 7 practices), and updates NARP/NCR system references for indicators dependent on ICB data platforms. All v1.6 additions retained: complaints, safeguarding, health inequalities/Core20PLUS5, onward referrals &amp; diagnostics, unmet demand, repeat attendances, prescribing/medicines management, equity of utilisation, EMAS referrals, staff satisfaction, Part B appointment duration, named reporting leads, mandatory narrative sections, and benefits realisation. 6 new dashboard mockups added (total 16). Reviewed quarterly.</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5E9" w:sz="4"/>
      </w:pBdr>
      <w:tabs>
        <w:tab w:val="right" w:pos="9506"/>
      </w:tabs>
    </w:pPr>
    <w:r>
      <w:rPr>
        <w:rFonts w:ascii="Arial" w:cs="Arial" w:eastAsia="Arial" w:hAnsi="Arial"/>
        <w:color w:val="6B7280"/>
        <w:sz w:val="14"/>
        <w:szCs w:val="14"/>
      </w:rPr>
      <w:t xml:space="preserve">NRES Neighbourhood SDA Programme  •  89,584 Patients  •  £2.36M  •  v1.6</w:t>
    </w:r>
    <w:r>
      <w:t xml:space="preserve">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00" w:sz="4"/>
      </w:pBdr>
      <w:tabs>
        <w:tab w:val="right" w:pos="9506"/>
      </w:tabs>
    </w:pPr>
    <w:r>
      <w:rPr>
        <w:rFonts w:ascii="Arial" w:cs="Arial" w:eastAsia="Arial" w:hAnsi="Arial"/>
        <w:color w:val="6B7280"/>
        <w:sz w:val="14"/>
        <w:szCs w:val="14"/>
      </w:rPr>
      <w:t xml:space="preserve">NRES SDA Pilot Reporting Plan v1.6</w:t>
    </w:r>
    <w:r>
      <w:t xml:space="preserve">	</w:t>
    </w:r>
    <w:r>
      <w:rPr>
        <w:rFonts w:ascii="Arial" w:cs="Arial" w:eastAsia="Arial" w:hAnsi="Arial"/>
        <w:color w:val="6B7280"/>
        <w:sz w:val="14"/>
        <w:szCs w:val="14"/>
      </w:rPr>
      <w:t xml:space="preserve">Official – Sensitive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C3E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B59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d529691eafbd82762d7cf3512cb03b2e133d66e.png"/><Relationship Id="rId9" Type="http://schemas.openxmlformats.org/officeDocument/2006/relationships/image" Target="media/7ba58db092a0b15194dd6545e50defda7beac0ec.png"/><Relationship Id="rId10" Type="http://schemas.openxmlformats.org/officeDocument/2006/relationships/image" Target="media/a034ca541a562d7972ef57abd5c5153f8015bd28.png"/><Relationship Id="rId11" Type="http://schemas.openxmlformats.org/officeDocument/2006/relationships/image" Target="media/e742c0aa5d50ed7aa66b2b71ff486d460011b6be.png"/><Relationship Id="rId12" Type="http://schemas.openxmlformats.org/officeDocument/2006/relationships/image" Target="media/bdfd60e4057df155dacf19e47632aa6e0dfdbff0.png"/><Relationship Id="rId13" Type="http://schemas.openxmlformats.org/officeDocument/2006/relationships/image" Target="media/7e5b3826d69c1ae7fef6d82385cdc1f9b92289be.png"/><Relationship Id="rId14" Type="http://schemas.openxmlformats.org/officeDocument/2006/relationships/image" Target="media/c22fa3b89a849497310c7933b3564ec6b0cfb3ce.png"/><Relationship Id="rId15" Type="http://schemas.openxmlformats.org/officeDocument/2006/relationships/image" Target="media/e279c6fdc0c001d6c3116920e62c88592aa7d3c5.png"/><Relationship Id="rId16" Type="http://schemas.openxmlformats.org/officeDocument/2006/relationships/image" Target="media/f2b2564575ddf03610336ab616d6e98c6945fa34.png"/><Relationship Id="rId17" Type="http://schemas.openxmlformats.org/officeDocument/2006/relationships/image" Target="media/c092317f20a028eaae92b279a8860def5109c4fe.png"/><Relationship Id="rId18" Type="http://schemas.openxmlformats.org/officeDocument/2006/relationships/image" Target="media/8ae947107a0708553da689b50b72eb7caa8bf402.png"/><Relationship Id="rId19" Type="http://schemas.openxmlformats.org/officeDocument/2006/relationships/image" Target="media/ab81e88325162307d843afb418279b59cca2cb32.png"/><Relationship Id="rId20" Type="http://schemas.openxmlformats.org/officeDocument/2006/relationships/image" Target="media/0fc784e5f4c424470808877bec664770c190a99a.png"/><Relationship Id="rId21" Type="http://schemas.openxmlformats.org/officeDocument/2006/relationships/image" Target="media/809095a4fae17ce024236778a848ab658ff97a35.png"/><Relationship Id="rId22" Type="http://schemas.openxmlformats.org/officeDocument/2006/relationships/image" Target="media/de5efd3d872452fc4a105d9fc069d93960a10126.png"/><Relationship Id="rId23" Type="http://schemas.openxmlformats.org/officeDocument/2006/relationships/image" Target="media/05fca1f16a034c9ea798b3862a3adb45f0b486b9.png"/><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2026-02-21T21:28:21.843Z</dcterms:created>
  <dcterms:modified xsi:type="dcterms:W3CDTF">2026-02-21T21:28:21.844Z</dcterms:modified>
</cp:coreProperties>
</file>

<file path=docProps/custom.xml><?xml version="1.0" encoding="utf-8"?>
<Properties xmlns="http://schemas.openxmlformats.org/officeDocument/2006/custom-properties" xmlns:vt="http://schemas.openxmlformats.org/officeDocument/2006/docPropsVTypes"/>
</file>