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1F4E79"/>
          <w:sz w:val="44"/>
          <w:szCs w:val="44"/>
        </w:rPr>
        <w:t xml:space="preserve">DATA PROTECTION IMPACT ASSESSMENT</w:t>
      </w:r>
    </w:p>
    <w:p>
      <w:pPr>
        <w:spacing w:before="200"/>
        <w:jc w:val="center"/>
      </w:pPr>
      <w:r>
        <w:rPr>
          <w:rFonts w:ascii="Arial" w:cs="Arial" w:eastAsia="Arial" w:hAnsi="Arial"/>
          <w:color w:val="666666"/>
          <w:sz w:val="36"/>
          <w:szCs w:val="36"/>
        </w:rPr>
        <w:t xml:space="preserve">&amp;</w:t>
      </w:r>
    </w:p>
    <w:p>
      <w:pPr>
        <w:spacing w:before="200"/>
        <w:jc w:val="center"/>
      </w:pPr>
      <w:r>
        <w:rPr>
          <w:rFonts w:ascii="Arial" w:cs="Arial" w:eastAsia="Arial" w:hAnsi="Arial"/>
          <w:b/>
          <w:bCs/>
          <w:color w:val="1F4E79"/>
          <w:sz w:val="44"/>
          <w:szCs w:val="44"/>
        </w:rPr>
        <w:t xml:space="preserve">DCB0160 CLINICAL SAFETY CASE REPORT</w:t>
      </w:r>
    </w:p>
    <w:p>
      <w:pPr>
        <w:spacing w:after="400"/>
      </w:pPr>
    </w:p>
    <w:p>
      <w:pPr>
        <w:jc w:val="center"/>
      </w:pPr>
      <w:r>
        <w:rPr>
          <w:rFonts w:ascii="Arial" w:cs="Arial" w:eastAsia="Arial" w:hAnsi="Arial"/>
          <w:b/>
          <w:bCs/>
          <w:sz w:val="36"/>
          <w:szCs w:val="36"/>
        </w:rPr>
        <w:t xml:space="preserve">GP Notewell AI</w:t>
      </w:r>
    </w:p>
    <w:p>
      <w:pPr>
        <w:spacing w:before="100"/>
        <w:jc w:val="center"/>
      </w:pPr>
      <w:r>
        <w:rPr>
          <w:rFonts w:ascii="Arial" w:cs="Arial" w:eastAsia="Arial" w:hAnsi="Arial"/>
          <w:color w:val="0563C1"/>
          <w:sz w:val="24"/>
          <w:szCs w:val="24"/>
        </w:rPr>
        <w:t xml:space="preserve">https://gpnotewell.co.uk</w:t>
      </w:r>
    </w:p>
    <w:p>
      <w:pPr>
        <w:spacing w:after="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Property</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Organisation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PCN Services Ltd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 Owner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Malcolm Railson, PCN Development Manager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20th January 2026</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Classification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Official - Sensitive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Review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20th January 2027</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 for CSO Approval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DCB0160 Compliance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Compliance Asserted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MHRA Classification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Class I Medical Device (Registered)</w:t>
            </w:r>
          </w:p>
        </w:tc>
      </w:tr>
    </w:tbl>
    <w:p>
      <w:pPr>
        <w:spacing w:after="400"/>
      </w:pPr>
    </w:p>
    <w:p>
      <w:pPr>
        <w:spacing w:after="200"/>
      </w:pPr>
      <w:r>
        <w:rPr>
          <w:rFonts w:ascii="Arial" w:cs="Arial" w:eastAsia="Arial" w:hAnsi="Arial"/>
          <w:b/>
          <w:bCs/>
          <w:sz w:val="24"/>
          <w:szCs w:val="24"/>
        </w:rPr>
        <w:t xml:space="preserve">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 Owner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Malcolm Railson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Safety Officer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[CSO 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Protection Officer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[DPO 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Caldicott Guardian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[CG 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 Management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[Senior Responsible Owner]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r>
        <w:br w:type="page"/>
      </w:r>
    </w:p>
    <w:p>
      <w:pPr>
        <w:spacing w:after="4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sz w:val="32"/>
          <w:szCs w:val="32"/>
        </w:rPr>
        <w:t xml:space="preserve">1. Executive Summary</w:t>
      </w:r>
    </w:p>
    <w:p>
      <w:pPr>
        <w:pStyle w:val="Heading2"/>
        <w:spacing w:before="300" w:after="150"/>
      </w:pPr>
      <w:r>
        <w:rPr>
          <w:rFonts w:ascii="Arial" w:cs="Arial" w:eastAsia="Arial" w:hAnsi="Arial"/>
          <w:b/>
          <w:bCs/>
          <w:sz w:val="26"/>
          <w:szCs w:val="26"/>
        </w:rPr>
        <w:t xml:space="preserve">1.1 Purpose and Scope</w:t>
      </w:r>
    </w:p>
    <w:p>
      <w:pPr>
        <w:spacing w:after="120"/>
      </w:pPr>
      <w:r>
        <w:rPr>
          <w:rFonts w:ascii="Arial" w:cs="Arial" w:eastAsia="Arial" w:hAnsi="Arial"/>
          <w:sz w:val="22"/>
          <w:szCs w:val="22"/>
        </w:rPr>
        <w:t xml:space="preserve">This integrated Data Protection Impact Assessment (DPIA) and DCB0160 Clinical Safety Case Report assesses GP Notewell AI, an AI-powered clinical documentation platform developed by PCN Services Ltd for NHS primary care services. This document fulfils the dual requirements of:</w:t>
      </w:r>
    </w:p>
    <w:p>
      <w:pPr>
        <w:pStyle w:val="ListParagraph"/>
        <w:numPr>
          <w:ilvl w:val="0"/>
          <w:numId w:val="2"/>
        </w:numPr>
      </w:pPr>
      <w:r>
        <w:rPr>
          <w:rFonts w:ascii="Arial" w:cs="Arial" w:eastAsia="Arial" w:hAnsi="Arial"/>
          <w:sz w:val="22"/>
          <w:szCs w:val="22"/>
        </w:rPr>
        <w:t xml:space="preserve">UK GDPR Article 35 - Data Protection Impact Assessment for high-risk processing</w:t>
      </w:r>
    </w:p>
    <w:p>
      <w:pPr>
        <w:pStyle w:val="ListParagraph"/>
        <w:numPr>
          <w:ilvl w:val="0"/>
          <w:numId w:val="2"/>
        </w:numPr>
      </w:pPr>
      <w:r>
        <w:rPr>
          <w:rFonts w:ascii="Arial" w:cs="Arial" w:eastAsia="Arial" w:hAnsi="Arial"/>
          <w:sz w:val="22"/>
          <w:szCs w:val="22"/>
        </w:rPr>
        <w:t xml:space="preserve">NHS Digital Standard DCB0160 - Clinical Risk Management in Deployment and Use of Health IT Systems</w:t>
      </w:r>
    </w:p>
    <w:p>
      <w:pPr>
        <w:pStyle w:val="ListParagraph"/>
        <w:numPr>
          <w:ilvl w:val="0"/>
          <w:numId w:val="2"/>
        </w:numPr>
      </w:pPr>
      <w:r>
        <w:rPr>
          <w:rFonts w:ascii="Arial" w:cs="Arial" w:eastAsia="Arial" w:hAnsi="Arial"/>
          <w:sz w:val="22"/>
          <w:szCs w:val="22"/>
        </w:rPr>
        <w:t xml:space="preserve">Health and Social Care Act 2012 Section 250 compliance</w:t>
      </w:r>
    </w:p>
    <w:p>
      <w:pPr>
        <w:pStyle w:val="Heading2"/>
        <w:spacing w:before="300" w:after="150"/>
      </w:pPr>
      <w:r>
        <w:rPr>
          <w:rFonts w:ascii="Arial" w:cs="Arial" w:eastAsia="Arial" w:hAnsi="Arial"/>
          <w:b/>
          <w:bCs/>
          <w:sz w:val="26"/>
          <w:szCs w:val="26"/>
        </w:rPr>
        <w:t xml:space="preserve">1.2 System Overview</w:t>
      </w:r>
    </w:p>
    <w:p>
      <w:pPr>
        <w:spacing w:after="120"/>
      </w:pPr>
      <w:r>
        <w:rPr>
          <w:rFonts w:ascii="Arial" w:cs="Arial" w:eastAsia="Arial" w:hAnsi="Arial"/>
          <w:sz w:val="22"/>
          <w:szCs w:val="22"/>
        </w:rPr>
        <w:t xml:space="preserve">GP Notewell AI (https://gpnotewell.co.uk) is a community-minded, non-commercial tool developed by Malcolm Railson through PCN Services Ltd to reduce administrative burden on NHS primary care clinicians. The platform is self-funded and provided to practices at minimal cost for the benefit of the wider primary care community.</w:t>
      </w:r>
    </w:p>
    <w:p>
      <w:pPr>
        <w:pStyle w:val="Heading3"/>
        <w:spacing w:before="200" w:after="100"/>
      </w:pPr>
      <w:r>
        <w:rPr>
          <w:rFonts w:ascii="Arial" w:cs="Arial" w:eastAsia="Arial" w:hAnsi="Arial"/>
          <w:b/>
          <w:bCs/>
          <w:sz w:val="24"/>
          <w:szCs w:val="24"/>
        </w:rPr>
        <w:t xml:space="preserve">1.2.1 Core Functionality</w:t>
      </w:r>
    </w:p>
    <w:p>
      <w:pPr>
        <w:pStyle w:val="ListParagraph"/>
        <w:numPr>
          <w:ilvl w:val="0"/>
          <w:numId w:val="2"/>
        </w:numPr>
      </w:pPr>
      <w:r>
        <w:rPr>
          <w:rFonts w:ascii="Arial" w:cs="Arial" w:eastAsia="Arial" w:hAnsi="Arial"/>
          <w:sz w:val="22"/>
          <w:szCs w:val="22"/>
        </w:rPr>
        <w:t xml:space="preserve">GP Scribe: Real-time AI transcription and consultation summarisation with SNOMED CT coding</w:t>
      </w:r>
    </w:p>
    <w:p>
      <w:pPr>
        <w:pStyle w:val="ListParagraph"/>
        <w:numPr>
          <w:ilvl w:val="0"/>
          <w:numId w:val="2"/>
        </w:numPr>
      </w:pPr>
      <w:r>
        <w:rPr>
          <w:rFonts w:ascii="Arial" w:cs="Arial" w:eastAsia="Arial" w:hAnsi="Arial"/>
          <w:sz w:val="22"/>
          <w:szCs w:val="22"/>
        </w:rPr>
        <w:t xml:space="preserve">Meeting Manager: Multi-disciplinary team (MDT) meeting recording, transcription, and action tracking</w:t>
      </w:r>
    </w:p>
    <w:p>
      <w:pPr>
        <w:pStyle w:val="ListParagraph"/>
        <w:numPr>
          <w:ilvl w:val="0"/>
          <w:numId w:val="2"/>
        </w:numPr>
      </w:pPr>
      <w:r>
        <w:rPr>
          <w:rFonts w:ascii="Arial" w:cs="Arial" w:eastAsia="Arial" w:hAnsi="Arial"/>
          <w:sz w:val="22"/>
          <w:szCs w:val="22"/>
        </w:rPr>
        <w:t xml:space="preserve">Complaints Management: AI-assisted patient complaint analysis, investigation workflow, and outcome letter generation</w:t>
      </w:r>
    </w:p>
    <w:p>
      <w:pPr>
        <w:pStyle w:val="ListParagraph"/>
        <w:numPr>
          <w:ilvl w:val="0"/>
          <w:numId w:val="2"/>
        </w:numPr>
      </w:pPr>
      <w:r>
        <w:rPr>
          <w:rFonts w:ascii="Arial" w:cs="Arial" w:eastAsia="Arial" w:hAnsi="Arial"/>
          <w:sz w:val="22"/>
          <w:szCs w:val="22"/>
        </w:rPr>
        <w:t xml:space="preserve">Clinical Integration: Bidirectional integration with EMIS Web and SystmOne clinical systems</w:t>
      </w:r>
    </w:p>
    <w:p>
      <w:pPr>
        <w:pStyle w:val="Heading2"/>
        <w:spacing w:before="300" w:after="150"/>
      </w:pPr>
      <w:r>
        <w:rPr>
          <w:rFonts w:ascii="Arial" w:cs="Arial" w:eastAsia="Arial" w:hAnsi="Arial"/>
          <w:b/>
          <w:bCs/>
          <w:sz w:val="26"/>
          <w:szCs w:val="26"/>
        </w:rPr>
        <w:t xml:space="preserve">1.3 MHRA Classification</w:t>
      </w:r>
    </w:p>
    <w:p>
      <w:pPr>
        <w:spacing w:after="120"/>
      </w:pPr>
      <w:r>
        <w:rPr>
          <w:rFonts w:ascii="Arial" w:cs="Arial" w:eastAsia="Arial" w:hAnsi="Arial"/>
          <w:sz w:val="22"/>
          <w:szCs w:val="22"/>
        </w:rPr>
        <w:t xml:space="preserve">GP Notewell AI has been assessed and registered as an MHRA Class I Medical Device under the UK Medical Device Regulations 2002 (as amended). The device classification reflects its intended use as clinical decision support software that:</w:t>
      </w:r>
    </w:p>
    <w:p>
      <w:pPr>
        <w:pStyle w:val="ListParagraph"/>
        <w:numPr>
          <w:ilvl w:val="0"/>
          <w:numId w:val="2"/>
        </w:numPr>
      </w:pPr>
      <w:r>
        <w:rPr>
          <w:rFonts w:ascii="Arial" w:cs="Arial" w:eastAsia="Arial" w:hAnsi="Arial"/>
          <w:sz w:val="22"/>
          <w:szCs w:val="22"/>
        </w:rPr>
        <w:t xml:space="preserve">Provides information to clinicians derived from patient data</w:t>
      </w:r>
    </w:p>
    <w:p>
      <w:pPr>
        <w:pStyle w:val="ListParagraph"/>
        <w:numPr>
          <w:ilvl w:val="0"/>
          <w:numId w:val="2"/>
        </w:numPr>
      </w:pPr>
      <w:r>
        <w:rPr>
          <w:rFonts w:ascii="Arial" w:cs="Arial" w:eastAsia="Arial" w:hAnsi="Arial"/>
          <w:sz w:val="22"/>
          <w:szCs w:val="22"/>
        </w:rPr>
        <w:t xml:space="preserve">Does not make autonomous clinical decisions</w:t>
      </w:r>
    </w:p>
    <w:p>
      <w:pPr>
        <w:pStyle w:val="ListParagraph"/>
        <w:numPr>
          <w:ilvl w:val="0"/>
          <w:numId w:val="2"/>
        </w:numPr>
      </w:pPr>
      <w:r>
        <w:rPr>
          <w:rFonts w:ascii="Arial" w:cs="Arial" w:eastAsia="Arial" w:hAnsi="Arial"/>
          <w:sz w:val="22"/>
          <w:szCs w:val="22"/>
        </w:rPr>
        <w:t xml:space="preserve">Requires human clinical oversight for all outputs</w:t>
      </w:r>
    </w:p>
    <w:p>
      <w:pPr>
        <w:pStyle w:val="Heading2"/>
        <w:spacing w:before="300" w:after="150"/>
      </w:pPr>
      <w:r>
        <w:rPr>
          <w:rFonts w:ascii="Arial" w:cs="Arial" w:eastAsia="Arial" w:hAnsi="Arial"/>
          <w:b/>
          <w:bCs/>
          <w:sz w:val="26"/>
          <w:szCs w:val="26"/>
        </w:rPr>
        <w:t xml:space="preserve">1.4 Overall Risk Assessment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Assessment Area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Initial Risk</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Residual Risk</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Protection Risk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Acceptable with controls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Safety Risk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LOW-MEDIUM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Tolerable (ALARP)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Information Security Risk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Acceptable with controls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Regulatory Compliance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Compliant</w:t>
            </w:r>
          </w:p>
        </w:tc>
      </w:tr>
    </w:tbl>
    <w:p>
      <w:pPr>
        <w:pStyle w:val="Heading2"/>
        <w:spacing w:before="300" w:after="150"/>
      </w:pPr>
      <w:r>
        <w:rPr>
          <w:rFonts w:ascii="Arial" w:cs="Arial" w:eastAsia="Arial" w:hAnsi="Arial"/>
          <w:b/>
          <w:bCs/>
          <w:sz w:val="26"/>
          <w:szCs w:val="26"/>
        </w:rPr>
        <w:t xml:space="preserve">1.5 CSO Recommendation</w:t>
      </w:r>
    </w:p>
    <w:p>
      <w:pPr>
        <w:spacing w:after="120"/>
      </w:pPr>
      <w:r>
        <w:rPr>
          <w:rFonts w:ascii="Arial" w:cs="Arial" w:eastAsia="Arial" w:hAnsi="Arial"/>
          <w:sz w:val="22"/>
          <w:szCs w:val="22"/>
        </w:rPr>
        <w:t xml:space="preserve">Subject to implementation of all identified controls and completion of outstanding mitigations by stated timelines, the Clinical Safety Officer recommends that GP Notewell AI is suitable for deployment in NHS primary care settings. All identified hazards have been reduced to As Low As Reasonably Practicable (ALARP) and fall within NHS risk acceptability criteria.</w:t>
      </w:r>
    </w:p>
    <w:p>
      <w:r>
        <w:br w:type="page"/>
      </w:r>
    </w:p>
    <w:p>
      <w:pPr>
        <w:pStyle w:val="Heading1"/>
        <w:spacing w:before="400" w:after="200"/>
      </w:pPr>
      <w:r>
        <w:rPr>
          <w:rFonts w:ascii="Arial" w:cs="Arial" w:eastAsia="Arial" w:hAnsi="Arial"/>
          <w:b/>
          <w:bCs/>
          <w:sz w:val="32"/>
          <w:szCs w:val="32"/>
        </w:rPr>
        <w:t xml:space="preserve">2. Organisation and Governance</w:t>
      </w:r>
    </w:p>
    <w:p>
      <w:pPr>
        <w:pStyle w:val="Heading2"/>
        <w:spacing w:before="300" w:after="150"/>
      </w:pPr>
      <w:r>
        <w:rPr>
          <w:rFonts w:ascii="Arial" w:cs="Arial" w:eastAsia="Arial" w:hAnsi="Arial"/>
          <w:b/>
          <w:bCs/>
          <w:sz w:val="26"/>
          <w:szCs w:val="26"/>
        </w:rPr>
        <w:t xml:space="preserve">2.1 Organisation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Organisation Name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PCN Services Ltd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Registration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Number]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Registered Address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[Address]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ICO Registration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[ICO Registration Number]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Contact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Malcolm Railson, PCN Development Manager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Address]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Telephone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[Phone Number]</w:t>
            </w:r>
          </w:p>
        </w:tc>
      </w:tr>
    </w:tbl>
    <w:p>
      <w:pPr>
        <w:pStyle w:val="Heading2"/>
        <w:spacing w:before="300" w:after="150"/>
      </w:pPr>
      <w:r>
        <w:rPr>
          <w:rFonts w:ascii="Arial" w:cs="Arial" w:eastAsia="Arial" w:hAnsi="Arial"/>
          <w:b/>
          <w:bCs/>
          <w:sz w:val="26"/>
          <w:szCs w:val="26"/>
        </w:rPr>
        <w:t xml:space="preserve">2.2 Clinical Safety Management System</w:t>
      </w:r>
    </w:p>
    <w:p>
      <w:pPr>
        <w:spacing w:after="120"/>
      </w:pPr>
      <w:r>
        <w:rPr>
          <w:rFonts w:ascii="Arial" w:cs="Arial" w:eastAsia="Arial" w:hAnsi="Arial"/>
          <w:sz w:val="22"/>
          <w:szCs w:val="22"/>
        </w:rPr>
        <w:t xml:space="preserve">PCN Services Ltd maintains a Clinical Safety Management System (CSMS) in accordance with DCB0129 and DCB0160 requirements. The CSMS comprises:</w:t>
      </w:r>
    </w:p>
    <w:p>
      <w:pPr>
        <w:pStyle w:val="Heading3"/>
        <w:spacing w:before="200" w:after="100"/>
      </w:pPr>
      <w:r>
        <w:rPr>
          <w:rFonts w:ascii="Arial" w:cs="Arial" w:eastAsia="Arial" w:hAnsi="Arial"/>
          <w:b/>
          <w:bCs/>
          <w:sz w:val="24"/>
          <w:szCs w:val="24"/>
        </w:rPr>
        <w:t xml:space="preserve">2.2.1 Clinical Safety Team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Qualifications</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Safety Officer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[CSO 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Registered clinician, DCB0129/0160 trained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Overall clinical safety governance, hazard approval, CSO sign-off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Deputy CSO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[Deputy 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Registered clinician, DCB0129/0160 trained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CSO delegation, incident review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Technical Lead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Malcolm Railson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MCSE, 30 years IT experience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Technical risk assessment, system architecture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Protection Officer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[DPO 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GDPR certified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protection compliance, DPIA oversight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Advisor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Advisor]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GP Partner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workflow validation, user acceptance</w:t>
            </w:r>
          </w:p>
        </w:tc>
      </w:tr>
    </w:tbl>
    <w:p>
      <w:pPr>
        <w:pStyle w:val="Heading3"/>
        <w:spacing w:before="200" w:after="100"/>
      </w:pPr>
      <w:r>
        <w:rPr>
          <w:rFonts w:ascii="Arial" w:cs="Arial" w:eastAsia="Arial" w:hAnsi="Arial"/>
          <w:b/>
          <w:bCs/>
          <w:sz w:val="24"/>
          <w:szCs w:val="24"/>
        </w:rPr>
        <w:t xml:space="preserve">2.2.2 Key Documents</w:t>
      </w:r>
    </w:p>
    <w:p>
      <w:pPr>
        <w:pStyle w:val="ListParagraph"/>
        <w:numPr>
          <w:ilvl w:val="0"/>
          <w:numId w:val="2"/>
        </w:numPr>
      </w:pPr>
      <w:r>
        <w:rPr>
          <w:rFonts w:ascii="Arial" w:cs="Arial" w:eastAsia="Arial" w:hAnsi="Arial"/>
          <w:sz w:val="22"/>
          <w:szCs w:val="22"/>
        </w:rPr>
        <w:t xml:space="preserve">Clinical Risk Management Plan (CRMP) - Document Ref: PCNS-CRMP-001</w:t>
      </w:r>
    </w:p>
    <w:p>
      <w:pPr>
        <w:pStyle w:val="ListParagraph"/>
        <w:numPr>
          <w:ilvl w:val="0"/>
          <w:numId w:val="2"/>
        </w:numPr>
      </w:pPr>
      <w:r>
        <w:rPr>
          <w:rFonts w:ascii="Arial" w:cs="Arial" w:eastAsia="Arial" w:hAnsi="Arial"/>
          <w:sz w:val="22"/>
          <w:szCs w:val="22"/>
        </w:rPr>
        <w:t xml:space="preserve">Clinical Safety Hazard Log (CSHL) - Document Ref: PCNS-HL-001</w:t>
      </w:r>
    </w:p>
    <w:p>
      <w:pPr>
        <w:pStyle w:val="ListParagraph"/>
        <w:numPr>
          <w:ilvl w:val="0"/>
          <w:numId w:val="2"/>
        </w:numPr>
      </w:pPr>
      <w:r>
        <w:rPr>
          <w:rFonts w:ascii="Arial" w:cs="Arial" w:eastAsia="Arial" w:hAnsi="Arial"/>
          <w:sz w:val="22"/>
          <w:szCs w:val="22"/>
        </w:rPr>
        <w:t xml:space="preserve">Clinical Safety Case Report (this document) - Document Ref: PCNS-CSCR-001</w:t>
      </w:r>
    </w:p>
    <w:p>
      <w:pPr>
        <w:pStyle w:val="ListParagraph"/>
        <w:numPr>
          <w:ilvl w:val="0"/>
          <w:numId w:val="2"/>
        </w:numPr>
      </w:pPr>
      <w:r>
        <w:rPr>
          <w:rFonts w:ascii="Arial" w:cs="Arial" w:eastAsia="Arial" w:hAnsi="Arial"/>
          <w:sz w:val="22"/>
          <w:szCs w:val="22"/>
        </w:rPr>
        <w:t xml:space="preserve">Incident Management Procedure - Document Ref: PCNS-IMP-001</w:t>
      </w:r>
    </w:p>
    <w:p>
      <w:pPr>
        <w:pStyle w:val="ListParagraph"/>
        <w:numPr>
          <w:ilvl w:val="0"/>
          <w:numId w:val="2"/>
        </w:numPr>
      </w:pPr>
      <w:r>
        <w:rPr>
          <w:rFonts w:ascii="Arial" w:cs="Arial" w:eastAsia="Arial" w:hAnsi="Arial"/>
          <w:sz w:val="22"/>
          <w:szCs w:val="22"/>
        </w:rPr>
        <w:t xml:space="preserve">Change Control Procedure - Document Ref: PCNS-CCP-001</w:t>
      </w:r>
    </w:p>
    <w:p>
      <w:pPr>
        <w:pStyle w:val="Heading2"/>
        <w:spacing w:before="300" w:after="150"/>
      </w:pPr>
      <w:r>
        <w:rPr>
          <w:rFonts w:ascii="Arial" w:cs="Arial" w:eastAsia="Arial" w:hAnsi="Arial"/>
          <w:b/>
          <w:bCs/>
          <w:sz w:val="26"/>
          <w:szCs w:val="26"/>
        </w:rPr>
        <w:t xml:space="preserve">2.3 Governance and Oversight</w:t>
      </w:r>
    </w:p>
    <w:p>
      <w:pPr>
        <w:spacing w:after="120"/>
      </w:pPr>
      <w:r>
        <w:rPr>
          <w:rFonts w:ascii="Arial" w:cs="Arial" w:eastAsia="Arial" w:hAnsi="Arial"/>
          <w:sz w:val="22"/>
          <w:szCs w:val="22"/>
        </w:rPr>
        <w:t xml:space="preserve">Clinical safety governance is maintained through:</w:t>
      </w:r>
    </w:p>
    <w:p>
      <w:pPr>
        <w:pStyle w:val="ListParagraph"/>
        <w:numPr>
          <w:ilvl w:val="0"/>
          <w:numId w:val="2"/>
        </w:numPr>
      </w:pPr>
      <w:r>
        <w:rPr>
          <w:rFonts w:ascii="Arial" w:cs="Arial" w:eastAsia="Arial" w:hAnsi="Arial"/>
          <w:sz w:val="22"/>
          <w:szCs w:val="22"/>
        </w:rPr>
        <w:t xml:space="preserve">Monthly Clinical Safety Review meetings chaired by the CSO</w:t>
      </w:r>
    </w:p>
    <w:p>
      <w:pPr>
        <w:pStyle w:val="ListParagraph"/>
        <w:numPr>
          <w:ilvl w:val="0"/>
          <w:numId w:val="2"/>
        </w:numPr>
      </w:pPr>
      <w:r>
        <w:rPr>
          <w:rFonts w:ascii="Arial" w:cs="Arial" w:eastAsia="Arial" w:hAnsi="Arial"/>
          <w:sz w:val="22"/>
          <w:szCs w:val="22"/>
        </w:rPr>
        <w:t xml:space="preserve">Quarterly Hazard Log review and update cycle</w:t>
      </w:r>
    </w:p>
    <w:p>
      <w:pPr>
        <w:pStyle w:val="ListParagraph"/>
        <w:numPr>
          <w:ilvl w:val="0"/>
          <w:numId w:val="2"/>
        </w:numPr>
      </w:pPr>
      <w:r>
        <w:rPr>
          <w:rFonts w:ascii="Arial" w:cs="Arial" w:eastAsia="Arial" w:hAnsi="Arial"/>
          <w:sz w:val="22"/>
          <w:szCs w:val="22"/>
        </w:rPr>
        <w:t xml:space="preserve">Annual Clinical Safety Case Report review</w:t>
      </w:r>
    </w:p>
    <w:p>
      <w:pPr>
        <w:pStyle w:val="ListParagraph"/>
        <w:numPr>
          <w:ilvl w:val="0"/>
          <w:numId w:val="2"/>
        </w:numPr>
      </w:pPr>
      <w:r>
        <w:rPr>
          <w:rFonts w:ascii="Arial" w:cs="Arial" w:eastAsia="Arial" w:hAnsi="Arial"/>
          <w:sz w:val="22"/>
          <w:szCs w:val="22"/>
        </w:rPr>
        <w:t xml:space="preserve">Incident-triggered safety reviews within 48 hours of reported events</w:t>
      </w:r>
    </w:p>
    <w:p>
      <w:pPr>
        <w:pStyle w:val="ListParagraph"/>
        <w:numPr>
          <w:ilvl w:val="0"/>
          <w:numId w:val="2"/>
        </w:numPr>
      </w:pPr>
      <w:r>
        <w:rPr>
          <w:rFonts w:ascii="Arial" w:cs="Arial" w:eastAsia="Arial" w:hAnsi="Arial"/>
          <w:sz w:val="22"/>
          <w:szCs w:val="22"/>
        </w:rPr>
        <w:t xml:space="preserve">Release-triggered safety assessments prior to any system updates</w:t>
      </w:r>
    </w:p>
    <w:p>
      <w:r>
        <w:br w:type="page"/>
      </w:r>
    </w:p>
    <w:p>
      <w:pPr>
        <w:pStyle w:val="Heading1"/>
        <w:spacing w:before="400" w:after="200"/>
      </w:pPr>
      <w:r>
        <w:rPr>
          <w:rFonts w:ascii="Arial" w:cs="Arial" w:eastAsia="Arial" w:hAnsi="Arial"/>
          <w:b/>
          <w:bCs/>
          <w:sz w:val="32"/>
          <w:szCs w:val="32"/>
        </w:rPr>
        <w:t xml:space="preserve">3. System Description and Intended Use</w:t>
      </w:r>
    </w:p>
    <w:p>
      <w:pPr>
        <w:pStyle w:val="Heading2"/>
        <w:spacing w:before="300" w:after="150"/>
      </w:pPr>
      <w:r>
        <w:rPr>
          <w:rFonts w:ascii="Arial" w:cs="Arial" w:eastAsia="Arial" w:hAnsi="Arial"/>
          <w:b/>
          <w:bCs/>
          <w:sz w:val="26"/>
          <w:szCs w:val="26"/>
        </w:rPr>
        <w:t xml:space="preserve">3.1 Intended Purpose</w:t>
      </w:r>
    </w:p>
    <w:p>
      <w:pPr>
        <w:spacing w:after="120"/>
      </w:pPr>
      <w:r>
        <w:rPr>
          <w:rFonts w:ascii="Arial" w:cs="Arial" w:eastAsia="Arial" w:hAnsi="Arial"/>
          <w:sz w:val="22"/>
          <w:szCs w:val="22"/>
        </w:rPr>
        <w:t xml:space="preserve">GP Notewell AI is intended to support NHS primary care clinicians by automating clinical documentation tasks, thereby:</w:t>
      </w:r>
    </w:p>
    <w:p>
      <w:pPr>
        <w:pStyle w:val="ListParagraph"/>
        <w:numPr>
          <w:ilvl w:val="0"/>
          <w:numId w:val="2"/>
        </w:numPr>
      </w:pPr>
      <w:r>
        <w:rPr>
          <w:rFonts w:ascii="Arial" w:cs="Arial" w:eastAsia="Arial" w:hAnsi="Arial"/>
          <w:sz w:val="22"/>
          <w:szCs w:val="22"/>
        </w:rPr>
        <w:t xml:space="preserve">Reducing administrative burden and time spent on documentation</w:t>
      </w:r>
    </w:p>
    <w:p>
      <w:pPr>
        <w:pStyle w:val="ListParagraph"/>
        <w:numPr>
          <w:ilvl w:val="0"/>
          <w:numId w:val="2"/>
        </w:numPr>
      </w:pPr>
      <w:r>
        <w:rPr>
          <w:rFonts w:ascii="Arial" w:cs="Arial" w:eastAsia="Arial" w:hAnsi="Arial"/>
          <w:sz w:val="22"/>
          <w:szCs w:val="22"/>
        </w:rPr>
        <w:t xml:space="preserve">Improving accuracy and completeness of clinical records</w:t>
      </w:r>
    </w:p>
    <w:p>
      <w:pPr>
        <w:pStyle w:val="ListParagraph"/>
        <w:numPr>
          <w:ilvl w:val="0"/>
          <w:numId w:val="2"/>
        </w:numPr>
      </w:pPr>
      <w:r>
        <w:rPr>
          <w:rFonts w:ascii="Arial" w:cs="Arial" w:eastAsia="Arial" w:hAnsi="Arial"/>
          <w:sz w:val="22"/>
          <w:szCs w:val="22"/>
        </w:rPr>
        <w:t xml:space="preserve">Enhancing patient safety through consistent documentation standards</w:t>
      </w:r>
    </w:p>
    <w:p>
      <w:pPr>
        <w:pStyle w:val="ListParagraph"/>
        <w:numPr>
          <w:ilvl w:val="0"/>
          <w:numId w:val="2"/>
        </w:numPr>
      </w:pPr>
      <w:r>
        <w:rPr>
          <w:rFonts w:ascii="Arial" w:cs="Arial" w:eastAsia="Arial" w:hAnsi="Arial"/>
          <w:sz w:val="22"/>
          <w:szCs w:val="22"/>
        </w:rPr>
        <w:t xml:space="preserve">Supporting clinical coding accuracy for quality outcomes framework (QOF) purposes</w:t>
      </w:r>
    </w:p>
    <w:p>
      <w:pPr>
        <w:pStyle w:val="Heading2"/>
        <w:spacing w:before="300" w:after="150"/>
      </w:pPr>
      <w:r>
        <w:rPr>
          <w:rFonts w:ascii="Arial" w:cs="Arial" w:eastAsia="Arial" w:hAnsi="Arial"/>
          <w:b/>
          <w:bCs/>
          <w:sz w:val="26"/>
          <w:szCs w:val="26"/>
        </w:rPr>
        <w:t xml:space="preserve">3.2 Intended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Description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GP Partners/Salaried GPs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clinical users for consultation documentation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clinical access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Advanced Nurse Practitioners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users for nursing consultations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clinical access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Practice Nurses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users for procedure documentation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Limited clinical access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Practice Managers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Administrative oversight, complaints management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Administrative access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PCN Clinical Directors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MDT meeting facilitation, network-level oversight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access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Administrative Staff</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Complaints workflow support only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Complaints module only</w:t>
            </w:r>
          </w:p>
        </w:tc>
      </w:tr>
    </w:tbl>
    <w:p>
      <w:pPr>
        <w:pStyle w:val="Heading2"/>
        <w:spacing w:before="300" w:after="150"/>
      </w:pPr>
      <w:r>
        <w:rPr>
          <w:rFonts w:ascii="Arial" w:cs="Arial" w:eastAsia="Arial" w:hAnsi="Arial"/>
          <w:b/>
          <w:bCs/>
          <w:sz w:val="26"/>
          <w:szCs w:val="26"/>
        </w:rPr>
        <w:t xml:space="preserve">3.3 Intended Environment</w:t>
      </w:r>
    </w:p>
    <w:p>
      <w:pPr>
        <w:spacing w:after="120"/>
      </w:pPr>
      <w:r>
        <w:rPr>
          <w:rFonts w:ascii="Arial" w:cs="Arial" w:eastAsia="Arial" w:hAnsi="Arial"/>
          <w:sz w:val="22"/>
          <w:szCs w:val="22"/>
        </w:rPr>
        <w:t xml:space="preserve">GP Notewell AI is designed for deployment in:</w:t>
      </w:r>
    </w:p>
    <w:p>
      <w:pPr>
        <w:pStyle w:val="ListParagraph"/>
        <w:numPr>
          <w:ilvl w:val="0"/>
          <w:numId w:val="2"/>
        </w:numPr>
      </w:pPr>
      <w:r>
        <w:rPr>
          <w:rFonts w:ascii="Arial" w:cs="Arial" w:eastAsia="Arial" w:hAnsi="Arial"/>
          <w:sz w:val="22"/>
          <w:szCs w:val="22"/>
        </w:rPr>
        <w:t xml:space="preserve">NHS GP practices within Primary Care Networks</w:t>
      </w:r>
    </w:p>
    <w:p>
      <w:pPr>
        <w:pStyle w:val="ListParagraph"/>
        <w:numPr>
          <w:ilvl w:val="0"/>
          <w:numId w:val="2"/>
        </w:numPr>
      </w:pPr>
      <w:r>
        <w:rPr>
          <w:rFonts w:ascii="Arial" w:cs="Arial" w:eastAsia="Arial" w:hAnsi="Arial"/>
          <w:sz w:val="22"/>
          <w:szCs w:val="22"/>
        </w:rPr>
        <w:t xml:space="preserve">PCN hub sites and extended access services</w:t>
      </w:r>
    </w:p>
    <w:p>
      <w:pPr>
        <w:pStyle w:val="ListParagraph"/>
        <w:numPr>
          <w:ilvl w:val="0"/>
          <w:numId w:val="2"/>
        </w:numPr>
      </w:pPr>
      <w:r>
        <w:rPr>
          <w:rFonts w:ascii="Arial" w:cs="Arial" w:eastAsia="Arial" w:hAnsi="Arial"/>
          <w:sz w:val="22"/>
          <w:szCs w:val="22"/>
        </w:rPr>
        <w:t xml:space="preserve">Home working environments via secure NHS network connections (VPN)</w:t>
      </w:r>
    </w:p>
    <w:p>
      <w:pPr>
        <w:pStyle w:val="Heading2"/>
        <w:spacing w:before="300" w:after="150"/>
      </w:pPr>
      <w:r>
        <w:rPr>
          <w:rFonts w:ascii="Arial" w:cs="Arial" w:eastAsia="Arial" w:hAnsi="Arial"/>
          <w:b/>
          <w:bCs/>
          <w:sz w:val="26"/>
          <w:szCs w:val="26"/>
        </w:rPr>
        <w:t xml:space="preserve">3.4 System Architecture</w:t>
      </w:r>
    </w:p>
    <w:p>
      <w:pPr>
        <w:pStyle w:val="Heading3"/>
        <w:spacing w:before="200" w:after="100"/>
      </w:pPr>
      <w:r>
        <w:rPr>
          <w:rFonts w:ascii="Arial" w:cs="Arial" w:eastAsia="Arial" w:hAnsi="Arial"/>
          <w:b/>
          <w:bCs/>
          <w:sz w:val="24"/>
          <w:szCs w:val="24"/>
        </w:rPr>
        <w:t xml:space="preserve">3.4.1 Technical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00"/>
        <w:gridCol w:w="2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 Application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React.js frontend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browser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interface and interaction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API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Node.js/Supabase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UK (AWS eu-west-2)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Business logic and data processing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 (Supabase)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UK (AWS eu-west-2)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Secure data storage with RLS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Speech-to-Text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AssemblyAI API</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USA (zero retention)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Real-time audio transcription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Processing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 GPT-4 API</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EU Data Boundary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summarisation and coding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Text-to-Speech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ElevenLabs API</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USA</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Audio complaint summaries (anonymised)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Integration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HL7 FHIR / proprietary APIs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N1 Connection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EMIS/SystmOne integration</w:t>
            </w:r>
          </w:p>
        </w:tc>
      </w:tr>
    </w:tbl>
    <w:p>
      <w:pPr>
        <w:pStyle w:val="Heading3"/>
        <w:spacing w:before="200" w:after="100"/>
      </w:pPr>
      <w:r>
        <w:rPr>
          <w:rFonts w:ascii="Arial" w:cs="Arial" w:eastAsia="Arial" w:hAnsi="Arial"/>
          <w:b/>
          <w:bCs/>
          <w:sz w:val="24"/>
          <w:szCs w:val="24"/>
        </w:rPr>
        <w:t xml:space="preserve">3.4.2 Data Flow</w:t>
      </w:r>
    </w:p>
    <w:p>
      <w:pPr>
        <w:spacing w:after="120"/>
      </w:pPr>
      <w:r>
        <w:rPr>
          <w:rFonts w:ascii="Arial" w:cs="Arial" w:eastAsia="Arial" w:hAnsi="Arial"/>
          <w:sz w:val="22"/>
          <w:szCs w:val="22"/>
        </w:rPr>
        <w:t xml:space="preserve">The system processes data through the following workflow:</w:t>
      </w:r>
    </w:p>
    <w:p>
      <w:pPr>
        <w:pStyle w:val="ListParagraph"/>
        <w:numPr>
          <w:ilvl w:val="0"/>
          <w:numId w:val="3"/>
        </w:numPr>
      </w:pPr>
      <w:r>
        <w:rPr>
          <w:rFonts w:ascii="Arial" w:cs="Arial" w:eastAsia="Arial" w:hAnsi="Arial"/>
          <w:sz w:val="22"/>
          <w:szCs w:val="22"/>
        </w:rPr>
        <w:t xml:space="preserve">Clinician initiates consultation recording via web interface</w:t>
      </w:r>
    </w:p>
    <w:p>
      <w:pPr>
        <w:pStyle w:val="ListParagraph"/>
        <w:numPr>
          <w:ilvl w:val="0"/>
          <w:numId w:val="3"/>
        </w:numPr>
      </w:pPr>
      <w:r>
        <w:rPr>
          <w:rFonts w:ascii="Arial" w:cs="Arial" w:eastAsia="Arial" w:hAnsi="Arial"/>
          <w:sz w:val="22"/>
          <w:szCs w:val="22"/>
        </w:rPr>
        <w:t xml:space="preserve">Audio streamed in real-time to AssemblyAI for transcription (zero retention)</w:t>
      </w:r>
    </w:p>
    <w:p>
      <w:pPr>
        <w:pStyle w:val="ListParagraph"/>
        <w:numPr>
          <w:ilvl w:val="0"/>
          <w:numId w:val="3"/>
        </w:numPr>
      </w:pPr>
      <w:r>
        <w:rPr>
          <w:rFonts w:ascii="Arial" w:cs="Arial" w:eastAsia="Arial" w:hAnsi="Arial"/>
          <w:sz w:val="22"/>
          <w:szCs w:val="22"/>
        </w:rPr>
        <w:t xml:space="preserve">Transcript processed by GPT-4 for clinical summarisation (EU Data Boundary, zero retention)</w:t>
      </w:r>
    </w:p>
    <w:p>
      <w:pPr>
        <w:pStyle w:val="ListParagraph"/>
        <w:numPr>
          <w:ilvl w:val="0"/>
          <w:numId w:val="3"/>
        </w:numPr>
      </w:pPr>
      <w:r>
        <w:rPr>
          <w:rFonts w:ascii="Arial" w:cs="Arial" w:eastAsia="Arial" w:hAnsi="Arial"/>
          <w:sz w:val="22"/>
          <w:szCs w:val="22"/>
        </w:rPr>
        <w:t xml:space="preserve">SNOMED CT codes suggested based on clinical content</w:t>
      </w:r>
    </w:p>
    <w:p>
      <w:pPr>
        <w:pStyle w:val="ListParagraph"/>
        <w:numPr>
          <w:ilvl w:val="0"/>
          <w:numId w:val="3"/>
        </w:numPr>
      </w:pPr>
      <w:r>
        <w:rPr>
          <w:rFonts w:ascii="Arial" w:cs="Arial" w:eastAsia="Arial" w:hAnsi="Arial"/>
          <w:sz w:val="22"/>
          <w:szCs w:val="22"/>
        </w:rPr>
        <w:t xml:space="preserve">Clinician reviews, edits, and approves output (HUMAN-IN-THE-LOOP)</w:t>
      </w:r>
    </w:p>
    <w:p>
      <w:pPr>
        <w:pStyle w:val="ListParagraph"/>
        <w:numPr>
          <w:ilvl w:val="0"/>
          <w:numId w:val="3"/>
        </w:numPr>
      </w:pPr>
      <w:r>
        <w:rPr>
          <w:rFonts w:ascii="Arial" w:cs="Arial" w:eastAsia="Arial" w:hAnsi="Arial"/>
          <w:sz w:val="22"/>
          <w:szCs w:val="22"/>
        </w:rPr>
        <w:t xml:space="preserve">Approved content pushed to clinical system via secure API</w:t>
      </w:r>
    </w:p>
    <w:p>
      <w:pPr>
        <w:pStyle w:val="ListParagraph"/>
        <w:numPr>
          <w:ilvl w:val="0"/>
          <w:numId w:val="3"/>
        </w:numPr>
      </w:pPr>
      <w:r>
        <w:rPr>
          <w:rFonts w:ascii="Arial" w:cs="Arial" w:eastAsia="Arial" w:hAnsi="Arial"/>
          <w:sz w:val="22"/>
          <w:szCs w:val="22"/>
        </w:rPr>
        <w:t xml:space="preserve">Local copy retained in UK-hosted database with full audit trail</w:t>
      </w:r>
    </w:p>
    <w:p>
      <w:r>
        <w:br w:type="page"/>
      </w:r>
    </w:p>
    <w:p>
      <w:pPr>
        <w:pStyle w:val="Heading1"/>
        <w:spacing w:before="400" w:after="200"/>
      </w:pPr>
      <w:r>
        <w:rPr>
          <w:rFonts w:ascii="Arial" w:cs="Arial" w:eastAsia="Arial" w:hAnsi="Arial"/>
          <w:b/>
          <w:bCs/>
          <w:sz w:val="32"/>
          <w:szCs w:val="32"/>
        </w:rPr>
        <w:t xml:space="preserve">4. Legal Basis and Data Processing</w:t>
      </w:r>
    </w:p>
    <w:p>
      <w:pPr>
        <w:pStyle w:val="Heading2"/>
        <w:spacing w:before="300" w:after="150"/>
      </w:pPr>
      <w:r>
        <w:rPr>
          <w:rFonts w:ascii="Arial" w:cs="Arial" w:eastAsia="Arial" w:hAnsi="Arial"/>
          <w:b/>
          <w:bCs/>
          <w:sz w:val="26"/>
          <w:szCs w:val="26"/>
        </w:rPr>
        <w:t xml:space="preserve">4.1 Categories of Personal Data Processed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Sensitivity</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Patient Identifiers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DOB, NHS Number, Address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 NHS Records Code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Data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Diagnoses, medications, observations, examination findings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Special Category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 NHS Records Code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Audio Recordings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Consultation recordings (temporary)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Special Category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Deleted immediately after processing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Staff Data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Names, roles, professional registrations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Employment + 6 years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Complainant Data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contact details, complaint content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years (NHS guidance)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Logs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actions, timestamps, IP addresses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years</w:t>
            </w:r>
          </w:p>
        </w:tc>
      </w:tr>
    </w:tbl>
    <w:p>
      <w:pPr>
        <w:pStyle w:val="Heading2"/>
        <w:spacing w:before="300" w:after="150"/>
      </w:pPr>
      <w:r>
        <w:rPr>
          <w:rFonts w:ascii="Arial" w:cs="Arial" w:eastAsia="Arial" w:hAnsi="Arial"/>
          <w:b/>
          <w:bCs/>
          <w:sz w:val="26"/>
          <w:szCs w:val="26"/>
        </w:rPr>
        <w:t xml:space="preserve">4.2 Legal Basis for Processing</w:t>
      </w:r>
    </w:p>
    <w:p>
      <w:pPr>
        <w:pStyle w:val="Heading3"/>
        <w:spacing w:before="200" w:after="100"/>
      </w:pPr>
      <w:r>
        <w:rPr>
          <w:rFonts w:ascii="Arial" w:cs="Arial" w:eastAsia="Arial" w:hAnsi="Arial"/>
          <w:b/>
          <w:bCs/>
          <w:sz w:val="24"/>
          <w:szCs w:val="24"/>
        </w:rPr>
        <w:t xml:space="preserve">4.2.1 Lawful Basis (Article 6 GDPR)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Processing Activity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Article 6 Basis</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documentation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6(1)(e) - Public task</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 necessary for NHS healthcare delivery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MDT meeting records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6(1)(e) - Public task</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 coordination in public interest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Complaints management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6(1)(c) - Legal obligation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 &amp; Social Care Act 2008 requirements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logging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6(1)(f) - Legitimate interests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monitoring, regulatory compliance</w:t>
            </w:r>
          </w:p>
        </w:tc>
      </w:tr>
    </w:tbl>
    <w:p>
      <w:pPr>
        <w:pStyle w:val="Heading3"/>
        <w:spacing w:before="200" w:after="100"/>
      </w:pPr>
      <w:r>
        <w:rPr>
          <w:rFonts w:ascii="Arial" w:cs="Arial" w:eastAsia="Arial" w:hAnsi="Arial"/>
          <w:b/>
          <w:bCs/>
          <w:sz w:val="24"/>
          <w:szCs w:val="24"/>
        </w:rPr>
        <w:t xml:space="preserve">4.2.2 Special Category Conditions (Article 9 GDPR)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Processing Activity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Article 9 Condition</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Additional Safeguards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 data processing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9(2)(h) - Health/social care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UK GDPR Schedule 1 Part 1 Para 2 - Health/social care purposes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records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9(2)(h) - Health/social care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 by/under responsibility of healthcare professional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Research/audit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9(2)(j) - Research purposes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with appropriate safeguards, statistical purposes</w:t>
            </w:r>
          </w:p>
        </w:tc>
      </w:tr>
    </w:tbl>
    <w:p>
      <w:pPr>
        <w:pStyle w:val="Heading2"/>
        <w:spacing w:before="300" w:after="150"/>
      </w:pPr>
      <w:r>
        <w:rPr>
          <w:rFonts w:ascii="Arial" w:cs="Arial" w:eastAsia="Arial" w:hAnsi="Arial"/>
          <w:b/>
          <w:bCs/>
          <w:sz w:val="26"/>
          <w:szCs w:val="26"/>
        </w:rPr>
        <w:t xml:space="preserve">4.3 Data Controller and Processor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Deploying GP Practice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Controller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Overall accountability for patient data, lawful basis determination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PCN Services Ltd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Processor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 on behalf of controller per DPA terms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Sub-processor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processing only, zero retention, SCCs in place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AssemblyAI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Sub-processor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Transcription only, zero retention, DPA executed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Supabase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Sub-processor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UK hosting infrastructure, ISO 27001 certified</w:t>
            </w:r>
          </w:p>
        </w:tc>
      </w:tr>
    </w:tbl>
    <w:p>
      <w:pPr>
        <w:pStyle w:val="Heading2"/>
        <w:spacing w:before="300" w:after="150"/>
      </w:pPr>
      <w:r>
        <w:rPr>
          <w:rFonts w:ascii="Arial" w:cs="Arial" w:eastAsia="Arial" w:hAnsi="Arial"/>
          <w:b/>
          <w:bCs/>
          <w:sz w:val="26"/>
          <w:szCs w:val="26"/>
        </w:rPr>
        <w:t xml:space="preserve">4.4 Data Processing Agreements</w:t>
      </w:r>
    </w:p>
    <w:p>
      <w:pPr>
        <w:spacing w:after="120"/>
      </w:pPr>
      <w:r>
        <w:rPr>
          <w:rFonts w:ascii="Arial" w:cs="Arial" w:eastAsia="Arial" w:hAnsi="Arial"/>
          <w:sz w:val="22"/>
          <w:szCs w:val="22"/>
        </w:rPr>
        <w:t xml:space="preserve">PCN Services Ltd has executed Data Processing Agreements (DPAs) with all deploying organisations and sub-processors. Key contractual provisions include:</w:t>
      </w:r>
    </w:p>
    <w:p>
      <w:pPr>
        <w:pStyle w:val="ListParagraph"/>
        <w:numPr>
          <w:ilvl w:val="0"/>
          <w:numId w:val="2"/>
        </w:numPr>
      </w:pPr>
      <w:r>
        <w:rPr>
          <w:rFonts w:ascii="Arial" w:cs="Arial" w:eastAsia="Arial" w:hAnsi="Arial"/>
          <w:sz w:val="22"/>
          <w:szCs w:val="22"/>
        </w:rPr>
        <w:t xml:space="preserve">Processing only on documented instructions from controller</w:t>
      </w:r>
    </w:p>
    <w:p>
      <w:pPr>
        <w:pStyle w:val="ListParagraph"/>
        <w:numPr>
          <w:ilvl w:val="0"/>
          <w:numId w:val="2"/>
        </w:numPr>
      </w:pPr>
      <w:r>
        <w:rPr>
          <w:rFonts w:ascii="Arial" w:cs="Arial" w:eastAsia="Arial" w:hAnsi="Arial"/>
          <w:sz w:val="22"/>
          <w:szCs w:val="22"/>
        </w:rPr>
        <w:t xml:space="preserve">Confidentiality obligations on all personnel</w:t>
      </w:r>
    </w:p>
    <w:p>
      <w:pPr>
        <w:pStyle w:val="ListParagraph"/>
        <w:numPr>
          <w:ilvl w:val="0"/>
          <w:numId w:val="2"/>
        </w:numPr>
      </w:pPr>
      <w:r>
        <w:rPr>
          <w:rFonts w:ascii="Arial" w:cs="Arial" w:eastAsia="Arial" w:hAnsi="Arial"/>
          <w:sz w:val="22"/>
          <w:szCs w:val="22"/>
        </w:rPr>
        <w:t xml:space="preserve">Technical and organisational security measures</w:t>
      </w:r>
    </w:p>
    <w:p>
      <w:pPr>
        <w:pStyle w:val="ListParagraph"/>
        <w:numPr>
          <w:ilvl w:val="0"/>
          <w:numId w:val="2"/>
        </w:numPr>
      </w:pPr>
      <w:r>
        <w:rPr>
          <w:rFonts w:ascii="Arial" w:cs="Arial" w:eastAsia="Arial" w:hAnsi="Arial"/>
          <w:sz w:val="22"/>
          <w:szCs w:val="22"/>
        </w:rPr>
        <w:t xml:space="preserve">Sub-processor approval requirements</w:t>
      </w:r>
    </w:p>
    <w:p>
      <w:pPr>
        <w:pStyle w:val="ListParagraph"/>
        <w:numPr>
          <w:ilvl w:val="0"/>
          <w:numId w:val="2"/>
        </w:numPr>
      </w:pPr>
      <w:r>
        <w:rPr>
          <w:rFonts w:ascii="Arial" w:cs="Arial" w:eastAsia="Arial" w:hAnsi="Arial"/>
          <w:sz w:val="22"/>
          <w:szCs w:val="22"/>
        </w:rPr>
        <w:t xml:space="preserve">Data subject rights assistance</w:t>
      </w:r>
    </w:p>
    <w:p>
      <w:pPr>
        <w:pStyle w:val="ListParagraph"/>
        <w:numPr>
          <w:ilvl w:val="0"/>
          <w:numId w:val="2"/>
        </w:numPr>
      </w:pPr>
      <w:r>
        <w:rPr>
          <w:rFonts w:ascii="Arial" w:cs="Arial" w:eastAsia="Arial" w:hAnsi="Arial"/>
          <w:sz w:val="22"/>
          <w:szCs w:val="22"/>
        </w:rPr>
        <w:t xml:space="preserve">Breach notification within 24 hours</w:t>
      </w:r>
    </w:p>
    <w:p>
      <w:pPr>
        <w:pStyle w:val="ListParagraph"/>
        <w:numPr>
          <w:ilvl w:val="0"/>
          <w:numId w:val="2"/>
        </w:numPr>
      </w:pPr>
      <w:r>
        <w:rPr>
          <w:rFonts w:ascii="Arial" w:cs="Arial" w:eastAsia="Arial" w:hAnsi="Arial"/>
          <w:sz w:val="22"/>
          <w:szCs w:val="22"/>
        </w:rPr>
        <w:t xml:space="preserve">Audit rights for controller</w:t>
      </w:r>
    </w:p>
    <w:p>
      <w:pPr>
        <w:pStyle w:val="ListParagraph"/>
        <w:numPr>
          <w:ilvl w:val="0"/>
          <w:numId w:val="2"/>
        </w:numPr>
      </w:pPr>
      <w:r>
        <w:rPr>
          <w:rFonts w:ascii="Arial" w:cs="Arial" w:eastAsia="Arial" w:hAnsi="Arial"/>
          <w:sz w:val="22"/>
          <w:szCs w:val="22"/>
        </w:rPr>
        <w:t xml:space="preserve">Data return/deletion on contract termination</w:t>
      </w:r>
    </w:p>
    <w:p>
      <w:r>
        <w:br w:type="page"/>
      </w:r>
    </w:p>
    <w:p>
      <w:pPr>
        <w:pStyle w:val="Heading1"/>
        <w:spacing w:before="400" w:after="200"/>
      </w:pPr>
      <w:r>
        <w:rPr>
          <w:rFonts w:ascii="Arial" w:cs="Arial" w:eastAsia="Arial" w:hAnsi="Arial"/>
          <w:b/>
          <w:bCs/>
          <w:sz w:val="32"/>
          <w:szCs w:val="32"/>
        </w:rPr>
        <w:t xml:space="preserve">5. Necessity and Proportionality Assessment</w:t>
      </w:r>
    </w:p>
    <w:p>
      <w:pPr>
        <w:pStyle w:val="Heading2"/>
        <w:spacing w:before="300" w:after="150"/>
      </w:pPr>
      <w:r>
        <w:rPr>
          <w:rFonts w:ascii="Arial" w:cs="Arial" w:eastAsia="Arial" w:hAnsi="Arial"/>
          <w:b/>
          <w:bCs/>
          <w:sz w:val="26"/>
          <w:szCs w:val="26"/>
        </w:rPr>
        <w:t xml:space="preserve">5.1 Processing Necessity</w:t>
      </w:r>
    </w:p>
    <w:p>
      <w:pPr>
        <w:spacing w:after="120"/>
      </w:pPr>
      <w:r>
        <w:rPr>
          <w:rFonts w:ascii="Arial" w:cs="Arial" w:eastAsia="Arial" w:hAnsi="Arial"/>
          <w:sz w:val="22"/>
          <w:szCs w:val="22"/>
        </w:rPr>
        <w:t xml:space="preserve">The processing of patient data through GP Notewell AI is necessary because:</w:t>
      </w:r>
    </w:p>
    <w:p>
      <w:pPr>
        <w:pStyle w:val="Heading3"/>
        <w:spacing w:before="200" w:after="100"/>
      </w:pPr>
      <w:r>
        <w:rPr>
          <w:rFonts w:ascii="Arial" w:cs="Arial" w:eastAsia="Arial" w:hAnsi="Arial"/>
          <w:b/>
          <w:bCs/>
          <w:sz w:val="24"/>
          <w:szCs w:val="24"/>
        </w:rPr>
        <w:t xml:space="preserve">5.1.1 Clinical Documentation Requirements</w:t>
      </w:r>
    </w:p>
    <w:p>
      <w:pPr>
        <w:pStyle w:val="ListParagraph"/>
        <w:numPr>
          <w:ilvl w:val="0"/>
          <w:numId w:val="2"/>
        </w:numPr>
      </w:pPr>
      <w:r>
        <w:rPr>
          <w:rFonts w:ascii="Arial" w:cs="Arial" w:eastAsia="Arial" w:hAnsi="Arial"/>
          <w:sz w:val="22"/>
          <w:szCs w:val="22"/>
        </w:rPr>
        <w:t xml:space="preserve">GMS/PMS contract obligations require comprehensive clinical record-keeping</w:t>
      </w:r>
    </w:p>
    <w:p>
      <w:pPr>
        <w:pStyle w:val="ListParagraph"/>
        <w:numPr>
          <w:ilvl w:val="0"/>
          <w:numId w:val="2"/>
        </w:numPr>
      </w:pPr>
      <w:r>
        <w:rPr>
          <w:rFonts w:ascii="Arial" w:cs="Arial" w:eastAsia="Arial" w:hAnsi="Arial"/>
          <w:sz w:val="22"/>
          <w:szCs w:val="22"/>
        </w:rPr>
        <w:t xml:space="preserve">CQC Regulation 17 mandates accurate, complete, and contemporaneous records</w:t>
      </w:r>
    </w:p>
    <w:p>
      <w:pPr>
        <w:pStyle w:val="ListParagraph"/>
        <w:numPr>
          <w:ilvl w:val="0"/>
          <w:numId w:val="2"/>
        </w:numPr>
      </w:pPr>
      <w:r>
        <w:rPr>
          <w:rFonts w:ascii="Arial" w:cs="Arial" w:eastAsia="Arial" w:hAnsi="Arial"/>
          <w:sz w:val="22"/>
          <w:szCs w:val="22"/>
        </w:rPr>
        <w:t xml:space="preserve">GMC guidance requires adequate clinical documentation for patient safety</w:t>
      </w:r>
    </w:p>
    <w:p>
      <w:pPr>
        <w:pStyle w:val="ListParagraph"/>
        <w:numPr>
          <w:ilvl w:val="0"/>
          <w:numId w:val="2"/>
        </w:numPr>
      </w:pPr>
      <w:r>
        <w:rPr>
          <w:rFonts w:ascii="Arial" w:cs="Arial" w:eastAsia="Arial" w:hAnsi="Arial"/>
          <w:sz w:val="22"/>
          <w:szCs w:val="22"/>
        </w:rPr>
        <w:t xml:space="preserve">QOF achievement depends on accurate clinical coding</w:t>
      </w:r>
    </w:p>
    <w:p>
      <w:pPr>
        <w:pStyle w:val="Heading3"/>
        <w:spacing w:before="200" w:after="100"/>
      </w:pPr>
      <w:r>
        <w:rPr>
          <w:rFonts w:ascii="Arial" w:cs="Arial" w:eastAsia="Arial" w:hAnsi="Arial"/>
          <w:b/>
          <w:bCs/>
          <w:sz w:val="24"/>
          <w:szCs w:val="24"/>
        </w:rPr>
        <w:t xml:space="preserve">5.1.2 Benefits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Benefit Category</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Quantifiable Impact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Savings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Reduced documentation time per consultation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 2-5 minutes saved per consultation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Accuracy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Consistent clinical coding and terminology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Improved QOF coding accuracy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Patient Safety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Comprehensive records reduce information gaps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Reduced clinical incidents from incomplete records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Clinician Wellbeing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Reduced administrative burden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Decreased burnout risk factors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 Coordination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Structured MDT documentation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Improved handover quality</w:t>
            </w:r>
          </w:p>
        </w:tc>
      </w:tr>
    </w:tbl>
    <w:p>
      <w:pPr>
        <w:pStyle w:val="Heading2"/>
        <w:spacing w:before="300" w:after="150"/>
      </w:pPr>
      <w:r>
        <w:rPr>
          <w:rFonts w:ascii="Arial" w:cs="Arial" w:eastAsia="Arial" w:hAnsi="Arial"/>
          <w:b/>
          <w:bCs/>
          <w:sz w:val="26"/>
          <w:szCs w:val="26"/>
        </w:rPr>
        <w:t xml:space="preserve">5.2 Proportionality Assessment</w:t>
      </w:r>
    </w:p>
    <w:p>
      <w:pPr>
        <w:pStyle w:val="Heading3"/>
        <w:spacing w:before="200" w:after="100"/>
      </w:pPr>
      <w:r>
        <w:rPr>
          <w:rFonts w:ascii="Arial" w:cs="Arial" w:eastAsia="Arial" w:hAnsi="Arial"/>
          <w:b/>
          <w:bCs/>
          <w:sz w:val="24"/>
          <w:szCs w:val="24"/>
        </w:rPr>
        <w:t xml:space="preserve">5.2.1 Data Minimisation</w:t>
      </w:r>
    </w:p>
    <w:p>
      <w:pPr>
        <w:spacing w:after="120"/>
      </w:pPr>
      <w:r>
        <w:rPr>
          <w:rFonts w:ascii="Arial" w:cs="Arial" w:eastAsia="Arial" w:hAnsi="Arial"/>
          <w:sz w:val="22"/>
          <w:szCs w:val="22"/>
        </w:rPr>
        <w:t xml:space="preserve">GP Notewell AI implements data minimisation through:</w:t>
      </w:r>
    </w:p>
    <w:p>
      <w:pPr>
        <w:pStyle w:val="ListParagraph"/>
        <w:numPr>
          <w:ilvl w:val="0"/>
          <w:numId w:val="2"/>
        </w:numPr>
      </w:pPr>
      <w:r>
        <w:rPr>
          <w:rFonts w:ascii="Arial" w:cs="Arial" w:eastAsia="Arial" w:hAnsi="Arial"/>
          <w:sz w:val="22"/>
          <w:szCs w:val="22"/>
        </w:rPr>
        <w:t xml:space="preserve">Audio recordings deleted immediately after transcription (not retained)</w:t>
      </w:r>
    </w:p>
    <w:p>
      <w:pPr>
        <w:pStyle w:val="ListParagraph"/>
        <w:numPr>
          <w:ilvl w:val="0"/>
          <w:numId w:val="2"/>
        </w:numPr>
      </w:pPr>
      <w:r>
        <w:rPr>
          <w:rFonts w:ascii="Arial" w:cs="Arial" w:eastAsia="Arial" w:hAnsi="Arial"/>
          <w:sz w:val="22"/>
          <w:szCs w:val="22"/>
        </w:rPr>
        <w:t xml:space="preserve">Zero-retention policies with AI sub-processors (no data used for training)</w:t>
      </w:r>
    </w:p>
    <w:p>
      <w:pPr>
        <w:pStyle w:val="ListParagraph"/>
        <w:numPr>
          <w:ilvl w:val="0"/>
          <w:numId w:val="2"/>
        </w:numPr>
      </w:pPr>
      <w:r>
        <w:rPr>
          <w:rFonts w:ascii="Arial" w:cs="Arial" w:eastAsia="Arial" w:hAnsi="Arial"/>
          <w:sz w:val="22"/>
          <w:szCs w:val="22"/>
        </w:rPr>
        <w:t xml:space="preserve">Only clinically relevant data extracted and retained</w:t>
      </w:r>
    </w:p>
    <w:p>
      <w:pPr>
        <w:pStyle w:val="ListParagraph"/>
        <w:numPr>
          <w:ilvl w:val="0"/>
          <w:numId w:val="2"/>
        </w:numPr>
      </w:pPr>
      <w:r>
        <w:rPr>
          <w:rFonts w:ascii="Arial" w:cs="Arial" w:eastAsia="Arial" w:hAnsi="Arial"/>
          <w:sz w:val="22"/>
          <w:szCs w:val="22"/>
        </w:rPr>
        <w:t xml:space="preserve">Patient data not shared beyond immediate care team</w:t>
      </w:r>
    </w:p>
    <w:p>
      <w:pPr>
        <w:pStyle w:val="Heading3"/>
        <w:spacing w:before="200" w:after="100"/>
      </w:pPr>
      <w:r>
        <w:rPr>
          <w:rFonts w:ascii="Arial" w:cs="Arial" w:eastAsia="Arial" w:hAnsi="Arial"/>
          <w:b/>
          <w:bCs/>
          <w:sz w:val="24"/>
          <w:szCs w:val="24"/>
        </w:rPr>
        <w:t xml:space="preserve">5.2.2 Alternative Approaches Considered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 Rejected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transcription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Higher risk of errors, significant time cost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Disproportionate resource requirement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AI processing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Hardware costs prohibitive, maintenance burden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viable for primary care economics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documentation support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Maintains status quo of admin burden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Does not address workforce sustainability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 recognition only (no AI)</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Limited clinical value without summarisation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Insufficient benefit to justify deployment</w:t>
            </w:r>
          </w:p>
        </w:tc>
      </w:tr>
    </w:tbl>
    <w:p>
      <w:r>
        <w:br w:type="page"/>
      </w:r>
    </w:p>
    <w:p>
      <w:pPr>
        <w:pStyle w:val="Heading1"/>
        <w:spacing w:before="400" w:after="200"/>
      </w:pPr>
      <w:r>
        <w:rPr>
          <w:rFonts w:ascii="Arial" w:cs="Arial" w:eastAsia="Arial" w:hAnsi="Arial"/>
          <w:b/>
          <w:bCs/>
          <w:sz w:val="32"/>
          <w:szCs w:val="32"/>
        </w:rPr>
        <w:t xml:space="preserve">6. Clinical Risk Assessment (DCB0160)</w:t>
      </w:r>
    </w:p>
    <w:p>
      <w:pPr>
        <w:pStyle w:val="Heading2"/>
        <w:spacing w:before="300" w:after="150"/>
      </w:pPr>
      <w:r>
        <w:rPr>
          <w:rFonts w:ascii="Arial" w:cs="Arial" w:eastAsia="Arial" w:hAnsi="Arial"/>
          <w:b/>
          <w:bCs/>
          <w:sz w:val="26"/>
          <w:szCs w:val="26"/>
        </w:rPr>
        <w:t xml:space="preserve">6.1 Risk Assessment Methodology</w:t>
      </w:r>
    </w:p>
    <w:p>
      <w:pPr>
        <w:spacing w:after="120"/>
      </w:pPr>
      <w:r>
        <w:rPr>
          <w:rFonts w:ascii="Arial" w:cs="Arial" w:eastAsia="Arial" w:hAnsi="Arial"/>
          <w:sz w:val="22"/>
          <w:szCs w:val="22"/>
        </w:rPr>
        <w:t xml:space="preserve">Clinical risks have been identified and assessed in accordance with DCB0160 methodology using a combination of:</w:t>
      </w:r>
    </w:p>
    <w:p>
      <w:pPr>
        <w:pStyle w:val="ListParagraph"/>
        <w:numPr>
          <w:ilvl w:val="0"/>
          <w:numId w:val="2"/>
        </w:numPr>
      </w:pPr>
      <w:r>
        <w:rPr>
          <w:rFonts w:ascii="Arial" w:cs="Arial" w:eastAsia="Arial" w:hAnsi="Arial"/>
          <w:sz w:val="22"/>
          <w:szCs w:val="22"/>
        </w:rPr>
        <w:t xml:space="preserve">Functional Failure Analysis (FFA) - systematic analysis of each system function</w:t>
      </w:r>
    </w:p>
    <w:p>
      <w:pPr>
        <w:pStyle w:val="ListParagraph"/>
        <w:numPr>
          <w:ilvl w:val="0"/>
          <w:numId w:val="2"/>
        </w:numPr>
      </w:pPr>
      <w:r>
        <w:rPr>
          <w:rFonts w:ascii="Arial" w:cs="Arial" w:eastAsia="Arial" w:hAnsi="Arial"/>
          <w:sz w:val="22"/>
          <w:szCs w:val="22"/>
        </w:rPr>
        <w:t xml:space="preserve">HAZID (Hazard Identification) workshops with clinical and technical stakeholders</w:t>
      </w:r>
    </w:p>
    <w:p>
      <w:pPr>
        <w:pStyle w:val="ListParagraph"/>
        <w:numPr>
          <w:ilvl w:val="0"/>
          <w:numId w:val="2"/>
        </w:numPr>
      </w:pPr>
      <w:r>
        <w:rPr>
          <w:rFonts w:ascii="Arial" w:cs="Arial" w:eastAsia="Arial" w:hAnsi="Arial"/>
          <w:sz w:val="22"/>
          <w:szCs w:val="22"/>
        </w:rPr>
        <w:t xml:space="preserve">SWIFT (Structured What-IF Technique) scenario analysis</w:t>
      </w:r>
    </w:p>
    <w:p>
      <w:pPr>
        <w:pStyle w:val="ListParagraph"/>
        <w:numPr>
          <w:ilvl w:val="0"/>
          <w:numId w:val="2"/>
        </w:numPr>
      </w:pPr>
      <w:r>
        <w:rPr>
          <w:rFonts w:ascii="Arial" w:cs="Arial" w:eastAsia="Arial" w:hAnsi="Arial"/>
          <w:sz w:val="22"/>
          <w:szCs w:val="22"/>
        </w:rPr>
        <w:t xml:space="preserve">Review of similar system incident reports and literature</w:t>
      </w:r>
    </w:p>
    <w:p>
      <w:pPr>
        <w:pStyle w:val="Heading2"/>
        <w:spacing w:before="300" w:after="150"/>
      </w:pPr>
      <w:r>
        <w:rPr>
          <w:rFonts w:ascii="Arial" w:cs="Arial" w:eastAsia="Arial" w:hAnsi="Arial"/>
          <w:b/>
          <w:bCs/>
          <w:sz w:val="26"/>
          <w:szCs w:val="26"/>
        </w:rPr>
        <w:t xml:space="preserve">6.2 Risk Classification Matrix</w:t>
      </w:r>
    </w:p>
    <w:p>
      <w:pPr>
        <w:spacing w:after="120"/>
      </w:pPr>
      <w:r>
        <w:rPr>
          <w:rFonts w:ascii="Arial" w:cs="Arial" w:eastAsia="Arial" w:hAnsi="Arial"/>
          <w:sz w:val="22"/>
          <w:szCs w:val="22"/>
        </w:rPr>
        <w:t xml:space="preserve">Risks are classified using the NHS 5x5 risk matrix as specified in DCB0129/DCB0160:</w:t>
      </w:r>
    </w:p>
    <w:p>
      <w:pPr>
        <w:pStyle w:val="Heading3"/>
        <w:spacing w:before="200" w:after="100"/>
      </w:pPr>
      <w:r>
        <w:rPr>
          <w:rFonts w:ascii="Arial" w:cs="Arial" w:eastAsia="Arial" w:hAnsi="Arial"/>
          <w:b/>
          <w:bCs/>
          <w:sz w:val="24"/>
          <w:szCs w:val="24"/>
        </w:rPr>
        <w:t xml:space="preserve">6.2.1 Severity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Catastrophic</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Death or permanent life-changing incapacity directly attributable to the system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Major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Permanent harm or long-term incapacity directly attributable to the system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Considerable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Reversible but significant harm requiring intervention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Minor injury or harm not requiring significant intervention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Negligible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Inconvenience or temporary discomfort only</w:t>
            </w:r>
          </w:p>
        </w:tc>
      </w:tr>
    </w:tbl>
    <w:p>
      <w:pPr>
        <w:pStyle w:val="Heading3"/>
        <w:spacing w:before="200" w:after="100"/>
      </w:pPr>
      <w:r>
        <w:rPr>
          <w:rFonts w:ascii="Arial" w:cs="Arial" w:eastAsia="Arial" w:hAnsi="Arial"/>
          <w:b/>
          <w:bCs/>
          <w:sz w:val="24"/>
          <w:szCs w:val="24"/>
        </w:rPr>
        <w:t xml:space="preserve">6.2.2 Likelihood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Very High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Certain or almost certain (&gt;1 in 10 chance)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Likely to occur (1 in 10 to 1 in 100)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Possible (1 in 100 to 1 in 1,000)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Unlikely (1 in 1,000 to 1 in 10,000)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Very Low</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Rare (&lt;1 in 10,000)</w:t>
            </w:r>
          </w:p>
        </w:tc>
      </w:tr>
    </w:tbl>
    <w:p>
      <w:pPr>
        <w:pStyle w:val="Heading3"/>
        <w:spacing w:before="200" w:after="100"/>
      </w:pPr>
      <w:r>
        <w:rPr>
          <w:rFonts w:ascii="Arial" w:cs="Arial" w:eastAsia="Arial" w:hAnsi="Arial"/>
          <w:b/>
          <w:bCs/>
          <w:sz w:val="24"/>
          <w:szCs w:val="24"/>
        </w:rPr>
        <w:t xml:space="preserve">6.2.3 Risk Acceptability Matrix</w:t>
      </w:r>
    </w:p>
    <w:p>
      <w:pPr>
        <w:spacing w:after="120"/>
      </w:pPr>
      <w:r>
        <w:rPr>
          <w:rFonts w:ascii="Arial" w:cs="Arial" w:eastAsia="Arial" w:hAnsi="Arial"/>
          <w:sz w:val="22"/>
          <w:szCs w:val="22"/>
        </w:rPr>
        <w:t xml:space="preserve">Risk Score = Severity x Likelihood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72"/>
        <w:gridCol w:w="1472"/>
        <w:gridCol w:w="1472"/>
        <w:gridCol w:w="1472"/>
        <w:gridCol w:w="1472"/>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Severity \ Likelihood</w:t>
            </w:r>
          </w:p>
        </w:tc>
        <w:tc>
          <w:tcPr>
            <w:tcW w:type="dxa" w:w="1472"/>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 Very Low</w:t>
            </w:r>
          </w:p>
        </w:tc>
        <w:tc>
          <w:tcPr>
            <w:tcW w:type="dxa" w:w="1472"/>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2 Low</w:t>
            </w:r>
          </w:p>
        </w:tc>
        <w:tc>
          <w:tcPr>
            <w:tcW w:type="dxa" w:w="1472"/>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3 Medium</w:t>
            </w:r>
          </w:p>
        </w:tc>
        <w:tc>
          <w:tcPr>
            <w:tcW w:type="dxa" w:w="1472"/>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4 High</w:t>
            </w:r>
          </w:p>
        </w:tc>
        <w:tc>
          <w:tcPr>
            <w:tcW w:type="dxa" w:w="1472"/>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5 Very High</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5 Catastrophic</w:t>
            </w:r>
          </w:p>
        </w:tc>
        <w:tc>
          <w:tcPr>
            <w:tcW w:type="dxa" w:w="1472"/>
            <w:tcBorders>
              <w:top w:val="single" w:color="CCCCCC" w:sz="1"/>
              <w:left w:val="single" w:color="CCCCCC" w:sz="1"/>
              <w:bottom w:val="single" w:color="CCCCCC" w:sz="1"/>
              <w:right w:val="single" w:color="CCCCCC" w:sz="1"/>
            </w:tcBorders>
            <w:shd w:fill="FFFF00" w:val="clear"/>
            <w:tcMar>
              <w:top w:type="dxa" w:w="50"/>
              <w:left w:type="dxa" w:w="80"/>
              <w:bottom w:type="dxa" w:w="50"/>
              <w:right w:type="dxa" w:w="80"/>
            </w:tcMar>
          </w:tcPr>
          <w:p>
            <w:r>
              <w:rPr>
                <w:rFonts w:ascii="Arial" w:cs="Arial" w:eastAsia="Arial" w:hAnsi="Arial"/>
                <w:sz w:val="18"/>
                <w:szCs w:val="18"/>
              </w:rPr>
              <w:t xml:space="preserve">5</w:t>
            </w:r>
          </w:p>
        </w:tc>
        <w:tc>
          <w:tcPr>
            <w:tcW w:type="dxa" w:w="1472"/>
            <w:tcBorders>
              <w:top w:val="single" w:color="CCCCCC" w:sz="1"/>
              <w:left w:val="single" w:color="CCCCCC" w:sz="1"/>
              <w:bottom w:val="single" w:color="CCCCCC" w:sz="1"/>
              <w:right w:val="single" w:color="CCCCCC" w:sz="1"/>
            </w:tcBorders>
            <w:shd w:fill="FFA500" w:val="clear"/>
            <w:tcMar>
              <w:top w:type="dxa" w:w="50"/>
              <w:left w:type="dxa" w:w="80"/>
              <w:bottom w:type="dxa" w:w="50"/>
              <w:right w:type="dxa" w:w="80"/>
            </w:tcMar>
          </w:tcPr>
          <w:p>
            <w:r>
              <w:rPr>
                <w:rFonts w:ascii="Arial" w:cs="Arial" w:eastAsia="Arial" w:hAnsi="Arial"/>
                <w:sz w:val="18"/>
                <w:szCs w:val="18"/>
              </w:rPr>
              <w:t xml:space="preserve">10</w:t>
            </w:r>
          </w:p>
        </w:tc>
        <w:tc>
          <w:tcPr>
            <w:tcW w:type="dxa" w:w="1472"/>
            <w:tcBorders>
              <w:top w:val="single" w:color="CCCCCC" w:sz="1"/>
              <w:left w:val="single" w:color="CCCCCC" w:sz="1"/>
              <w:bottom w:val="single" w:color="CCCCCC" w:sz="1"/>
              <w:right w:val="single" w:color="CCCCCC" w:sz="1"/>
            </w:tcBorders>
            <w:shd w:fill="FF6600" w:val="clear"/>
            <w:tcMar>
              <w:top w:type="dxa" w:w="50"/>
              <w:left w:type="dxa" w:w="80"/>
              <w:bottom w:type="dxa" w:w="50"/>
              <w:right w:type="dxa" w:w="80"/>
            </w:tcMar>
          </w:tcPr>
          <w:p>
            <w:r>
              <w:rPr>
                <w:rFonts w:ascii="Arial" w:cs="Arial" w:eastAsia="Arial" w:hAnsi="Arial"/>
                <w:sz w:val="18"/>
                <w:szCs w:val="18"/>
              </w:rPr>
              <w:t xml:space="preserve">15</w:t>
            </w:r>
          </w:p>
        </w:tc>
        <w:tc>
          <w:tcPr>
            <w:tcW w:type="dxa" w:w="1472"/>
            <w:tcBorders>
              <w:top w:val="single" w:color="CCCCCC" w:sz="1"/>
              <w:left w:val="single" w:color="CCCCCC" w:sz="1"/>
              <w:bottom w:val="single" w:color="CCCCCC" w:sz="1"/>
              <w:right w:val="single" w:color="CCCCCC" w:sz="1"/>
            </w:tcBorders>
            <w:shd w:fill="FF0000" w:val="clear"/>
            <w:tcMar>
              <w:top w:type="dxa" w:w="50"/>
              <w:left w:type="dxa" w:w="80"/>
              <w:bottom w:type="dxa" w:w="50"/>
              <w:right w:type="dxa" w:w="80"/>
            </w:tcMar>
          </w:tcPr>
          <w:p>
            <w:r>
              <w:rPr>
                <w:rFonts w:ascii="Arial" w:cs="Arial" w:eastAsia="Arial" w:hAnsi="Arial"/>
                <w:sz w:val="18"/>
                <w:szCs w:val="18"/>
              </w:rPr>
              <w:t xml:space="preserve">20</w:t>
            </w:r>
          </w:p>
        </w:tc>
        <w:tc>
          <w:tcPr>
            <w:tcW w:type="dxa" w:w="1472"/>
            <w:tcBorders>
              <w:top w:val="single" w:color="CCCCCC" w:sz="1"/>
              <w:left w:val="single" w:color="CCCCCC" w:sz="1"/>
              <w:bottom w:val="single" w:color="CCCCCC" w:sz="1"/>
              <w:right w:val="single" w:color="CCCCCC" w:sz="1"/>
            </w:tcBorders>
            <w:shd w:fill="FF0000" w:val="clear"/>
            <w:tcMar>
              <w:top w:type="dxa" w:w="50"/>
              <w:left w:type="dxa" w:w="80"/>
              <w:bottom w:type="dxa" w:w="50"/>
              <w:right w:type="dxa" w:w="80"/>
            </w:tcMar>
          </w:tcPr>
          <w:p>
            <w:r>
              <w:rPr>
                <w:rFonts w:ascii="Arial" w:cs="Arial" w:eastAsia="Arial" w:hAnsi="Arial"/>
                <w:sz w:val="18"/>
                <w:szCs w:val="18"/>
              </w:rPr>
              <w:t xml:space="preserve">25</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4 Major</w:t>
            </w:r>
          </w:p>
        </w:tc>
        <w:tc>
          <w:tcPr>
            <w:tcW w:type="dxa" w:w="1472"/>
            <w:tcBorders>
              <w:top w:val="single" w:color="CCCCCC" w:sz="1"/>
              <w:left w:val="single" w:color="CCCCCC" w:sz="1"/>
              <w:bottom w:val="single" w:color="CCCCCC" w:sz="1"/>
              <w:right w:val="single" w:color="CCCCCC" w:sz="1"/>
            </w:tcBorders>
            <w:shd w:fill="90EE90" w:val="clear"/>
            <w:tcMar>
              <w:top w:type="dxa" w:w="50"/>
              <w:left w:type="dxa" w:w="80"/>
              <w:bottom w:type="dxa" w:w="50"/>
              <w:right w:type="dxa" w:w="80"/>
            </w:tcMar>
          </w:tcPr>
          <w:p>
            <w:r>
              <w:rPr>
                <w:rFonts w:ascii="Arial" w:cs="Arial" w:eastAsia="Arial" w:hAnsi="Arial"/>
                <w:sz w:val="18"/>
                <w:szCs w:val="18"/>
              </w:rPr>
              <w:t xml:space="preserve">4</w:t>
            </w:r>
          </w:p>
        </w:tc>
        <w:tc>
          <w:tcPr>
            <w:tcW w:type="dxa" w:w="1472"/>
            <w:tcBorders>
              <w:top w:val="single" w:color="CCCCCC" w:sz="1"/>
              <w:left w:val="single" w:color="CCCCCC" w:sz="1"/>
              <w:bottom w:val="single" w:color="CCCCCC" w:sz="1"/>
              <w:right w:val="single" w:color="CCCCCC" w:sz="1"/>
            </w:tcBorders>
            <w:shd w:fill="FFFF00" w:val="clear"/>
            <w:tcMar>
              <w:top w:type="dxa" w:w="50"/>
              <w:left w:type="dxa" w:w="80"/>
              <w:bottom w:type="dxa" w:w="50"/>
              <w:right w:type="dxa" w:w="80"/>
            </w:tcMar>
          </w:tcPr>
          <w:p>
            <w:r>
              <w:rPr>
                <w:rFonts w:ascii="Arial" w:cs="Arial" w:eastAsia="Arial" w:hAnsi="Arial"/>
                <w:sz w:val="18"/>
                <w:szCs w:val="18"/>
              </w:rPr>
              <w:t xml:space="preserve">8</w:t>
            </w:r>
          </w:p>
        </w:tc>
        <w:tc>
          <w:tcPr>
            <w:tcW w:type="dxa" w:w="1472"/>
            <w:tcBorders>
              <w:top w:val="single" w:color="CCCCCC" w:sz="1"/>
              <w:left w:val="single" w:color="CCCCCC" w:sz="1"/>
              <w:bottom w:val="single" w:color="CCCCCC" w:sz="1"/>
              <w:right w:val="single" w:color="CCCCCC" w:sz="1"/>
            </w:tcBorders>
            <w:shd w:fill="FFA500" w:val="clear"/>
            <w:tcMar>
              <w:top w:type="dxa" w:w="50"/>
              <w:left w:type="dxa" w:w="80"/>
              <w:bottom w:type="dxa" w:w="50"/>
              <w:right w:type="dxa" w:w="80"/>
            </w:tcMar>
          </w:tcPr>
          <w:p>
            <w:r>
              <w:rPr>
                <w:rFonts w:ascii="Arial" w:cs="Arial" w:eastAsia="Arial" w:hAnsi="Arial"/>
                <w:sz w:val="18"/>
                <w:szCs w:val="18"/>
              </w:rPr>
              <w:t xml:space="preserve">12</w:t>
            </w:r>
          </w:p>
        </w:tc>
        <w:tc>
          <w:tcPr>
            <w:tcW w:type="dxa" w:w="1472"/>
            <w:tcBorders>
              <w:top w:val="single" w:color="CCCCCC" w:sz="1"/>
              <w:left w:val="single" w:color="CCCCCC" w:sz="1"/>
              <w:bottom w:val="single" w:color="CCCCCC" w:sz="1"/>
              <w:right w:val="single" w:color="CCCCCC" w:sz="1"/>
            </w:tcBorders>
            <w:shd w:fill="FF6600" w:val="clear"/>
            <w:tcMar>
              <w:top w:type="dxa" w:w="50"/>
              <w:left w:type="dxa" w:w="80"/>
              <w:bottom w:type="dxa" w:w="50"/>
              <w:right w:type="dxa" w:w="80"/>
            </w:tcMar>
          </w:tcPr>
          <w:p>
            <w:r>
              <w:rPr>
                <w:rFonts w:ascii="Arial" w:cs="Arial" w:eastAsia="Arial" w:hAnsi="Arial"/>
                <w:sz w:val="18"/>
                <w:szCs w:val="18"/>
              </w:rPr>
              <w:t xml:space="preserve">16</w:t>
            </w:r>
          </w:p>
        </w:tc>
        <w:tc>
          <w:tcPr>
            <w:tcW w:type="dxa" w:w="1472"/>
            <w:tcBorders>
              <w:top w:val="single" w:color="CCCCCC" w:sz="1"/>
              <w:left w:val="single" w:color="CCCCCC" w:sz="1"/>
              <w:bottom w:val="single" w:color="CCCCCC" w:sz="1"/>
              <w:right w:val="single" w:color="CCCCCC" w:sz="1"/>
            </w:tcBorders>
            <w:shd w:fill="FF0000" w:val="clear"/>
            <w:tcMar>
              <w:top w:type="dxa" w:w="50"/>
              <w:left w:type="dxa" w:w="80"/>
              <w:bottom w:type="dxa" w:w="50"/>
              <w:right w:type="dxa" w:w="80"/>
            </w:tcMar>
          </w:tcPr>
          <w:p>
            <w:r>
              <w:rPr>
                <w:rFonts w:ascii="Arial" w:cs="Arial" w:eastAsia="Arial" w:hAnsi="Arial"/>
                <w:sz w:val="18"/>
                <w:szCs w:val="18"/>
              </w:rPr>
              <w:t xml:space="preserve">20</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3 Considerable</w:t>
            </w:r>
          </w:p>
        </w:tc>
        <w:tc>
          <w:tcPr>
            <w:tcW w:type="dxa" w:w="1472"/>
            <w:tcBorders>
              <w:top w:val="single" w:color="CCCCCC" w:sz="1"/>
              <w:left w:val="single" w:color="CCCCCC" w:sz="1"/>
              <w:bottom w:val="single" w:color="CCCCCC" w:sz="1"/>
              <w:right w:val="single" w:color="CCCCCC" w:sz="1"/>
            </w:tcBorders>
            <w:shd w:fill="90EE90" w:val="clear"/>
            <w:tcMar>
              <w:top w:type="dxa" w:w="50"/>
              <w:left w:type="dxa" w:w="80"/>
              <w:bottom w:type="dxa" w:w="50"/>
              <w:right w:type="dxa" w:w="80"/>
            </w:tcMar>
          </w:tcPr>
          <w:p>
            <w:r>
              <w:rPr>
                <w:rFonts w:ascii="Arial" w:cs="Arial" w:eastAsia="Arial" w:hAnsi="Arial"/>
                <w:sz w:val="18"/>
                <w:szCs w:val="18"/>
              </w:rPr>
              <w:t xml:space="preserve">3</w:t>
            </w:r>
          </w:p>
        </w:tc>
        <w:tc>
          <w:tcPr>
            <w:tcW w:type="dxa" w:w="1472"/>
            <w:tcBorders>
              <w:top w:val="single" w:color="CCCCCC" w:sz="1"/>
              <w:left w:val="single" w:color="CCCCCC" w:sz="1"/>
              <w:bottom w:val="single" w:color="CCCCCC" w:sz="1"/>
              <w:right w:val="single" w:color="CCCCCC" w:sz="1"/>
            </w:tcBorders>
            <w:shd w:fill="FFFF00" w:val="clear"/>
            <w:tcMar>
              <w:top w:type="dxa" w:w="50"/>
              <w:left w:type="dxa" w:w="80"/>
              <w:bottom w:type="dxa" w:w="50"/>
              <w:right w:type="dxa" w:w="80"/>
            </w:tcMar>
          </w:tcPr>
          <w:p>
            <w:r>
              <w:rPr>
                <w:rFonts w:ascii="Arial" w:cs="Arial" w:eastAsia="Arial" w:hAnsi="Arial"/>
                <w:sz w:val="18"/>
                <w:szCs w:val="18"/>
              </w:rPr>
              <w:t xml:space="preserve">6</w:t>
            </w:r>
          </w:p>
        </w:tc>
        <w:tc>
          <w:tcPr>
            <w:tcW w:type="dxa" w:w="1472"/>
            <w:tcBorders>
              <w:top w:val="single" w:color="CCCCCC" w:sz="1"/>
              <w:left w:val="single" w:color="CCCCCC" w:sz="1"/>
              <w:bottom w:val="single" w:color="CCCCCC" w:sz="1"/>
              <w:right w:val="single" w:color="CCCCCC" w:sz="1"/>
            </w:tcBorders>
            <w:shd w:fill="FFFF00" w:val="clear"/>
            <w:tcMar>
              <w:top w:type="dxa" w:w="50"/>
              <w:left w:type="dxa" w:w="80"/>
              <w:bottom w:type="dxa" w:w="50"/>
              <w:right w:type="dxa" w:w="80"/>
            </w:tcMar>
          </w:tcPr>
          <w:p>
            <w:r>
              <w:rPr>
                <w:rFonts w:ascii="Arial" w:cs="Arial" w:eastAsia="Arial" w:hAnsi="Arial"/>
                <w:sz w:val="18"/>
                <w:szCs w:val="18"/>
              </w:rPr>
              <w:t xml:space="preserve">9</w:t>
            </w:r>
          </w:p>
        </w:tc>
        <w:tc>
          <w:tcPr>
            <w:tcW w:type="dxa" w:w="1472"/>
            <w:tcBorders>
              <w:top w:val="single" w:color="CCCCCC" w:sz="1"/>
              <w:left w:val="single" w:color="CCCCCC" w:sz="1"/>
              <w:bottom w:val="single" w:color="CCCCCC" w:sz="1"/>
              <w:right w:val="single" w:color="CCCCCC" w:sz="1"/>
            </w:tcBorders>
            <w:shd w:fill="FFA500" w:val="clear"/>
            <w:tcMar>
              <w:top w:type="dxa" w:w="50"/>
              <w:left w:type="dxa" w:w="80"/>
              <w:bottom w:type="dxa" w:w="50"/>
              <w:right w:type="dxa" w:w="80"/>
            </w:tcMar>
          </w:tcPr>
          <w:p>
            <w:r>
              <w:rPr>
                <w:rFonts w:ascii="Arial" w:cs="Arial" w:eastAsia="Arial" w:hAnsi="Arial"/>
                <w:sz w:val="18"/>
                <w:szCs w:val="18"/>
              </w:rPr>
              <w:t xml:space="preserve">12</w:t>
            </w:r>
          </w:p>
        </w:tc>
        <w:tc>
          <w:tcPr>
            <w:tcW w:type="dxa" w:w="1472"/>
            <w:tcBorders>
              <w:top w:val="single" w:color="CCCCCC" w:sz="1"/>
              <w:left w:val="single" w:color="CCCCCC" w:sz="1"/>
              <w:bottom w:val="single" w:color="CCCCCC" w:sz="1"/>
              <w:right w:val="single" w:color="CCCCCC" w:sz="1"/>
            </w:tcBorders>
            <w:shd w:fill="FF6600" w:val="clear"/>
            <w:tcMar>
              <w:top w:type="dxa" w:w="50"/>
              <w:left w:type="dxa" w:w="80"/>
              <w:bottom w:type="dxa" w:w="50"/>
              <w:right w:type="dxa" w:w="80"/>
            </w:tcMar>
          </w:tcPr>
          <w:p>
            <w:r>
              <w:rPr>
                <w:rFonts w:ascii="Arial" w:cs="Arial" w:eastAsia="Arial" w:hAnsi="Arial"/>
                <w:sz w:val="18"/>
                <w:szCs w:val="18"/>
              </w:rPr>
              <w:t xml:space="preserve">15</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2 Minor</w:t>
            </w:r>
          </w:p>
        </w:tc>
        <w:tc>
          <w:tcPr>
            <w:tcW w:type="dxa" w:w="1472"/>
            <w:tcBorders>
              <w:top w:val="single" w:color="CCCCCC" w:sz="1"/>
              <w:left w:val="single" w:color="CCCCCC" w:sz="1"/>
              <w:bottom w:val="single" w:color="CCCCCC" w:sz="1"/>
              <w:right w:val="single" w:color="CCCCCC" w:sz="1"/>
            </w:tcBorders>
            <w:shd w:fill="90EE90" w:val="clear"/>
            <w:tcMar>
              <w:top w:type="dxa" w:w="50"/>
              <w:left w:type="dxa" w:w="80"/>
              <w:bottom w:type="dxa" w:w="50"/>
              <w:right w:type="dxa" w:w="80"/>
            </w:tcMar>
          </w:tcPr>
          <w:p>
            <w:r>
              <w:rPr>
                <w:rFonts w:ascii="Arial" w:cs="Arial" w:eastAsia="Arial" w:hAnsi="Arial"/>
                <w:sz w:val="18"/>
                <w:szCs w:val="18"/>
              </w:rPr>
              <w:t xml:space="preserve">2</w:t>
            </w:r>
          </w:p>
        </w:tc>
        <w:tc>
          <w:tcPr>
            <w:tcW w:type="dxa" w:w="1472"/>
            <w:tcBorders>
              <w:top w:val="single" w:color="CCCCCC" w:sz="1"/>
              <w:left w:val="single" w:color="CCCCCC" w:sz="1"/>
              <w:bottom w:val="single" w:color="CCCCCC" w:sz="1"/>
              <w:right w:val="single" w:color="CCCCCC" w:sz="1"/>
            </w:tcBorders>
            <w:shd w:fill="90EE90" w:val="clear"/>
            <w:tcMar>
              <w:top w:type="dxa" w:w="50"/>
              <w:left w:type="dxa" w:w="80"/>
              <w:bottom w:type="dxa" w:w="50"/>
              <w:right w:type="dxa" w:w="80"/>
            </w:tcMar>
          </w:tcPr>
          <w:p>
            <w:r>
              <w:rPr>
                <w:rFonts w:ascii="Arial" w:cs="Arial" w:eastAsia="Arial" w:hAnsi="Arial"/>
                <w:sz w:val="18"/>
                <w:szCs w:val="18"/>
              </w:rPr>
              <w:t xml:space="preserve">4</w:t>
            </w:r>
          </w:p>
        </w:tc>
        <w:tc>
          <w:tcPr>
            <w:tcW w:type="dxa" w:w="1472"/>
            <w:tcBorders>
              <w:top w:val="single" w:color="CCCCCC" w:sz="1"/>
              <w:left w:val="single" w:color="CCCCCC" w:sz="1"/>
              <w:bottom w:val="single" w:color="CCCCCC" w:sz="1"/>
              <w:right w:val="single" w:color="CCCCCC" w:sz="1"/>
            </w:tcBorders>
            <w:shd w:fill="FFFF00" w:val="clear"/>
            <w:tcMar>
              <w:top w:type="dxa" w:w="50"/>
              <w:left w:type="dxa" w:w="80"/>
              <w:bottom w:type="dxa" w:w="50"/>
              <w:right w:type="dxa" w:w="80"/>
            </w:tcMar>
          </w:tcPr>
          <w:p>
            <w:r>
              <w:rPr>
                <w:rFonts w:ascii="Arial" w:cs="Arial" w:eastAsia="Arial" w:hAnsi="Arial"/>
                <w:sz w:val="18"/>
                <w:szCs w:val="18"/>
              </w:rPr>
              <w:t xml:space="preserve">6</w:t>
            </w:r>
          </w:p>
        </w:tc>
        <w:tc>
          <w:tcPr>
            <w:tcW w:type="dxa" w:w="1472"/>
            <w:tcBorders>
              <w:top w:val="single" w:color="CCCCCC" w:sz="1"/>
              <w:left w:val="single" w:color="CCCCCC" w:sz="1"/>
              <w:bottom w:val="single" w:color="CCCCCC" w:sz="1"/>
              <w:right w:val="single" w:color="CCCCCC" w:sz="1"/>
            </w:tcBorders>
            <w:shd w:fill="FFFF00" w:val="clear"/>
            <w:tcMar>
              <w:top w:type="dxa" w:w="50"/>
              <w:left w:type="dxa" w:w="80"/>
              <w:bottom w:type="dxa" w:w="50"/>
              <w:right w:type="dxa" w:w="80"/>
            </w:tcMar>
          </w:tcPr>
          <w:p>
            <w:r>
              <w:rPr>
                <w:rFonts w:ascii="Arial" w:cs="Arial" w:eastAsia="Arial" w:hAnsi="Arial"/>
                <w:sz w:val="18"/>
                <w:szCs w:val="18"/>
              </w:rPr>
              <w:t xml:space="preserve">8</w:t>
            </w:r>
          </w:p>
        </w:tc>
        <w:tc>
          <w:tcPr>
            <w:tcW w:type="dxa" w:w="1472"/>
            <w:tcBorders>
              <w:top w:val="single" w:color="CCCCCC" w:sz="1"/>
              <w:left w:val="single" w:color="CCCCCC" w:sz="1"/>
              <w:bottom w:val="single" w:color="CCCCCC" w:sz="1"/>
              <w:right w:val="single" w:color="CCCCCC" w:sz="1"/>
            </w:tcBorders>
            <w:shd w:fill="FFA500" w:val="clear"/>
            <w:tcMar>
              <w:top w:type="dxa" w:w="50"/>
              <w:left w:type="dxa" w:w="80"/>
              <w:bottom w:type="dxa" w:w="50"/>
              <w:right w:type="dxa" w:w="80"/>
            </w:tcMar>
          </w:tcPr>
          <w:p>
            <w:r>
              <w:rPr>
                <w:rFonts w:ascii="Arial" w:cs="Arial" w:eastAsia="Arial" w:hAnsi="Arial"/>
                <w:sz w:val="18"/>
                <w:szCs w:val="18"/>
              </w:rPr>
              <w:t xml:space="preserve">10</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1 Negligible</w:t>
            </w:r>
          </w:p>
        </w:tc>
        <w:tc>
          <w:tcPr>
            <w:tcW w:type="dxa" w:w="1472"/>
            <w:tcBorders>
              <w:top w:val="single" w:color="CCCCCC" w:sz="1"/>
              <w:left w:val="single" w:color="CCCCCC" w:sz="1"/>
              <w:bottom w:val="single" w:color="CCCCCC" w:sz="1"/>
              <w:right w:val="single" w:color="CCCCCC" w:sz="1"/>
            </w:tcBorders>
            <w:shd w:fill="90EE90" w:val="clear"/>
            <w:tcMar>
              <w:top w:type="dxa" w:w="50"/>
              <w:left w:type="dxa" w:w="80"/>
              <w:bottom w:type="dxa" w:w="50"/>
              <w:right w:type="dxa" w:w="80"/>
            </w:tcMar>
          </w:tcPr>
          <w:p>
            <w:r>
              <w:rPr>
                <w:rFonts w:ascii="Arial" w:cs="Arial" w:eastAsia="Arial" w:hAnsi="Arial"/>
                <w:sz w:val="18"/>
                <w:szCs w:val="18"/>
              </w:rPr>
              <w:t xml:space="preserve">1</w:t>
            </w:r>
          </w:p>
        </w:tc>
        <w:tc>
          <w:tcPr>
            <w:tcW w:type="dxa" w:w="1472"/>
            <w:tcBorders>
              <w:top w:val="single" w:color="CCCCCC" w:sz="1"/>
              <w:left w:val="single" w:color="CCCCCC" w:sz="1"/>
              <w:bottom w:val="single" w:color="CCCCCC" w:sz="1"/>
              <w:right w:val="single" w:color="CCCCCC" w:sz="1"/>
            </w:tcBorders>
            <w:shd w:fill="90EE90" w:val="clear"/>
            <w:tcMar>
              <w:top w:type="dxa" w:w="50"/>
              <w:left w:type="dxa" w:w="80"/>
              <w:bottom w:type="dxa" w:w="50"/>
              <w:right w:type="dxa" w:w="80"/>
            </w:tcMar>
          </w:tcPr>
          <w:p>
            <w:r>
              <w:rPr>
                <w:rFonts w:ascii="Arial" w:cs="Arial" w:eastAsia="Arial" w:hAnsi="Arial"/>
                <w:sz w:val="18"/>
                <w:szCs w:val="18"/>
              </w:rPr>
              <w:t xml:space="preserve">2</w:t>
            </w:r>
          </w:p>
        </w:tc>
        <w:tc>
          <w:tcPr>
            <w:tcW w:type="dxa" w:w="1472"/>
            <w:tcBorders>
              <w:top w:val="single" w:color="CCCCCC" w:sz="1"/>
              <w:left w:val="single" w:color="CCCCCC" w:sz="1"/>
              <w:bottom w:val="single" w:color="CCCCCC" w:sz="1"/>
              <w:right w:val="single" w:color="CCCCCC" w:sz="1"/>
            </w:tcBorders>
            <w:shd w:fill="90EE90" w:val="clear"/>
            <w:tcMar>
              <w:top w:type="dxa" w:w="50"/>
              <w:left w:type="dxa" w:w="80"/>
              <w:bottom w:type="dxa" w:w="50"/>
              <w:right w:type="dxa" w:w="80"/>
            </w:tcMar>
          </w:tcPr>
          <w:p>
            <w:r>
              <w:rPr>
                <w:rFonts w:ascii="Arial" w:cs="Arial" w:eastAsia="Arial" w:hAnsi="Arial"/>
                <w:sz w:val="18"/>
                <w:szCs w:val="18"/>
              </w:rPr>
              <w:t xml:space="preserve">3</w:t>
            </w:r>
          </w:p>
        </w:tc>
        <w:tc>
          <w:tcPr>
            <w:tcW w:type="dxa" w:w="1472"/>
            <w:tcBorders>
              <w:top w:val="single" w:color="CCCCCC" w:sz="1"/>
              <w:left w:val="single" w:color="CCCCCC" w:sz="1"/>
              <w:bottom w:val="single" w:color="CCCCCC" w:sz="1"/>
              <w:right w:val="single" w:color="CCCCCC" w:sz="1"/>
            </w:tcBorders>
            <w:shd w:fill="90EE90" w:val="clear"/>
            <w:tcMar>
              <w:top w:type="dxa" w:w="50"/>
              <w:left w:type="dxa" w:w="80"/>
              <w:bottom w:type="dxa" w:w="50"/>
              <w:right w:type="dxa" w:w="80"/>
            </w:tcMar>
          </w:tcPr>
          <w:p>
            <w:r>
              <w:rPr>
                <w:rFonts w:ascii="Arial" w:cs="Arial" w:eastAsia="Arial" w:hAnsi="Arial"/>
                <w:sz w:val="18"/>
                <w:szCs w:val="18"/>
              </w:rPr>
              <w:t xml:space="preserve">4</w:t>
            </w:r>
          </w:p>
        </w:tc>
        <w:tc>
          <w:tcPr>
            <w:tcW w:type="dxa" w:w="1472"/>
            <w:tcBorders>
              <w:top w:val="single" w:color="CCCCCC" w:sz="1"/>
              <w:left w:val="single" w:color="CCCCCC" w:sz="1"/>
              <w:bottom w:val="single" w:color="CCCCCC" w:sz="1"/>
              <w:right w:val="single" w:color="CCCCCC" w:sz="1"/>
            </w:tcBorders>
            <w:shd w:fill="FFFF00" w:val="clear"/>
            <w:tcMar>
              <w:top w:type="dxa" w:w="50"/>
              <w:left w:type="dxa" w:w="80"/>
              <w:bottom w:type="dxa" w:w="50"/>
              <w:right w:type="dxa" w:w="80"/>
            </w:tcMar>
          </w:tcPr>
          <w:p>
            <w:r>
              <w:rPr>
                <w:rFonts w:ascii="Arial" w:cs="Arial" w:eastAsia="Arial" w:hAnsi="Arial"/>
                <w:sz w:val="18"/>
                <w:szCs w:val="18"/>
              </w:rPr>
              <w:t xml:space="preserve">5</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Acceptability</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Acceptable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 and review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Tolerable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ALARP - reduce where practicable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Undesirable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Mandatory risk reduction required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Unacceptable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Immediate action - do not deploy without mitigation</w:t>
            </w:r>
          </w:p>
        </w:tc>
      </w:tr>
    </w:tbl>
    <w:p>
      <w:r>
        <w:br w:type="page"/>
      </w:r>
    </w:p>
    <w:p>
      <w:pPr>
        <w:pStyle w:val="Heading1"/>
        <w:spacing w:before="400" w:after="200"/>
      </w:pPr>
      <w:r>
        <w:rPr>
          <w:rFonts w:ascii="Arial" w:cs="Arial" w:eastAsia="Arial" w:hAnsi="Arial"/>
          <w:b/>
          <w:bCs/>
          <w:sz w:val="32"/>
          <w:szCs w:val="32"/>
        </w:rPr>
        <w:t xml:space="preserve">7. Clinical Safety Hazard Log Summary</w:t>
      </w:r>
    </w:p>
    <w:p>
      <w:pPr>
        <w:pStyle w:val="Heading2"/>
        <w:spacing w:before="300" w:after="150"/>
      </w:pPr>
      <w:r>
        <w:rPr>
          <w:rFonts w:ascii="Arial" w:cs="Arial" w:eastAsia="Arial" w:hAnsi="Arial"/>
          <w:b/>
          <w:bCs/>
          <w:sz w:val="26"/>
          <w:szCs w:val="26"/>
        </w:rPr>
        <w:t xml:space="preserve">7.1 Hazard Overview</w:t>
      </w:r>
    </w:p>
    <w:p>
      <w:pPr>
        <w:spacing w:after="120"/>
      </w:pPr>
      <w:r>
        <w:rPr>
          <w:rFonts w:ascii="Arial" w:cs="Arial" w:eastAsia="Arial" w:hAnsi="Arial"/>
          <w:sz w:val="22"/>
          <w:szCs w:val="22"/>
        </w:rPr>
        <w:t xml:space="preserve">A total of 15 hazards have been identified through the clinical risk assessment process. The full Hazard Log is maintained as a separate controlled document (PCNS-HL-001) and is available for review by deploying organisations.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800"/>
        <w:gridCol w:w="1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Category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Initial Critical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Initial High</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Initial Medium</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Residual Distribution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AI/ML Accuracy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Medium or Low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Integrity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Medium or Low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 Availability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Low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Error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Medium or Low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Integration Failures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Medium or Low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ALARP</w:t>
            </w:r>
          </w:p>
        </w:tc>
      </w:tr>
    </w:tbl>
    <w:p>
      <w:pPr>
        <w:pStyle w:val="Heading2"/>
        <w:spacing w:before="300" w:after="150"/>
      </w:pPr>
      <w:r>
        <w:rPr>
          <w:rFonts w:ascii="Arial" w:cs="Arial" w:eastAsia="Arial" w:hAnsi="Arial"/>
          <w:b/>
          <w:bCs/>
          <w:sz w:val="26"/>
          <w:szCs w:val="26"/>
        </w:rPr>
        <w:t xml:space="preserve">7.2 Critical and High-Risk Hazards</w:t>
      </w:r>
    </w:p>
    <w:p>
      <w:pPr>
        <w:pStyle w:val="Heading3"/>
        <w:spacing w:before="200" w:after="100"/>
      </w:pPr>
      <w:r>
        <w:rPr>
          <w:rFonts w:ascii="Arial" w:cs="Arial" w:eastAsia="Arial" w:hAnsi="Arial"/>
          <w:b/>
          <w:bCs/>
          <w:sz w:val="24"/>
          <w:szCs w:val="24"/>
        </w:rPr>
        <w:t xml:space="preserve">Hazard H001: AI-Generated Clinical Content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Hazard ID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H001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generates inaccurate clinical summary or SNOMED code leading to incorrect treatment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Cause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 hallucination, training data bias, edge case scenarios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Effect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Patient receives inappropriate treatment based on incorrect AI-generated information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Severity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(Major)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Likelihood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(Medium)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Risk Score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(HIGH - Undesirable)</w:t>
            </w:r>
          </w:p>
        </w:tc>
      </w:tr>
    </w:tbl>
    <w:p>
      <w:pPr>
        <w:spacing w:before="200"/>
      </w:pPr>
    </w:p>
    <w:p>
      <w:pPr>
        <w:spacing w:after="120"/>
      </w:pPr>
      <w:r>
        <w:rPr>
          <w:rFonts w:ascii="Arial" w:cs="Arial" w:eastAsia="Arial" w:hAnsi="Arial"/>
          <w:b/>
          <w:bCs/>
          <w:sz w:val="22"/>
          <w:szCs w:val="22"/>
        </w:rPr>
        <w:t xml:space="preserve">Controls Applied:</w:t>
      </w:r>
    </w:p>
    <w:p>
      <w:pPr>
        <w:pStyle w:val="ListParagraph"/>
        <w:numPr>
          <w:ilvl w:val="0"/>
          <w:numId w:val="2"/>
        </w:numPr>
      </w:pPr>
      <w:r>
        <w:rPr>
          <w:rFonts w:ascii="Arial" w:cs="Arial" w:eastAsia="Arial" w:hAnsi="Arial"/>
          <w:sz w:val="22"/>
          <w:szCs w:val="22"/>
        </w:rPr>
        <w:t xml:space="preserve">MANDATORY Human-in-the-loop: All AI outputs require clinician review and approval before saving</w:t>
      </w:r>
    </w:p>
    <w:p>
      <w:pPr>
        <w:pStyle w:val="ListParagraph"/>
        <w:numPr>
          <w:ilvl w:val="0"/>
          <w:numId w:val="2"/>
        </w:numPr>
      </w:pPr>
      <w:r>
        <w:rPr>
          <w:rFonts w:ascii="Arial" w:cs="Arial" w:eastAsia="Arial" w:hAnsi="Arial"/>
          <w:sz w:val="22"/>
          <w:szCs w:val="22"/>
        </w:rPr>
        <w:t xml:space="preserve">Clear AI disclaimers displayed on all generated content</w:t>
      </w:r>
    </w:p>
    <w:p>
      <w:pPr>
        <w:pStyle w:val="ListParagraph"/>
        <w:numPr>
          <w:ilvl w:val="0"/>
          <w:numId w:val="2"/>
        </w:numPr>
      </w:pPr>
      <w:r>
        <w:rPr>
          <w:rFonts w:ascii="Arial" w:cs="Arial" w:eastAsia="Arial" w:hAnsi="Arial"/>
          <w:sz w:val="22"/>
          <w:szCs w:val="22"/>
        </w:rPr>
        <w:t xml:space="preserve">Confidence scoring for SNOMED code suggestions (low confidence flagged)</w:t>
      </w:r>
    </w:p>
    <w:p>
      <w:pPr>
        <w:pStyle w:val="ListParagraph"/>
        <w:numPr>
          <w:ilvl w:val="0"/>
          <w:numId w:val="2"/>
        </w:numPr>
      </w:pPr>
      <w:r>
        <w:rPr>
          <w:rFonts w:ascii="Arial" w:cs="Arial" w:eastAsia="Arial" w:hAnsi="Arial"/>
          <w:sz w:val="22"/>
          <w:szCs w:val="22"/>
        </w:rPr>
        <w:t xml:space="preserve">Audit trail of all AI suggestions vs. final approved content</w:t>
      </w:r>
    </w:p>
    <w:p>
      <w:pPr>
        <w:pStyle w:val="ListParagraph"/>
        <w:numPr>
          <w:ilvl w:val="0"/>
          <w:numId w:val="2"/>
        </w:numPr>
      </w:pPr>
      <w:r>
        <w:rPr>
          <w:rFonts w:ascii="Arial" w:cs="Arial" w:eastAsia="Arial" w:hAnsi="Arial"/>
          <w:sz w:val="22"/>
          <w:szCs w:val="22"/>
        </w:rPr>
        <w:t xml:space="preserve">Regular AI output quality audits (quarterly sample review)</w:t>
      </w:r>
    </w:p>
    <w:p>
      <w:pPr>
        <w:pStyle w:val="ListParagraph"/>
        <w:numPr>
          <w:ilvl w:val="0"/>
          <w:numId w:val="2"/>
        </w:numPr>
      </w:pPr>
      <w:r>
        <w:rPr>
          <w:rFonts w:ascii="Arial" w:cs="Arial" w:eastAsia="Arial" w:hAnsi="Arial"/>
          <w:sz w:val="22"/>
          <w:szCs w:val="22"/>
        </w:rPr>
        <w:t xml:space="preserve">User training on AI limitations and verification responsibilities</w:t>
      </w:r>
    </w:p>
    <w:p>
      <w:pPr>
        <w:spacing w:after="120"/>
      </w:pPr>
      <w:r>
        <w:rPr>
          <w:rFonts w:ascii="Arial" w:cs="Arial" w:eastAsia="Arial" w:hAnsi="Arial"/>
          <w:b/>
          <w:bCs/>
          <w:sz w:val="22"/>
          <w:szCs w:val="22"/>
        </w:rPr>
        <w:t xml:space="preserve">Residual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Residual Severity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(Major) - unchanged as potential consequence remains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Residual Likelihood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(Very Low) - human oversight significantly reduces probability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Residual Risk Score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(LOW - Acceptable)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Acceptability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Acceptable with current controls</w:t>
            </w:r>
          </w:p>
        </w:tc>
      </w:tr>
    </w:tbl>
    <w:p>
      <w:pPr>
        <w:pStyle w:val="Heading3"/>
        <w:spacing w:before="200" w:after="100"/>
      </w:pPr>
      <w:r>
        <w:rPr>
          <w:rFonts w:ascii="Arial" w:cs="Arial" w:eastAsia="Arial" w:hAnsi="Arial"/>
          <w:b/>
          <w:bCs/>
          <w:sz w:val="24"/>
          <w:szCs w:val="24"/>
        </w:rPr>
        <w:t xml:space="preserve">Hazard H002: Clinical Integration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Hazard ID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H002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Failure to write approved clinical content to EMIS/SystmOne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Cause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failure, network issues, authentication timeout, system incompatibility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Effect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information not recorded in patient record; potential information gap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Severity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(Major)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Likelihood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Risk Score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 (CRITICAL - Unacceptable)</w:t>
            </w:r>
          </w:p>
        </w:tc>
      </w:tr>
    </w:tbl>
    <w:p>
      <w:pPr>
        <w:spacing w:before="200"/>
      </w:pPr>
    </w:p>
    <w:p>
      <w:pPr>
        <w:spacing w:after="120"/>
      </w:pPr>
      <w:r>
        <w:rPr>
          <w:rFonts w:ascii="Arial" w:cs="Arial" w:eastAsia="Arial" w:hAnsi="Arial"/>
          <w:b/>
          <w:bCs/>
          <w:sz w:val="22"/>
          <w:szCs w:val="22"/>
        </w:rPr>
        <w:t xml:space="preserve">Controls Applied:</w:t>
      </w:r>
    </w:p>
    <w:p>
      <w:pPr>
        <w:pStyle w:val="ListParagraph"/>
        <w:numPr>
          <w:ilvl w:val="0"/>
          <w:numId w:val="2"/>
        </w:numPr>
      </w:pPr>
      <w:r>
        <w:rPr>
          <w:rFonts w:ascii="Arial" w:cs="Arial" w:eastAsia="Arial" w:hAnsi="Arial"/>
          <w:sz w:val="22"/>
          <w:szCs w:val="22"/>
        </w:rPr>
        <w:t xml:space="preserve">Local backup: All approved content saved to GP Notewell database before integration attempt</w:t>
      </w:r>
    </w:p>
    <w:p>
      <w:pPr>
        <w:pStyle w:val="ListParagraph"/>
        <w:numPr>
          <w:ilvl w:val="0"/>
          <w:numId w:val="2"/>
        </w:numPr>
      </w:pPr>
      <w:r>
        <w:rPr>
          <w:rFonts w:ascii="Arial" w:cs="Arial" w:eastAsia="Arial" w:hAnsi="Arial"/>
          <w:sz w:val="22"/>
          <w:szCs w:val="22"/>
        </w:rPr>
        <w:t xml:space="preserve">Integration status clearly displayed to user with success/failure indication</w:t>
      </w:r>
    </w:p>
    <w:p>
      <w:pPr>
        <w:pStyle w:val="ListParagraph"/>
        <w:numPr>
          <w:ilvl w:val="0"/>
          <w:numId w:val="2"/>
        </w:numPr>
      </w:pPr>
      <w:r>
        <w:rPr>
          <w:rFonts w:ascii="Arial" w:cs="Arial" w:eastAsia="Arial" w:hAnsi="Arial"/>
          <w:sz w:val="22"/>
          <w:szCs w:val="22"/>
        </w:rPr>
        <w:t xml:space="preserve">Automatic retry mechanism (3 attempts with exponential backoff)</w:t>
      </w:r>
    </w:p>
    <w:p>
      <w:pPr>
        <w:pStyle w:val="ListParagraph"/>
        <w:numPr>
          <w:ilvl w:val="0"/>
          <w:numId w:val="2"/>
        </w:numPr>
      </w:pPr>
      <w:r>
        <w:rPr>
          <w:rFonts w:ascii="Arial" w:cs="Arial" w:eastAsia="Arial" w:hAnsi="Arial"/>
          <w:sz w:val="22"/>
          <w:szCs w:val="22"/>
        </w:rPr>
        <w:t xml:space="preserve">Failed integration queue with manual retry functionality</w:t>
      </w:r>
    </w:p>
    <w:p>
      <w:pPr>
        <w:pStyle w:val="ListParagraph"/>
        <w:numPr>
          <w:ilvl w:val="0"/>
          <w:numId w:val="2"/>
        </w:numPr>
      </w:pPr>
      <w:r>
        <w:rPr>
          <w:rFonts w:ascii="Arial" w:cs="Arial" w:eastAsia="Arial" w:hAnsi="Arial"/>
          <w:sz w:val="22"/>
          <w:szCs w:val="22"/>
        </w:rPr>
        <w:t xml:space="preserve">Daily reconciliation report identifying any unsynced records</w:t>
      </w:r>
    </w:p>
    <w:p>
      <w:pPr>
        <w:pStyle w:val="ListParagraph"/>
        <w:numPr>
          <w:ilvl w:val="0"/>
          <w:numId w:val="2"/>
        </w:numPr>
      </w:pPr>
      <w:r>
        <w:rPr>
          <w:rFonts w:ascii="Arial" w:cs="Arial" w:eastAsia="Arial" w:hAnsi="Arial"/>
          <w:sz w:val="22"/>
          <w:szCs w:val="22"/>
        </w:rPr>
        <w:t xml:space="preserve">Copy-to-clipboard fallback allowing manual paste to clinical system</w:t>
      </w:r>
    </w:p>
    <w:p>
      <w:pPr>
        <w:spacing w:after="120"/>
      </w:pPr>
      <w:r>
        <w:rPr>
          <w:rFonts w:ascii="Arial" w:cs="Arial" w:eastAsia="Arial" w:hAnsi="Arial"/>
          <w:b/>
          <w:bCs/>
          <w:sz w:val="22"/>
          <w:szCs w:val="22"/>
        </w:rPr>
        <w:t xml:space="preserve">Residual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Residual Severity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(Considerable) - reduced as backup ensures no data loss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Residual Likelihood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(Low) - multiple retry and backup mechanisms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Residual Risk Score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(MEDIUM - Tolerable)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Acceptability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Tolerable - ALARP achieved</w:t>
            </w:r>
          </w:p>
        </w:tc>
      </w:tr>
    </w:tbl>
    <w:p>
      <w:pPr>
        <w:pStyle w:val="Heading3"/>
        <w:spacing w:before="200" w:after="100"/>
      </w:pPr>
      <w:r>
        <w:rPr>
          <w:rFonts w:ascii="Arial" w:cs="Arial" w:eastAsia="Arial" w:hAnsi="Arial"/>
          <w:b/>
          <w:bCs/>
          <w:sz w:val="24"/>
          <w:szCs w:val="24"/>
        </w:rPr>
        <w:t xml:space="preserve">Hazard H003: Transcription Accuracy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Hazard ID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H003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Speech-to-text misinterprets clinical terminology (drug names, dosages, procedures)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Cause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Accents, background noise, similar-sounding medical terms, poor audio quality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Effect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Incorrect clinical information in transcript leading to documentation errors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Severity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(Major)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Likelihood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(Medium)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Risk Score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(HIGH - Undesirable)</w:t>
            </w:r>
          </w:p>
        </w:tc>
      </w:tr>
    </w:tbl>
    <w:p>
      <w:pPr>
        <w:spacing w:before="200"/>
      </w:pPr>
    </w:p>
    <w:p>
      <w:pPr>
        <w:spacing w:after="120"/>
      </w:pPr>
      <w:r>
        <w:rPr>
          <w:rFonts w:ascii="Arial" w:cs="Arial" w:eastAsia="Arial" w:hAnsi="Arial"/>
          <w:b/>
          <w:bCs/>
          <w:sz w:val="22"/>
          <w:szCs w:val="22"/>
        </w:rPr>
        <w:t xml:space="preserve">Controls Applied:</w:t>
      </w:r>
    </w:p>
    <w:p>
      <w:pPr>
        <w:pStyle w:val="ListParagraph"/>
        <w:numPr>
          <w:ilvl w:val="0"/>
          <w:numId w:val="2"/>
        </w:numPr>
      </w:pPr>
      <w:r>
        <w:rPr>
          <w:rFonts w:ascii="Arial" w:cs="Arial" w:eastAsia="Arial" w:hAnsi="Arial"/>
          <w:sz w:val="22"/>
          <w:szCs w:val="22"/>
        </w:rPr>
        <w:t xml:space="preserve">Medical vocabulary enhancement in AssemblyAI configuration</w:t>
      </w:r>
    </w:p>
    <w:p>
      <w:pPr>
        <w:pStyle w:val="ListParagraph"/>
        <w:numPr>
          <w:ilvl w:val="0"/>
          <w:numId w:val="2"/>
        </w:numPr>
      </w:pPr>
      <w:r>
        <w:rPr>
          <w:rFonts w:ascii="Arial" w:cs="Arial" w:eastAsia="Arial" w:hAnsi="Arial"/>
          <w:sz w:val="22"/>
          <w:szCs w:val="22"/>
        </w:rPr>
        <w:t xml:space="preserve">Real-time transcript display allowing immediate correction</w:t>
      </w:r>
    </w:p>
    <w:p>
      <w:pPr>
        <w:pStyle w:val="ListParagraph"/>
        <w:numPr>
          <w:ilvl w:val="0"/>
          <w:numId w:val="2"/>
        </w:numPr>
      </w:pPr>
      <w:r>
        <w:rPr>
          <w:rFonts w:ascii="Arial" w:cs="Arial" w:eastAsia="Arial" w:hAnsi="Arial"/>
          <w:sz w:val="22"/>
          <w:szCs w:val="22"/>
        </w:rPr>
        <w:t xml:space="preserve">Medication and dosage highlighting for focused review</w:t>
      </w:r>
    </w:p>
    <w:p>
      <w:pPr>
        <w:pStyle w:val="ListParagraph"/>
        <w:numPr>
          <w:ilvl w:val="0"/>
          <w:numId w:val="2"/>
        </w:numPr>
      </w:pPr>
      <w:r>
        <w:rPr>
          <w:rFonts w:ascii="Arial" w:cs="Arial" w:eastAsia="Arial" w:hAnsi="Arial"/>
          <w:sz w:val="22"/>
          <w:szCs w:val="22"/>
        </w:rPr>
        <w:t xml:space="preserve">Audio quality indicator with poor quality warnings</w:t>
      </w:r>
    </w:p>
    <w:p>
      <w:pPr>
        <w:pStyle w:val="ListParagraph"/>
        <w:numPr>
          <w:ilvl w:val="0"/>
          <w:numId w:val="2"/>
        </w:numPr>
      </w:pPr>
      <w:r>
        <w:rPr>
          <w:rFonts w:ascii="Arial" w:cs="Arial" w:eastAsia="Arial" w:hAnsi="Arial"/>
          <w:sz w:val="22"/>
          <w:szCs w:val="22"/>
        </w:rPr>
        <w:t xml:space="preserve">Mandatory clinician review before any content approved</w:t>
      </w:r>
    </w:p>
    <w:p>
      <w:pPr>
        <w:spacing w:after="120"/>
      </w:pPr>
      <w:r>
        <w:rPr>
          <w:rFonts w:ascii="Arial" w:cs="Arial" w:eastAsia="Arial" w:hAnsi="Arial"/>
          <w:b/>
          <w:bCs/>
          <w:sz w:val="22"/>
          <w:szCs w:val="22"/>
        </w:rPr>
        <w:t xml:space="preserve">Residual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Residual Severity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(Major)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Residual Likelihood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(Very Low)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Residual Risk Score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(LOW - Acceptable)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Acceptability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Acceptable with current controls</w:t>
            </w:r>
          </w:p>
        </w:tc>
      </w:tr>
    </w:tbl>
    <w:p>
      <w:r>
        <w:br w:type="page"/>
      </w:r>
    </w:p>
    <w:p>
      <w:pPr>
        <w:pStyle w:val="Heading2"/>
        <w:spacing w:before="300" w:after="150"/>
      </w:pPr>
      <w:r>
        <w:rPr>
          <w:rFonts w:ascii="Arial" w:cs="Arial" w:eastAsia="Arial" w:hAnsi="Arial"/>
          <w:b/>
          <w:bCs/>
          <w:sz w:val="26"/>
          <w:szCs w:val="26"/>
        </w:rPr>
        <w:t xml:space="preserve">7.3 Additional Hazards Summary</w:t>
      </w:r>
    </w:p>
    <w:p>
      <w:pPr>
        <w:spacing w:after="120"/>
      </w:pPr>
      <w:r>
        <w:rPr>
          <w:rFonts w:ascii="Arial" w:cs="Arial" w:eastAsia="Arial" w:hAnsi="Arial"/>
          <w:sz w:val="22"/>
          <w:szCs w:val="22"/>
        </w:rPr>
        <w:t xml:space="preserve">The following additional hazards have been identified, assessed, and mitigated to acceptable/tolerable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500"/>
        <w:gridCol w:w="1500"/>
        <w:gridCol w:w="2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Hazard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Initial Risk</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Residual Risk</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Control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H004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 unavailability during consultation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 (Medium)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Offline mode, local caching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H005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Unauthorised access to patient data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MFA, RBAC, audit logging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H006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breach via sub-processor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 retention, encryption, SCCs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H007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Clinician over-reliance on AI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Training, disclaimers, audit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H008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MDT meeting incomplete documentation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Checklist prompts, review workflow</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H009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Complaints response delay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Workflow alerts, escalation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H010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Loss of audit trail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Immutable logs, backup strategy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H011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Incorrect patient association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 (Critical)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NHS number verification, session isolation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H012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Consultation recording without consent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 (Medium)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Consent workflow, visual indicators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H013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bias in clinical suggestions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 (Medium)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Diverse training data, bias monitoring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H014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 incompatibility post-update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Staged rollout, rollback capability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H015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Staff using wrong patient context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Patient banner, context confirmation</w:t>
            </w:r>
          </w:p>
        </w:tc>
      </w:tr>
    </w:tbl>
    <w:p>
      <w:r>
        <w:br w:type="page"/>
      </w:r>
    </w:p>
    <w:p>
      <w:pPr>
        <w:pStyle w:val="Heading1"/>
        <w:spacing w:before="400" w:after="200"/>
      </w:pPr>
      <w:r>
        <w:rPr>
          <w:rFonts w:ascii="Arial" w:cs="Arial" w:eastAsia="Arial" w:hAnsi="Arial"/>
          <w:b/>
          <w:bCs/>
          <w:sz w:val="32"/>
          <w:szCs w:val="32"/>
        </w:rPr>
        <w:t xml:space="preserve">8. Third-Party Processors and International Transfers</w:t>
      </w:r>
    </w:p>
    <w:p>
      <w:pPr>
        <w:pStyle w:val="Heading2"/>
        <w:spacing w:before="300" w:after="150"/>
      </w:pPr>
      <w:r>
        <w:rPr>
          <w:rFonts w:ascii="Arial" w:cs="Arial" w:eastAsia="Arial" w:hAnsi="Arial"/>
          <w:b/>
          <w:bCs/>
          <w:sz w:val="26"/>
          <w:szCs w:val="26"/>
        </w:rPr>
        <w:t xml:space="preserve">8.1 Sub-Processor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2000"/>
        <w:gridCol w:w="2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Processor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Exposed</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Safeguards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 (GPT-4)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summarisation, SNOMED coding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USA (EU Data Boundary)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Transcripts (zero retention)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SCCs, zero-day retention, no training use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AssemblyAI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Real-time speech-to-text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Audio streams (zero retention)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 2 Type II, zero retention, DPA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ElevenLabs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Text-to-speech (complaints)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Anonymised summaries only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patient data, GDPR compliant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Supabase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auth, storage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UK (AWS eu-west-2)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platform data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ISO 27001, SOC 2, UK residency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Cloudflare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CDN, DDoS protection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(UK primary)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 metadata only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ISO 27001, GDPR DPA</w:t>
            </w:r>
          </w:p>
        </w:tc>
      </w:tr>
    </w:tbl>
    <w:p>
      <w:pPr>
        <w:pStyle w:val="Heading2"/>
        <w:spacing w:before="300" w:after="150"/>
      </w:pPr>
      <w:r>
        <w:rPr>
          <w:rFonts w:ascii="Arial" w:cs="Arial" w:eastAsia="Arial" w:hAnsi="Arial"/>
          <w:b/>
          <w:bCs/>
          <w:sz w:val="26"/>
          <w:szCs w:val="26"/>
        </w:rPr>
        <w:t xml:space="preserve">8.2 International Transfer Mechanisms</w:t>
      </w:r>
    </w:p>
    <w:p>
      <w:pPr>
        <w:pStyle w:val="Heading3"/>
        <w:spacing w:before="200" w:after="100"/>
      </w:pPr>
      <w:r>
        <w:rPr>
          <w:rFonts w:ascii="Arial" w:cs="Arial" w:eastAsia="Arial" w:hAnsi="Arial"/>
          <w:b/>
          <w:bCs/>
          <w:sz w:val="24"/>
          <w:szCs w:val="24"/>
        </w:rPr>
        <w:t xml:space="preserve">8.2.1 OpenAI</w:t>
      </w:r>
    </w:p>
    <w:p>
      <w:pPr>
        <w:pStyle w:val="ListParagraph"/>
        <w:numPr>
          <w:ilvl w:val="0"/>
          <w:numId w:val="2"/>
        </w:numPr>
      </w:pPr>
      <w:r>
        <w:rPr>
          <w:rFonts w:ascii="Arial" w:cs="Arial" w:eastAsia="Arial" w:hAnsi="Arial"/>
          <w:sz w:val="22"/>
          <w:szCs w:val="22"/>
        </w:rPr>
        <w:t xml:space="preserve">Transfer Mechanism: Standard Contractual Clauses (SCCs) + EU Data Boundary option enabled</w:t>
      </w:r>
    </w:p>
    <w:p>
      <w:pPr>
        <w:pStyle w:val="ListParagraph"/>
        <w:numPr>
          <w:ilvl w:val="0"/>
          <w:numId w:val="2"/>
        </w:numPr>
      </w:pPr>
      <w:r>
        <w:rPr>
          <w:rFonts w:ascii="Arial" w:cs="Arial" w:eastAsia="Arial" w:hAnsi="Arial"/>
          <w:sz w:val="22"/>
          <w:szCs w:val="22"/>
        </w:rPr>
        <w:t xml:space="preserve">Data processed within EU/UK data centres only</w:t>
      </w:r>
    </w:p>
    <w:p>
      <w:pPr>
        <w:pStyle w:val="ListParagraph"/>
        <w:numPr>
          <w:ilvl w:val="0"/>
          <w:numId w:val="2"/>
        </w:numPr>
      </w:pPr>
      <w:r>
        <w:rPr>
          <w:rFonts w:ascii="Arial" w:cs="Arial" w:eastAsia="Arial" w:hAnsi="Arial"/>
          <w:sz w:val="22"/>
          <w:szCs w:val="22"/>
        </w:rPr>
        <w:t xml:space="preserve">Zero-day retention contractually enforced - data not stored after processing</w:t>
      </w:r>
    </w:p>
    <w:p>
      <w:pPr>
        <w:pStyle w:val="ListParagraph"/>
        <w:numPr>
          <w:ilvl w:val="0"/>
          <w:numId w:val="2"/>
        </w:numPr>
      </w:pPr>
      <w:r>
        <w:rPr>
          <w:rFonts w:ascii="Arial" w:cs="Arial" w:eastAsia="Arial" w:hAnsi="Arial"/>
          <w:sz w:val="22"/>
          <w:szCs w:val="22"/>
        </w:rPr>
        <w:t xml:space="preserve">Data NOT used for model training (API Terms of Service)</w:t>
      </w:r>
    </w:p>
    <w:p>
      <w:pPr>
        <w:pStyle w:val="ListParagraph"/>
        <w:numPr>
          <w:ilvl w:val="0"/>
          <w:numId w:val="2"/>
        </w:numPr>
      </w:pPr>
      <w:r>
        <w:rPr>
          <w:rFonts w:ascii="Arial" w:cs="Arial" w:eastAsia="Arial" w:hAnsi="Arial"/>
          <w:sz w:val="22"/>
          <w:szCs w:val="22"/>
        </w:rPr>
        <w:t xml:space="preserve">UK Government approved supplier for NHS use</w:t>
      </w:r>
    </w:p>
    <w:p>
      <w:pPr>
        <w:pStyle w:val="Heading3"/>
        <w:spacing w:before="200" w:after="100"/>
      </w:pPr>
      <w:r>
        <w:rPr>
          <w:rFonts w:ascii="Arial" w:cs="Arial" w:eastAsia="Arial" w:hAnsi="Arial"/>
          <w:b/>
          <w:bCs/>
          <w:sz w:val="24"/>
          <w:szCs w:val="24"/>
        </w:rPr>
        <w:t xml:space="preserve">8.2.2 AssemblyAI</w:t>
      </w:r>
    </w:p>
    <w:p>
      <w:pPr>
        <w:pStyle w:val="ListParagraph"/>
        <w:numPr>
          <w:ilvl w:val="0"/>
          <w:numId w:val="2"/>
        </w:numPr>
      </w:pPr>
      <w:r>
        <w:rPr>
          <w:rFonts w:ascii="Arial" w:cs="Arial" w:eastAsia="Arial" w:hAnsi="Arial"/>
          <w:sz w:val="22"/>
          <w:szCs w:val="22"/>
        </w:rPr>
        <w:t xml:space="preserve">Transfer Mechanism: Standard Contractual Clauses (SCCs) + UK Addendum</w:t>
      </w:r>
    </w:p>
    <w:p>
      <w:pPr>
        <w:pStyle w:val="ListParagraph"/>
        <w:numPr>
          <w:ilvl w:val="0"/>
          <w:numId w:val="2"/>
        </w:numPr>
      </w:pPr>
      <w:r>
        <w:rPr>
          <w:rFonts w:ascii="Arial" w:cs="Arial" w:eastAsia="Arial" w:hAnsi="Arial"/>
          <w:sz w:val="22"/>
          <w:szCs w:val="22"/>
        </w:rPr>
        <w:t xml:space="preserve">Zero-retention policy - audio data deleted immediately after transcription</w:t>
      </w:r>
    </w:p>
    <w:p>
      <w:pPr>
        <w:pStyle w:val="ListParagraph"/>
        <w:numPr>
          <w:ilvl w:val="0"/>
          <w:numId w:val="2"/>
        </w:numPr>
      </w:pPr>
      <w:r>
        <w:rPr>
          <w:rFonts w:ascii="Arial" w:cs="Arial" w:eastAsia="Arial" w:hAnsi="Arial"/>
          <w:sz w:val="22"/>
          <w:szCs w:val="22"/>
        </w:rPr>
        <w:t xml:space="preserve">SOC 2 Type II certified</w:t>
      </w:r>
    </w:p>
    <w:p>
      <w:pPr>
        <w:pStyle w:val="ListParagraph"/>
        <w:numPr>
          <w:ilvl w:val="0"/>
          <w:numId w:val="2"/>
        </w:numPr>
      </w:pPr>
      <w:r>
        <w:rPr>
          <w:rFonts w:ascii="Arial" w:cs="Arial" w:eastAsia="Arial" w:hAnsi="Arial"/>
          <w:sz w:val="22"/>
          <w:szCs w:val="22"/>
        </w:rPr>
        <w:t xml:space="preserve">Incident notification within 24 hours contractually required</w:t>
      </w:r>
    </w:p>
    <w:p>
      <w:pPr>
        <w:pStyle w:val="Heading2"/>
        <w:spacing w:before="300" w:after="150"/>
      </w:pPr>
      <w:r>
        <w:rPr>
          <w:rFonts w:ascii="Arial" w:cs="Arial" w:eastAsia="Arial" w:hAnsi="Arial"/>
          <w:b/>
          <w:bCs/>
          <w:sz w:val="26"/>
          <w:szCs w:val="26"/>
        </w:rPr>
        <w:t xml:space="preserve">8.3 Transfer Impact Assessment</w:t>
      </w:r>
    </w:p>
    <w:p>
      <w:pPr>
        <w:spacing w:after="120"/>
      </w:pPr>
      <w:r>
        <w:rPr>
          <w:rFonts w:ascii="Arial" w:cs="Arial" w:eastAsia="Arial" w:hAnsi="Arial"/>
          <w:sz w:val="22"/>
          <w:szCs w:val="22"/>
        </w:rPr>
        <w:t xml:space="preserve">A Transfer Impact Assessment (TIA) has been conducted for US-based processors, concluding:</w:t>
      </w:r>
    </w:p>
    <w:p>
      <w:pPr>
        <w:pStyle w:val="ListParagraph"/>
        <w:numPr>
          <w:ilvl w:val="0"/>
          <w:numId w:val="2"/>
        </w:numPr>
      </w:pPr>
      <w:r>
        <w:rPr>
          <w:rFonts w:ascii="Arial" w:cs="Arial" w:eastAsia="Arial" w:hAnsi="Arial"/>
          <w:sz w:val="22"/>
          <w:szCs w:val="22"/>
        </w:rPr>
        <w:t xml:space="preserve">Zero-retention policies effectively eliminate US government access risk</w:t>
      </w:r>
    </w:p>
    <w:p>
      <w:pPr>
        <w:pStyle w:val="ListParagraph"/>
        <w:numPr>
          <w:ilvl w:val="0"/>
          <w:numId w:val="2"/>
        </w:numPr>
      </w:pPr>
      <w:r>
        <w:rPr>
          <w:rFonts w:ascii="Arial" w:cs="Arial" w:eastAsia="Arial" w:hAnsi="Arial"/>
          <w:sz w:val="22"/>
          <w:szCs w:val="22"/>
        </w:rPr>
        <w:t xml:space="preserve">Encryption in transit (TLS 1.3) protects data during transfer</w:t>
      </w:r>
    </w:p>
    <w:p>
      <w:pPr>
        <w:pStyle w:val="ListParagraph"/>
        <w:numPr>
          <w:ilvl w:val="0"/>
          <w:numId w:val="2"/>
        </w:numPr>
      </w:pPr>
      <w:r>
        <w:rPr>
          <w:rFonts w:ascii="Arial" w:cs="Arial" w:eastAsia="Arial" w:hAnsi="Arial"/>
          <w:sz w:val="22"/>
          <w:szCs w:val="22"/>
        </w:rPr>
        <w:t xml:space="preserve">SCCs provide contractual protection and remedies</w:t>
      </w:r>
    </w:p>
    <w:p>
      <w:pPr>
        <w:pStyle w:val="ListParagraph"/>
        <w:numPr>
          <w:ilvl w:val="0"/>
          <w:numId w:val="2"/>
        </w:numPr>
      </w:pPr>
      <w:r>
        <w:rPr>
          <w:rFonts w:ascii="Arial" w:cs="Arial" w:eastAsia="Arial" w:hAnsi="Arial"/>
          <w:sz w:val="22"/>
          <w:szCs w:val="22"/>
        </w:rPr>
        <w:t xml:space="preserve">EU Data Boundary (OpenAI) ensures processing within EU/UK jurisdiction</w:t>
      </w:r>
    </w:p>
    <w:p>
      <w:r>
        <w:br w:type="page"/>
      </w:r>
    </w:p>
    <w:p>
      <w:pPr>
        <w:pStyle w:val="Heading1"/>
        <w:spacing w:before="400" w:after="200"/>
      </w:pPr>
      <w:r>
        <w:rPr>
          <w:rFonts w:ascii="Arial" w:cs="Arial" w:eastAsia="Arial" w:hAnsi="Arial"/>
          <w:b/>
          <w:bCs/>
          <w:sz w:val="32"/>
          <w:szCs w:val="32"/>
        </w:rPr>
        <w:t xml:space="preserve">9. Data Subject Rights</w:t>
      </w:r>
    </w:p>
    <w:p>
      <w:pPr>
        <w:pStyle w:val="Heading2"/>
        <w:spacing w:before="300" w:after="150"/>
      </w:pPr>
      <w:r>
        <w:rPr>
          <w:rFonts w:ascii="Arial" w:cs="Arial" w:eastAsia="Arial" w:hAnsi="Arial"/>
          <w:b/>
          <w:bCs/>
          <w:sz w:val="26"/>
          <w:szCs w:val="26"/>
        </w:rPr>
        <w:t xml:space="preserve">9.1 Rights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Right</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Right of Access (Art 15)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practice Data Subject Access Request process; PCN Services provides data extract support</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month (extendable to 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Right to Rectification (Art 16)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Via GP Notewell interface for draft content; via practice for approved clinical records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month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Right to Erasure (Art 17)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Assessed against NHS Records Code retention requirements; applied where no legal basis for retention</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month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Right to Restriction (Art 18)</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 suspended pending dispute resolution; data retained but not used</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Without undue delay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Right to Data Portability (Art 20)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Export functionality for user-generated content in machine-readable format</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month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Right to Object (Art 21)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applicable - processing based on public task/legal obligation</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r>
    </w:tbl>
    <w:p>
      <w:pPr>
        <w:pStyle w:val="Heading2"/>
        <w:spacing w:before="300" w:after="150"/>
      </w:pPr>
      <w:r>
        <w:rPr>
          <w:rFonts w:ascii="Arial" w:cs="Arial" w:eastAsia="Arial" w:hAnsi="Arial"/>
          <w:b/>
          <w:bCs/>
          <w:sz w:val="26"/>
          <w:szCs w:val="26"/>
        </w:rPr>
        <w:t xml:space="preserve">9.2 Process for Handling Requests</w:t>
      </w:r>
    </w:p>
    <w:p>
      <w:pPr>
        <w:pStyle w:val="ListParagraph"/>
        <w:numPr>
          <w:ilvl w:val="0"/>
          <w:numId w:val="3"/>
        </w:numPr>
      </w:pPr>
      <w:r>
        <w:rPr>
          <w:rFonts w:ascii="Arial" w:cs="Arial" w:eastAsia="Arial" w:hAnsi="Arial"/>
          <w:sz w:val="22"/>
          <w:szCs w:val="22"/>
        </w:rPr>
        <w:t xml:space="preserve">Patient submits request to their GP practice (data controller)</w:t>
      </w:r>
    </w:p>
    <w:p>
      <w:pPr>
        <w:pStyle w:val="ListParagraph"/>
        <w:numPr>
          <w:ilvl w:val="0"/>
          <w:numId w:val="3"/>
        </w:numPr>
      </w:pPr>
      <w:r>
        <w:rPr>
          <w:rFonts w:ascii="Arial" w:cs="Arial" w:eastAsia="Arial" w:hAnsi="Arial"/>
          <w:sz w:val="22"/>
          <w:szCs w:val="22"/>
        </w:rPr>
        <w:t xml:space="preserve">Practice verifies identity and logs request</w:t>
      </w:r>
    </w:p>
    <w:p>
      <w:pPr>
        <w:pStyle w:val="ListParagraph"/>
        <w:numPr>
          <w:ilvl w:val="0"/>
          <w:numId w:val="3"/>
        </w:numPr>
      </w:pPr>
      <w:r>
        <w:rPr>
          <w:rFonts w:ascii="Arial" w:cs="Arial" w:eastAsia="Arial" w:hAnsi="Arial"/>
          <w:sz w:val="22"/>
          <w:szCs w:val="22"/>
        </w:rPr>
        <w:t xml:space="preserve">Practice contacts PCN Services Ltd if GP Notewell data required</w:t>
      </w:r>
    </w:p>
    <w:p>
      <w:pPr>
        <w:pStyle w:val="ListParagraph"/>
        <w:numPr>
          <w:ilvl w:val="0"/>
          <w:numId w:val="3"/>
        </w:numPr>
      </w:pPr>
      <w:r>
        <w:rPr>
          <w:rFonts w:ascii="Arial" w:cs="Arial" w:eastAsia="Arial" w:hAnsi="Arial"/>
          <w:sz w:val="22"/>
          <w:szCs w:val="22"/>
        </w:rPr>
        <w:t xml:space="preserve">PCN Services provides data extract within 5 working days</w:t>
      </w:r>
    </w:p>
    <w:p>
      <w:pPr>
        <w:pStyle w:val="ListParagraph"/>
        <w:numPr>
          <w:ilvl w:val="0"/>
          <w:numId w:val="3"/>
        </w:numPr>
      </w:pPr>
      <w:r>
        <w:rPr>
          <w:rFonts w:ascii="Arial" w:cs="Arial" w:eastAsia="Arial" w:hAnsi="Arial"/>
          <w:sz w:val="22"/>
          <w:szCs w:val="22"/>
        </w:rPr>
        <w:t xml:space="preserve">Practice compiles complete response and responds to patient</w:t>
      </w:r>
    </w:p>
    <w:p>
      <w:r>
        <w:br w:type="page"/>
      </w:r>
    </w:p>
    <w:p>
      <w:pPr>
        <w:pStyle w:val="Heading1"/>
        <w:spacing w:before="400" w:after="200"/>
      </w:pPr>
      <w:r>
        <w:rPr>
          <w:rFonts w:ascii="Arial" w:cs="Arial" w:eastAsia="Arial" w:hAnsi="Arial"/>
          <w:b/>
          <w:bCs/>
          <w:sz w:val="32"/>
          <w:szCs w:val="32"/>
        </w:rPr>
        <w:t xml:space="preserve">10. Technical and Organisational Security Measures</w:t>
      </w:r>
    </w:p>
    <w:p>
      <w:pPr>
        <w:pStyle w:val="Heading2"/>
        <w:spacing w:before="300" w:after="150"/>
      </w:pPr>
      <w:r>
        <w:rPr>
          <w:rFonts w:ascii="Arial" w:cs="Arial" w:eastAsia="Arial" w:hAnsi="Arial"/>
          <w:b/>
          <w:bCs/>
          <w:sz w:val="26"/>
          <w:szCs w:val="26"/>
        </w:rPr>
        <w:t xml:space="preserve">10.1 Technical Controls</w:t>
      </w:r>
    </w:p>
    <w:p>
      <w:pPr>
        <w:pStyle w:val="Heading3"/>
        <w:spacing w:before="200" w:after="100"/>
      </w:pPr>
      <w:r>
        <w:rPr>
          <w:rFonts w:ascii="Arial" w:cs="Arial" w:eastAsia="Arial" w:hAnsi="Arial"/>
          <w:b/>
          <w:bCs/>
          <w:sz w:val="24"/>
          <w:szCs w:val="24"/>
        </w:rPr>
        <w:t xml:space="preserve">10.1.1 Access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Multi-factor authentication (MFA) mandatory for all users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Authorisation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Role-based access control (RBAC) with principle of least privilege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Management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30-minute idle timeout, secure session tokens, single active session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Password Policy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Minimum 12 characters, complexity requirements, 90-day rotation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IP Restrictions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Configurable IP allowlisting for practice networks</w:t>
            </w:r>
          </w:p>
        </w:tc>
      </w:tr>
    </w:tbl>
    <w:p>
      <w:pPr>
        <w:pStyle w:val="Heading3"/>
        <w:spacing w:before="200" w:after="100"/>
      </w:pPr>
      <w:r>
        <w:rPr>
          <w:rFonts w:ascii="Arial" w:cs="Arial" w:eastAsia="Arial" w:hAnsi="Arial"/>
          <w:b/>
          <w:bCs/>
          <w:sz w:val="24"/>
          <w:szCs w:val="24"/>
        </w:rPr>
        <w:t xml:space="preserve">10.1.2 Data Protection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Encryption at Rest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AES-256 encryption for all stored data (Supabase managed)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Encryption in Transit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 1.3 for all data transmission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Row-Level Security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 RLS policies enforce practice-level data isolation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Backups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automated backups, 30-day retention, encrypted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Management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Supabase managed encryption keys, regular rotation</w:t>
            </w:r>
          </w:p>
        </w:tc>
      </w:tr>
    </w:tbl>
    <w:p>
      <w:pPr>
        <w:pStyle w:val="Heading3"/>
        <w:spacing w:before="200" w:after="100"/>
      </w:pPr>
      <w:r>
        <w:rPr>
          <w:rFonts w:ascii="Arial" w:cs="Arial" w:eastAsia="Arial" w:hAnsi="Arial"/>
          <w:b/>
          <w:bCs/>
          <w:sz w:val="24"/>
          <w:szCs w:val="24"/>
        </w:rPr>
        <w:t xml:space="preserve">10.1.3 Monitoring and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Logging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user actions logged with timestamp, user ID, action, data affected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 Retention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years in compliance with NHS requirements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Anomaly Detection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Automated alerting for unusual access patterns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Monitoring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24/7 infrastructure monitoring via Supabase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Penetration Testing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third-party penetration test</w:t>
            </w:r>
          </w:p>
        </w:tc>
      </w:tr>
    </w:tbl>
    <w:p>
      <w:pPr>
        <w:pStyle w:val="Heading2"/>
        <w:spacing w:before="300" w:after="150"/>
      </w:pPr>
      <w:r>
        <w:rPr>
          <w:rFonts w:ascii="Arial" w:cs="Arial" w:eastAsia="Arial" w:hAnsi="Arial"/>
          <w:b/>
          <w:bCs/>
          <w:sz w:val="26"/>
          <w:szCs w:val="26"/>
        </w:rPr>
        <w:t xml:space="preserve">10.2 Organisational Controls</w:t>
      </w:r>
    </w:p>
    <w:p>
      <w:pPr>
        <w:pStyle w:val="Heading3"/>
        <w:spacing w:before="200" w:after="100"/>
      </w:pPr>
      <w:r>
        <w:rPr>
          <w:rFonts w:ascii="Arial" w:cs="Arial" w:eastAsia="Arial" w:hAnsi="Arial"/>
          <w:b/>
          <w:bCs/>
          <w:sz w:val="24"/>
          <w:szCs w:val="24"/>
        </w:rPr>
        <w:t xml:space="preserve">10.2.1 Staff Security</w:t>
      </w:r>
    </w:p>
    <w:p>
      <w:pPr>
        <w:pStyle w:val="ListParagraph"/>
        <w:numPr>
          <w:ilvl w:val="0"/>
          <w:numId w:val="2"/>
        </w:numPr>
      </w:pPr>
      <w:r>
        <w:rPr>
          <w:rFonts w:ascii="Arial" w:cs="Arial" w:eastAsia="Arial" w:hAnsi="Arial"/>
          <w:sz w:val="22"/>
          <w:szCs w:val="22"/>
        </w:rPr>
        <w:t xml:space="preserve">DBS checks for all PCN Services staff with data access</w:t>
      </w:r>
    </w:p>
    <w:p>
      <w:pPr>
        <w:pStyle w:val="ListParagraph"/>
        <w:numPr>
          <w:ilvl w:val="0"/>
          <w:numId w:val="2"/>
        </w:numPr>
      </w:pPr>
      <w:r>
        <w:rPr>
          <w:rFonts w:ascii="Arial" w:cs="Arial" w:eastAsia="Arial" w:hAnsi="Arial"/>
          <w:sz w:val="22"/>
          <w:szCs w:val="22"/>
        </w:rPr>
        <w:t xml:space="preserve">Annual information governance training (Data Security Awareness Level 1)</w:t>
      </w:r>
    </w:p>
    <w:p>
      <w:pPr>
        <w:pStyle w:val="ListParagraph"/>
        <w:numPr>
          <w:ilvl w:val="0"/>
          <w:numId w:val="2"/>
        </w:numPr>
      </w:pPr>
      <w:r>
        <w:rPr>
          <w:rFonts w:ascii="Arial" w:cs="Arial" w:eastAsia="Arial" w:hAnsi="Arial"/>
          <w:sz w:val="22"/>
          <w:szCs w:val="22"/>
        </w:rPr>
        <w:t xml:space="preserve">Confidentiality agreements in employment contracts</w:t>
      </w:r>
    </w:p>
    <w:p>
      <w:pPr>
        <w:pStyle w:val="ListParagraph"/>
        <w:numPr>
          <w:ilvl w:val="0"/>
          <w:numId w:val="2"/>
        </w:numPr>
      </w:pPr>
      <w:r>
        <w:rPr>
          <w:rFonts w:ascii="Arial" w:cs="Arial" w:eastAsia="Arial" w:hAnsi="Arial"/>
          <w:sz w:val="22"/>
          <w:szCs w:val="22"/>
        </w:rPr>
        <w:t xml:space="preserve">Access revoked within 24 hours of role change/departure</w:t>
      </w:r>
    </w:p>
    <w:p>
      <w:pPr>
        <w:pStyle w:val="Heading3"/>
        <w:spacing w:before="200" w:after="100"/>
      </w:pPr>
      <w:r>
        <w:rPr>
          <w:rFonts w:ascii="Arial" w:cs="Arial" w:eastAsia="Arial" w:hAnsi="Arial"/>
          <w:b/>
          <w:bCs/>
          <w:sz w:val="24"/>
          <w:szCs w:val="24"/>
        </w:rPr>
        <w:t xml:space="preserve">10.2.2 Incident Management</w:t>
      </w:r>
    </w:p>
    <w:p>
      <w:pPr>
        <w:pStyle w:val="ListParagraph"/>
        <w:numPr>
          <w:ilvl w:val="0"/>
          <w:numId w:val="2"/>
        </w:numPr>
      </w:pPr>
      <w:r>
        <w:rPr>
          <w:rFonts w:ascii="Arial" w:cs="Arial" w:eastAsia="Arial" w:hAnsi="Arial"/>
          <w:sz w:val="22"/>
          <w:szCs w:val="22"/>
        </w:rPr>
        <w:t xml:space="preserve">Documented incident response procedure (PCNS-IMP-001)</w:t>
      </w:r>
    </w:p>
    <w:p>
      <w:pPr>
        <w:pStyle w:val="ListParagraph"/>
        <w:numPr>
          <w:ilvl w:val="0"/>
          <w:numId w:val="2"/>
        </w:numPr>
      </w:pPr>
      <w:r>
        <w:rPr>
          <w:rFonts w:ascii="Arial" w:cs="Arial" w:eastAsia="Arial" w:hAnsi="Arial"/>
          <w:sz w:val="22"/>
          <w:szCs w:val="22"/>
        </w:rPr>
        <w:t xml:space="preserve">Clinical safety incidents escalated to CSO within 4 hours</w:t>
      </w:r>
    </w:p>
    <w:p>
      <w:pPr>
        <w:pStyle w:val="ListParagraph"/>
        <w:numPr>
          <w:ilvl w:val="0"/>
          <w:numId w:val="2"/>
        </w:numPr>
      </w:pPr>
      <w:r>
        <w:rPr>
          <w:rFonts w:ascii="Arial" w:cs="Arial" w:eastAsia="Arial" w:hAnsi="Arial"/>
          <w:sz w:val="22"/>
          <w:szCs w:val="22"/>
        </w:rPr>
        <w:t xml:space="preserve">Data breach notification to ICO within 72 hours where required</w:t>
      </w:r>
    </w:p>
    <w:p>
      <w:pPr>
        <w:pStyle w:val="ListParagraph"/>
        <w:numPr>
          <w:ilvl w:val="0"/>
          <w:numId w:val="2"/>
        </w:numPr>
      </w:pPr>
      <w:r>
        <w:rPr>
          <w:rFonts w:ascii="Arial" w:cs="Arial" w:eastAsia="Arial" w:hAnsi="Arial"/>
          <w:sz w:val="22"/>
          <w:szCs w:val="22"/>
        </w:rPr>
        <w:t xml:space="preserve">Affected practices notified within 24 hours of confirmed breach</w:t>
      </w:r>
    </w:p>
    <w:p>
      <w:pPr>
        <w:pStyle w:val="Heading2"/>
        <w:spacing w:before="300" w:after="150"/>
      </w:pPr>
      <w:r>
        <w:rPr>
          <w:rFonts w:ascii="Arial" w:cs="Arial" w:eastAsia="Arial" w:hAnsi="Arial"/>
          <w:b/>
          <w:bCs/>
          <w:sz w:val="26"/>
          <w:szCs w:val="26"/>
        </w:rPr>
        <w:t xml:space="preserve">10.3 Business Continuity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Recovery Time Objective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Recovery Point Objective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failure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hours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hour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Automated failover, point-in-time recovery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 failure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hour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 (stateless)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Auto-scaling, health checks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 outage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 hours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 hours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Disaster recovery site, backup restoration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Sub-processor failure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Graceful degradation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Offline mode, local caching, fallback workflows</w:t>
            </w:r>
          </w:p>
        </w:tc>
      </w:tr>
    </w:tbl>
    <w:p>
      <w:r>
        <w:br w:type="page"/>
      </w:r>
    </w:p>
    <w:p>
      <w:pPr>
        <w:pStyle w:val="Heading1"/>
        <w:spacing w:before="400" w:after="200"/>
      </w:pPr>
      <w:r>
        <w:rPr>
          <w:rFonts w:ascii="Arial" w:cs="Arial" w:eastAsia="Arial" w:hAnsi="Arial"/>
          <w:b/>
          <w:bCs/>
          <w:sz w:val="32"/>
          <w:szCs w:val="32"/>
        </w:rPr>
        <w:t xml:space="preserve">11. Deploying Organisation Responsibilities (DCB0160)</w:t>
      </w:r>
    </w:p>
    <w:p>
      <w:pPr>
        <w:spacing w:after="120"/>
      </w:pPr>
      <w:r>
        <w:rPr>
          <w:rFonts w:ascii="Arial" w:cs="Arial" w:eastAsia="Arial" w:hAnsi="Arial"/>
          <w:sz w:val="22"/>
          <w:szCs w:val="22"/>
        </w:rPr>
        <w:t xml:space="preserve">Deploying organisations (GP practices) must implement the following controls as part of their DCB0160 compliance:</w:t>
      </w:r>
    </w:p>
    <w:p>
      <w:pPr>
        <w:pStyle w:val="Heading2"/>
        <w:spacing w:before="300" w:after="150"/>
      </w:pPr>
      <w:r>
        <w:rPr>
          <w:rFonts w:ascii="Arial" w:cs="Arial" w:eastAsia="Arial" w:hAnsi="Arial"/>
          <w:b/>
          <w:bCs/>
          <w:sz w:val="26"/>
          <w:szCs w:val="26"/>
        </w:rPr>
        <w:t xml:space="preserve">11.1 Mandatory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 ID</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 Required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DC001</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Appoint Clinical Safety Officer or nominate responsible clinician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CSO appointment letter or delegation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DC002</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 GP Notewell user training before clinical use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Training completion certificates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DC003</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local standard operating procedures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SOP documentation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DC004</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Establish incident reporting pathway to PCN Services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Documented escalation procedure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DC005</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Conduct initial local hazard review</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Practice-specific hazard assessment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DC006</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Ensure staff awareness of AI limitations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Training records, staff acknowledgement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DC007</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Maintain local audit of AI-generated content quality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Quarterly audit reports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DC008</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fair processing notices for patients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Privacy notice revision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DC009</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Configure appropriate user access levels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RBAC configuration documentation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DC010</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clinical system integration before go-live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Integration test results</w:t>
            </w:r>
          </w:p>
        </w:tc>
      </w:tr>
    </w:tbl>
    <w:p>
      <w:pPr>
        <w:pStyle w:val="Heading2"/>
        <w:spacing w:before="300" w:after="150"/>
      </w:pPr>
      <w:r>
        <w:rPr>
          <w:rFonts w:ascii="Arial" w:cs="Arial" w:eastAsia="Arial" w:hAnsi="Arial"/>
          <w:b/>
          <w:bCs/>
          <w:sz w:val="26"/>
          <w:szCs w:val="26"/>
        </w:rPr>
        <w:t xml:space="preserve">11.2 Recommended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4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 ID</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RC001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Establish clinical champion for AI documentation</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Supports adoption and best practice sharing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RC002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Include GP Notewell in practice clinical governance reviews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Ensures ongoing safety monitoring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RC003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Provide patient information leaflet about AI-assisted documentation</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Supports transparency and informed consent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RC004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Regular team meetings to share AI documentation feedback</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Continuous improvement culture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RC005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Participate in PCN-wide AI governance forum</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Cross-practice learning and standardisation</w:t>
            </w:r>
          </w:p>
        </w:tc>
      </w:tr>
    </w:tbl>
    <w:p>
      <w:pPr>
        <w:pStyle w:val="Heading2"/>
        <w:spacing w:before="300" w:after="150"/>
      </w:pPr>
      <w:r>
        <w:rPr>
          <w:rFonts w:ascii="Arial" w:cs="Arial" w:eastAsia="Arial" w:hAnsi="Arial"/>
          <w:b/>
          <w:bCs/>
          <w:sz w:val="26"/>
          <w:szCs w:val="26"/>
        </w:rPr>
        <w:t xml:space="preserve">11.3 User Training Requirements</w:t>
      </w:r>
    </w:p>
    <w:p>
      <w:pPr>
        <w:spacing w:after="120"/>
      </w:pPr>
      <w:r>
        <w:rPr>
          <w:rFonts w:ascii="Arial" w:cs="Arial" w:eastAsia="Arial" w:hAnsi="Arial"/>
          <w:sz w:val="22"/>
          <w:szCs w:val="22"/>
        </w:rPr>
        <w:t xml:space="preserve">All users must complete the following training before accessing GP Notewell AI:</w:t>
      </w:r>
    </w:p>
    <w:p>
      <w:pPr>
        <w:pStyle w:val="ListParagraph"/>
        <w:numPr>
          <w:ilvl w:val="0"/>
          <w:numId w:val="3"/>
        </w:numPr>
      </w:pPr>
      <w:r>
        <w:rPr>
          <w:rFonts w:ascii="Arial" w:cs="Arial" w:eastAsia="Arial" w:hAnsi="Arial"/>
          <w:sz w:val="22"/>
          <w:szCs w:val="22"/>
        </w:rPr>
        <w:t xml:space="preserve">GP Notewell AI Foundations (online, 45 minutes) - system overview and core functionality</w:t>
      </w:r>
    </w:p>
    <w:p>
      <w:pPr>
        <w:pStyle w:val="ListParagraph"/>
        <w:numPr>
          <w:ilvl w:val="0"/>
          <w:numId w:val="3"/>
        </w:numPr>
      </w:pPr>
      <w:r>
        <w:rPr>
          <w:rFonts w:ascii="Arial" w:cs="Arial" w:eastAsia="Arial" w:hAnsi="Arial"/>
          <w:sz w:val="22"/>
          <w:szCs w:val="22"/>
        </w:rPr>
        <w:t xml:space="preserve">Clinical Safety and AI Limitations (online, 30 minutes) - understanding AI risks and clinician responsibilities</w:t>
      </w:r>
    </w:p>
    <w:p>
      <w:pPr>
        <w:pStyle w:val="ListParagraph"/>
        <w:numPr>
          <w:ilvl w:val="0"/>
          <w:numId w:val="3"/>
        </w:numPr>
      </w:pPr>
      <w:r>
        <w:rPr>
          <w:rFonts w:ascii="Arial" w:cs="Arial" w:eastAsia="Arial" w:hAnsi="Arial"/>
          <w:sz w:val="22"/>
          <w:szCs w:val="22"/>
        </w:rPr>
        <w:t xml:space="preserve">Hands-on Practice Session (facilitated, 60 minutes) - supervised use with test patients</w:t>
      </w:r>
    </w:p>
    <w:p>
      <w:pPr>
        <w:pStyle w:val="ListParagraph"/>
        <w:numPr>
          <w:ilvl w:val="0"/>
          <w:numId w:val="3"/>
        </w:numPr>
      </w:pPr>
      <w:r>
        <w:rPr>
          <w:rFonts w:ascii="Arial" w:cs="Arial" w:eastAsia="Arial" w:hAnsi="Arial"/>
          <w:sz w:val="22"/>
          <w:szCs w:val="22"/>
        </w:rPr>
        <w:t xml:space="preserve">Annual Refresher (online, 20 minutes) - updates and safety reminders</w:t>
      </w:r>
    </w:p>
    <w:p>
      <w:r>
        <w:br w:type="page"/>
      </w:r>
    </w:p>
    <w:p>
      <w:pPr>
        <w:pStyle w:val="Heading1"/>
        <w:spacing w:before="400" w:after="200"/>
      </w:pPr>
      <w:r>
        <w:rPr>
          <w:rFonts w:ascii="Arial" w:cs="Arial" w:eastAsia="Arial" w:hAnsi="Arial"/>
          <w:b/>
          <w:bCs/>
          <w:sz w:val="32"/>
          <w:szCs w:val="32"/>
        </w:rPr>
        <w:t xml:space="preserve">12. Outstanding Actions and Implementation Timeline</w:t>
      </w:r>
    </w:p>
    <w:p>
      <w:pPr>
        <w:pStyle w:val="Heading2"/>
        <w:spacing w:before="300" w:after="150"/>
      </w:pPr>
      <w:r>
        <w:rPr>
          <w:rFonts w:ascii="Arial" w:cs="Arial" w:eastAsia="Arial" w:hAnsi="Arial"/>
          <w:b/>
          <w:bCs/>
          <w:sz w:val="26"/>
          <w:szCs w:val="26"/>
        </w:rPr>
        <w:t xml:space="preserve">12.1 Pre-Deployment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500"/>
        <w:gridCol w:w="1500"/>
        <w:gridCol w:w="1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ID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A001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 CSO sign-off of this document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28/01/2026</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A002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Finalise DPA with first deploying practice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DPO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31/01/2026</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 Progress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A003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 penetration test remediation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Tech Lead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15/02/2026</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 Progress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A004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Publish user training materials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31/01/2026</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 Complete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A005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Configure production monitoring dashboards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Tech Lead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07/02/2026</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Started</w:t>
            </w:r>
          </w:p>
        </w:tc>
      </w:tr>
    </w:tbl>
    <w:p>
      <w:pPr>
        <w:pStyle w:val="Heading2"/>
        <w:spacing w:before="300" w:after="150"/>
      </w:pPr>
      <w:r>
        <w:rPr>
          <w:rFonts w:ascii="Arial" w:cs="Arial" w:eastAsia="Arial" w:hAnsi="Arial"/>
          <w:b/>
          <w:bCs/>
          <w:sz w:val="26"/>
          <w:szCs w:val="26"/>
        </w:rPr>
        <w:t xml:space="preserve">12.2 Post-Deployment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500"/>
        <w:gridCol w:w="1500"/>
        <w:gridCol w:w="1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ID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A006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biometric authentication for high-risk roles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IT Security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Q1 2026</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A007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 User Entity Behaviour Analytics (UEBA)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IT Security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Q2 2026</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A008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Establish clinical reference group for AI output review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Q1 2026</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A009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automated QA for high-risk medication suggestions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Tech Lead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Q1 2026</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A010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AI bias audit process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Q4 2026</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bl>
    <w:p>
      <w:pPr>
        <w:pStyle w:val="Heading2"/>
        <w:spacing w:before="300" w:after="150"/>
      </w:pPr>
      <w:r>
        <w:rPr>
          <w:rFonts w:ascii="Arial" w:cs="Arial" w:eastAsia="Arial" w:hAnsi="Arial"/>
          <w:b/>
          <w:bCs/>
          <w:sz w:val="26"/>
          <w:szCs w:val="26"/>
        </w:rPr>
        <w:t xml:space="preserve">12.3 Ongoing Obligations</w:t>
      </w:r>
    </w:p>
    <w:p>
      <w:pPr>
        <w:pStyle w:val="ListParagraph"/>
        <w:numPr>
          <w:ilvl w:val="0"/>
          <w:numId w:val="2"/>
        </w:numPr>
      </w:pPr>
      <w:r>
        <w:rPr>
          <w:rFonts w:ascii="Arial" w:cs="Arial" w:eastAsia="Arial" w:hAnsi="Arial"/>
          <w:sz w:val="22"/>
          <w:szCs w:val="22"/>
        </w:rPr>
        <w:t xml:space="preserve">Quarterly Hazard Log review and update</w:t>
      </w:r>
    </w:p>
    <w:p>
      <w:pPr>
        <w:pStyle w:val="ListParagraph"/>
        <w:numPr>
          <w:ilvl w:val="0"/>
          <w:numId w:val="2"/>
        </w:numPr>
      </w:pPr>
      <w:r>
        <w:rPr>
          <w:rFonts w:ascii="Arial" w:cs="Arial" w:eastAsia="Arial" w:hAnsi="Arial"/>
          <w:sz w:val="22"/>
          <w:szCs w:val="22"/>
        </w:rPr>
        <w:t xml:space="preserve">Annual DPIA and Clinical Safety Case review</w:t>
      </w:r>
    </w:p>
    <w:p>
      <w:pPr>
        <w:pStyle w:val="ListParagraph"/>
        <w:numPr>
          <w:ilvl w:val="0"/>
          <w:numId w:val="2"/>
        </w:numPr>
      </w:pPr>
      <w:r>
        <w:rPr>
          <w:rFonts w:ascii="Arial" w:cs="Arial" w:eastAsia="Arial" w:hAnsi="Arial"/>
          <w:sz w:val="22"/>
          <w:szCs w:val="22"/>
        </w:rPr>
        <w:t xml:space="preserve">Continuous incident monitoring and response</w:t>
      </w:r>
    </w:p>
    <w:p>
      <w:pPr>
        <w:pStyle w:val="ListParagraph"/>
        <w:numPr>
          <w:ilvl w:val="0"/>
          <w:numId w:val="2"/>
        </w:numPr>
      </w:pPr>
      <w:r>
        <w:rPr>
          <w:rFonts w:ascii="Arial" w:cs="Arial" w:eastAsia="Arial" w:hAnsi="Arial"/>
          <w:sz w:val="22"/>
          <w:szCs w:val="22"/>
        </w:rPr>
        <w:t xml:space="preserve">Release-triggered safety assessments for system updates</w:t>
      </w:r>
    </w:p>
    <w:p>
      <w:pPr>
        <w:pStyle w:val="ListParagraph"/>
        <w:numPr>
          <w:ilvl w:val="0"/>
          <w:numId w:val="2"/>
        </w:numPr>
      </w:pPr>
      <w:r>
        <w:rPr>
          <w:rFonts w:ascii="Arial" w:cs="Arial" w:eastAsia="Arial" w:hAnsi="Arial"/>
          <w:sz w:val="22"/>
          <w:szCs w:val="22"/>
        </w:rPr>
        <w:t xml:space="preserve">Sub-processor compliance monitoring</w:t>
      </w:r>
    </w:p>
    <w:p>
      <w:r>
        <w:br w:type="page"/>
      </w:r>
    </w:p>
    <w:p>
      <w:pPr>
        <w:pStyle w:val="Heading1"/>
        <w:spacing w:before="400" w:after="200"/>
      </w:pPr>
      <w:r>
        <w:rPr>
          <w:rFonts w:ascii="Arial" w:cs="Arial" w:eastAsia="Arial" w:hAnsi="Arial"/>
          <w:b/>
          <w:bCs/>
          <w:sz w:val="32"/>
          <w:szCs w:val="32"/>
        </w:rPr>
        <w:t xml:space="preserve">13. Conclusions and Recommendations</w:t>
      </w:r>
    </w:p>
    <w:p>
      <w:pPr>
        <w:pStyle w:val="Heading2"/>
        <w:spacing w:before="300" w:after="150"/>
      </w:pPr>
      <w:r>
        <w:rPr>
          <w:rFonts w:ascii="Arial" w:cs="Arial" w:eastAsia="Arial" w:hAnsi="Arial"/>
          <w:b/>
          <w:bCs/>
          <w:sz w:val="26"/>
          <w:szCs w:val="26"/>
        </w:rPr>
        <w:t xml:space="preserve">13.1 Data Protection Assessment Conclusion</w:t>
      </w:r>
    </w:p>
    <w:p>
      <w:pPr>
        <w:spacing w:after="120"/>
      </w:pPr>
      <w:r>
        <w:rPr>
          <w:rFonts w:ascii="Arial" w:cs="Arial" w:eastAsia="Arial" w:hAnsi="Arial"/>
          <w:sz w:val="22"/>
          <w:szCs w:val="22"/>
        </w:rPr>
        <w:t xml:space="preserve">This DPIA has systematically assessed the data protection risks associated with GP Notewell AI. The assessment concludes that:</w:t>
      </w:r>
    </w:p>
    <w:p>
      <w:pPr>
        <w:pStyle w:val="ListParagraph"/>
        <w:numPr>
          <w:ilvl w:val="0"/>
          <w:numId w:val="2"/>
        </w:numPr>
      </w:pPr>
      <w:r>
        <w:rPr>
          <w:rFonts w:ascii="Arial" w:cs="Arial" w:eastAsia="Arial" w:hAnsi="Arial"/>
          <w:sz w:val="22"/>
          <w:szCs w:val="22"/>
        </w:rPr>
        <w:t xml:space="preserve">Processing is lawful under Article 6(1)(e) and Article 9(2)(h) GDPR</w:t>
      </w:r>
    </w:p>
    <w:p>
      <w:pPr>
        <w:pStyle w:val="ListParagraph"/>
        <w:numPr>
          <w:ilvl w:val="0"/>
          <w:numId w:val="2"/>
        </w:numPr>
      </w:pPr>
      <w:r>
        <w:rPr>
          <w:rFonts w:ascii="Arial" w:cs="Arial" w:eastAsia="Arial" w:hAnsi="Arial"/>
          <w:sz w:val="22"/>
          <w:szCs w:val="22"/>
        </w:rPr>
        <w:t xml:space="preserve">Processing is necessary and proportionate to the legitimate aims</w:t>
      </w:r>
    </w:p>
    <w:p>
      <w:pPr>
        <w:pStyle w:val="ListParagraph"/>
        <w:numPr>
          <w:ilvl w:val="0"/>
          <w:numId w:val="2"/>
        </w:numPr>
      </w:pPr>
      <w:r>
        <w:rPr>
          <w:rFonts w:ascii="Arial" w:cs="Arial" w:eastAsia="Arial" w:hAnsi="Arial"/>
          <w:sz w:val="22"/>
          <w:szCs w:val="22"/>
        </w:rPr>
        <w:t xml:space="preserve">Appropriate technical and organisational measures are in place</w:t>
      </w:r>
    </w:p>
    <w:p>
      <w:pPr>
        <w:pStyle w:val="ListParagraph"/>
        <w:numPr>
          <w:ilvl w:val="0"/>
          <w:numId w:val="2"/>
        </w:numPr>
      </w:pPr>
      <w:r>
        <w:rPr>
          <w:rFonts w:ascii="Arial" w:cs="Arial" w:eastAsia="Arial" w:hAnsi="Arial"/>
          <w:sz w:val="22"/>
          <w:szCs w:val="22"/>
        </w:rPr>
        <w:t xml:space="preserve">Data subject rights can be exercised effectively</w:t>
      </w:r>
    </w:p>
    <w:p>
      <w:pPr>
        <w:pStyle w:val="ListParagraph"/>
        <w:numPr>
          <w:ilvl w:val="0"/>
          <w:numId w:val="2"/>
        </w:numPr>
      </w:pPr>
      <w:r>
        <w:rPr>
          <w:rFonts w:ascii="Arial" w:cs="Arial" w:eastAsia="Arial" w:hAnsi="Arial"/>
          <w:sz w:val="22"/>
          <w:szCs w:val="22"/>
        </w:rPr>
        <w:t xml:space="preserve">International transfers are protected by appropriate safeguards</w:t>
      </w:r>
    </w:p>
    <w:p>
      <w:pPr>
        <w:pStyle w:val="ListParagraph"/>
        <w:numPr>
          <w:ilvl w:val="0"/>
          <w:numId w:val="2"/>
        </w:numPr>
      </w:pPr>
      <w:r>
        <w:rPr>
          <w:rFonts w:ascii="Arial" w:cs="Arial" w:eastAsia="Arial" w:hAnsi="Arial"/>
          <w:sz w:val="22"/>
          <w:szCs w:val="22"/>
        </w:rPr>
        <w:t xml:space="preserve">Residual data protection risk is MEDIUM and acceptable with current controls</w:t>
      </w:r>
    </w:p>
    <w:p>
      <w:pPr>
        <w:pStyle w:val="Heading2"/>
        <w:spacing w:before="300" w:after="150"/>
      </w:pPr>
      <w:r>
        <w:rPr>
          <w:rFonts w:ascii="Arial" w:cs="Arial" w:eastAsia="Arial" w:hAnsi="Arial"/>
          <w:b/>
          <w:bCs/>
          <w:sz w:val="26"/>
          <w:szCs w:val="26"/>
        </w:rPr>
        <w:t xml:space="preserve">13.2 Clinical Safety Assessment Conclusion</w:t>
      </w:r>
    </w:p>
    <w:p>
      <w:pPr>
        <w:spacing w:after="120"/>
      </w:pPr>
      <w:r>
        <w:rPr>
          <w:rFonts w:ascii="Arial" w:cs="Arial" w:eastAsia="Arial" w:hAnsi="Arial"/>
          <w:sz w:val="22"/>
          <w:szCs w:val="22"/>
        </w:rPr>
        <w:t xml:space="preserve">This Clinical Safety Case Report demonstrates that GP Notewell AI has undergone rigorous clinical risk assessment in accordance with DCB0160. The assessment concludes that:</w:t>
      </w:r>
    </w:p>
    <w:p>
      <w:pPr>
        <w:pStyle w:val="ListParagraph"/>
        <w:numPr>
          <w:ilvl w:val="0"/>
          <w:numId w:val="2"/>
        </w:numPr>
      </w:pPr>
      <w:r>
        <w:rPr>
          <w:rFonts w:ascii="Arial" w:cs="Arial" w:eastAsia="Arial" w:hAnsi="Arial"/>
          <w:sz w:val="22"/>
          <w:szCs w:val="22"/>
        </w:rPr>
        <w:t xml:space="preserve">15 clinical hazards have been identified and assessed</w:t>
      </w:r>
    </w:p>
    <w:p>
      <w:pPr>
        <w:pStyle w:val="ListParagraph"/>
        <w:numPr>
          <w:ilvl w:val="0"/>
          <w:numId w:val="2"/>
        </w:numPr>
      </w:pPr>
      <w:r>
        <w:rPr>
          <w:rFonts w:ascii="Arial" w:cs="Arial" w:eastAsia="Arial" w:hAnsi="Arial"/>
          <w:sz w:val="22"/>
          <w:szCs w:val="22"/>
        </w:rPr>
        <w:t xml:space="preserve">All hazards have been mitigated to As Low As Reasonably Practicable (ALARP)</w:t>
      </w:r>
    </w:p>
    <w:p>
      <w:pPr>
        <w:pStyle w:val="ListParagraph"/>
        <w:numPr>
          <w:ilvl w:val="0"/>
          <w:numId w:val="2"/>
        </w:numPr>
      </w:pPr>
      <w:r>
        <w:rPr>
          <w:rFonts w:ascii="Arial" w:cs="Arial" w:eastAsia="Arial" w:hAnsi="Arial"/>
          <w:sz w:val="22"/>
          <w:szCs w:val="22"/>
        </w:rPr>
        <w:t xml:space="preserve">No unacceptable residual risks remain</w:t>
      </w:r>
    </w:p>
    <w:p>
      <w:pPr>
        <w:pStyle w:val="ListParagraph"/>
        <w:numPr>
          <w:ilvl w:val="0"/>
          <w:numId w:val="2"/>
        </w:numPr>
      </w:pPr>
      <w:r>
        <w:rPr>
          <w:rFonts w:ascii="Arial" w:cs="Arial" w:eastAsia="Arial" w:hAnsi="Arial"/>
          <w:sz w:val="22"/>
          <w:szCs w:val="22"/>
        </w:rPr>
        <w:t xml:space="preserve">Human-in-the-loop design ensures clinical oversight of all AI outputs</w:t>
      </w:r>
    </w:p>
    <w:p>
      <w:pPr>
        <w:pStyle w:val="ListParagraph"/>
        <w:numPr>
          <w:ilvl w:val="0"/>
          <w:numId w:val="2"/>
        </w:numPr>
      </w:pPr>
      <w:r>
        <w:rPr>
          <w:rFonts w:ascii="Arial" w:cs="Arial" w:eastAsia="Arial" w:hAnsi="Arial"/>
          <w:sz w:val="22"/>
          <w:szCs w:val="22"/>
        </w:rPr>
        <w:t xml:space="preserve">Deploying organisation responsibilities are clearly defined</w:t>
      </w:r>
    </w:p>
    <w:p>
      <w:pPr>
        <w:pStyle w:val="ListParagraph"/>
        <w:numPr>
          <w:ilvl w:val="0"/>
          <w:numId w:val="2"/>
        </w:numPr>
      </w:pPr>
      <w:r>
        <w:rPr>
          <w:rFonts w:ascii="Arial" w:cs="Arial" w:eastAsia="Arial" w:hAnsi="Arial"/>
          <w:sz w:val="22"/>
          <w:szCs w:val="22"/>
        </w:rPr>
        <w:t xml:space="preserve">Ongoing safety monitoring processes are established</w:t>
      </w:r>
    </w:p>
    <w:p>
      <w:pPr>
        <w:pStyle w:val="Heading2"/>
        <w:spacing w:before="300" w:after="150"/>
      </w:pPr>
      <w:r>
        <w:rPr>
          <w:rFonts w:ascii="Arial" w:cs="Arial" w:eastAsia="Arial" w:hAnsi="Arial"/>
          <w:b/>
          <w:bCs/>
          <w:sz w:val="26"/>
          <w:szCs w:val="26"/>
        </w:rPr>
        <w:t xml:space="preserve">13.3 CSO Recommendation</w:t>
      </w:r>
    </w:p>
    <w:p>
      <w:pPr>
        <w:spacing w:after="120"/>
      </w:pPr>
      <w:r>
        <w:rPr>
          <w:rFonts w:ascii="Arial" w:cs="Arial" w:eastAsia="Arial" w:hAnsi="Arial"/>
          <w:sz w:val="22"/>
          <w:szCs w:val="22"/>
        </w:rPr>
        <w:t xml:space="preserve">Based on the evidence presented in this Clinical Safety Case Report, and subject to:</w:t>
      </w:r>
    </w:p>
    <w:p>
      <w:pPr>
        <w:pStyle w:val="ListParagraph"/>
        <w:numPr>
          <w:ilvl w:val="0"/>
          <w:numId w:val="3"/>
        </w:numPr>
      </w:pPr>
      <w:r>
        <w:rPr>
          <w:rFonts w:ascii="Arial" w:cs="Arial" w:eastAsia="Arial" w:hAnsi="Arial"/>
          <w:sz w:val="22"/>
          <w:szCs w:val="22"/>
        </w:rPr>
        <w:t xml:space="preserve">Completion of all pre-deployment actions (Section 12.1) by stated deadlines</w:t>
      </w:r>
    </w:p>
    <w:p>
      <w:pPr>
        <w:pStyle w:val="ListParagraph"/>
        <w:numPr>
          <w:ilvl w:val="0"/>
          <w:numId w:val="3"/>
        </w:numPr>
      </w:pPr>
      <w:r>
        <w:rPr>
          <w:rFonts w:ascii="Arial" w:cs="Arial" w:eastAsia="Arial" w:hAnsi="Arial"/>
          <w:sz w:val="22"/>
          <w:szCs w:val="22"/>
        </w:rPr>
        <w:t xml:space="preserve">Deploying organisations implementing mandatory controls (Section 11.1)</w:t>
      </w:r>
    </w:p>
    <w:p>
      <w:pPr>
        <w:pStyle w:val="ListParagraph"/>
        <w:numPr>
          <w:ilvl w:val="0"/>
          <w:numId w:val="3"/>
        </w:numPr>
      </w:pPr>
      <w:r>
        <w:rPr>
          <w:rFonts w:ascii="Arial" w:cs="Arial" w:eastAsia="Arial" w:hAnsi="Arial"/>
          <w:sz w:val="22"/>
          <w:szCs w:val="22"/>
        </w:rPr>
        <w:t xml:space="preserve">Commitment to post-deployment mitigations (Section 12.2)</w:t>
      </w:r>
    </w:p>
    <w:p>
      <w:pPr>
        <w:spacing w:before="200"/>
      </w:pPr>
    </w:p>
    <w:p>
      <w:pPr>
        <w:spacing w:after="120"/>
      </w:pPr>
      <w:r>
        <w:rPr>
          <w:rFonts w:ascii="Arial" w:cs="Arial" w:eastAsia="Arial" w:hAnsi="Arial"/>
          <w:b/>
          <w:bCs/>
          <w:sz w:val="22"/>
          <w:szCs w:val="22"/>
        </w:rPr>
        <w:t xml:space="preserve">The Clinical Safety Officer recommends that GP Notewell AI is SUITABLE FOR DEPLOYMENT in NHS primary care settings.</w:t>
      </w:r>
    </w:p>
    <w:p>
      <w:pPr>
        <w:pStyle w:val="Heading2"/>
        <w:spacing w:before="300" w:after="150"/>
      </w:pPr>
      <w:r>
        <w:rPr>
          <w:rFonts w:ascii="Arial" w:cs="Arial" w:eastAsia="Arial" w:hAnsi="Arial"/>
          <w:b/>
          <w:bCs/>
          <w:sz w:val="26"/>
          <w:szCs w:val="26"/>
        </w:rPr>
        <w:t xml:space="preserve">13.4 DPO Recommendation</w:t>
      </w:r>
    </w:p>
    <w:p>
      <w:pPr>
        <w:spacing w:after="120"/>
      </w:pPr>
      <w:r>
        <w:rPr>
          <w:rFonts w:ascii="Arial" w:cs="Arial" w:eastAsia="Arial" w:hAnsi="Arial"/>
          <w:sz w:val="22"/>
          <w:szCs w:val="22"/>
        </w:rPr>
        <w:t xml:space="preserve">The Data Protection Officer recommends approval of this DPIA, noting that residual data protection risks are acceptable with current controls in place.</w:t>
      </w:r>
    </w:p>
    <w:p>
      <w:r>
        <w:br w:type="page"/>
      </w:r>
    </w:p>
    <w:p>
      <w:pPr>
        <w:pStyle w:val="Heading1"/>
        <w:spacing w:before="400" w:after="200"/>
      </w:pPr>
      <w:r>
        <w:rPr>
          <w:rFonts w:ascii="Arial" w:cs="Arial" w:eastAsia="Arial" w:hAnsi="Arial"/>
          <w:b/>
          <w:bCs/>
          <w:sz w:val="32"/>
          <w:szCs w:val="32"/>
        </w:rPr>
        <w:t xml:space="preserve">14. Document Approval and Sign-Off</w:t>
      </w:r>
    </w:p>
    <w:p>
      <w:pPr>
        <w:pStyle w:val="Heading2"/>
        <w:spacing w:before="300" w:after="150"/>
      </w:pPr>
      <w:r>
        <w:rPr>
          <w:rFonts w:ascii="Arial" w:cs="Arial" w:eastAsia="Arial" w:hAnsi="Arial"/>
          <w:b/>
          <w:bCs/>
          <w:sz w:val="26"/>
          <w:szCs w:val="26"/>
        </w:rPr>
        <w:t xml:space="preserve">14.1 Clinical Safety Officer Approval</w:t>
      </w:r>
    </w:p>
    <w:p>
      <w:pPr>
        <w:spacing w:before="200"/>
      </w:pPr>
    </w:p>
    <w:p>
      <w:pPr>
        <w:spacing w:after="120"/>
      </w:pPr>
      <w:r>
        <w:rPr>
          <w:rFonts w:ascii="Arial" w:cs="Arial" w:eastAsia="Arial" w:hAnsi="Arial"/>
          <w:sz w:val="22"/>
          <w:szCs w:val="22"/>
        </w:rPr>
        <w:t xml:space="preserve">I have reviewed this Clinical Safety Case Report and associated Hazard Log. I am satisfied that:</w:t>
      </w:r>
    </w:p>
    <w:p>
      <w:pPr>
        <w:pStyle w:val="ListParagraph"/>
        <w:numPr>
          <w:ilvl w:val="0"/>
          <w:numId w:val="2"/>
        </w:numPr>
      </w:pPr>
      <w:r>
        <w:rPr>
          <w:rFonts w:ascii="Arial" w:cs="Arial" w:eastAsia="Arial" w:hAnsi="Arial"/>
          <w:sz w:val="22"/>
          <w:szCs w:val="22"/>
        </w:rPr>
        <w:t xml:space="preserve">The clinical risk assessment has been conducted in accordance with DCB0160</w:t>
      </w:r>
    </w:p>
    <w:p>
      <w:pPr>
        <w:pStyle w:val="ListParagraph"/>
        <w:numPr>
          <w:ilvl w:val="0"/>
          <w:numId w:val="2"/>
        </w:numPr>
      </w:pPr>
      <w:r>
        <w:rPr>
          <w:rFonts w:ascii="Arial" w:cs="Arial" w:eastAsia="Arial" w:hAnsi="Arial"/>
          <w:sz w:val="22"/>
          <w:szCs w:val="22"/>
        </w:rPr>
        <w:t xml:space="preserve">All identified hazards have been appropriately assessed and mitigated</w:t>
      </w:r>
    </w:p>
    <w:p>
      <w:pPr>
        <w:pStyle w:val="ListParagraph"/>
        <w:numPr>
          <w:ilvl w:val="0"/>
          <w:numId w:val="2"/>
        </w:numPr>
      </w:pPr>
      <w:r>
        <w:rPr>
          <w:rFonts w:ascii="Arial" w:cs="Arial" w:eastAsia="Arial" w:hAnsi="Arial"/>
          <w:sz w:val="22"/>
          <w:szCs w:val="22"/>
        </w:rPr>
        <w:t xml:space="preserve">Residual risks fall within NHS acceptability criteria</w:t>
      </w:r>
    </w:p>
    <w:p>
      <w:pPr>
        <w:pStyle w:val="ListParagraph"/>
        <w:numPr>
          <w:ilvl w:val="0"/>
          <w:numId w:val="2"/>
        </w:numPr>
      </w:pPr>
      <w:r>
        <w:rPr>
          <w:rFonts w:ascii="Arial" w:cs="Arial" w:eastAsia="Arial" w:hAnsi="Arial"/>
          <w:sz w:val="22"/>
          <w:szCs w:val="22"/>
        </w:rPr>
        <w:t xml:space="preserve">The system is safe for deployment subject to stated conditions</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CSO Name: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Professional Registration: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Signature: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pStyle w:val="Heading2"/>
        <w:spacing w:before="300" w:after="150"/>
      </w:pPr>
      <w:r>
        <w:rPr>
          <w:rFonts w:ascii="Arial" w:cs="Arial" w:eastAsia="Arial" w:hAnsi="Arial"/>
          <w:b/>
          <w:bCs/>
          <w:sz w:val="26"/>
          <w:szCs w:val="26"/>
        </w:rPr>
        <w:t xml:space="preserve">14.2 Data Protection Officer Approval</w:t>
      </w:r>
    </w:p>
    <w:p>
      <w:pPr>
        <w:spacing w:before="200"/>
      </w:pPr>
    </w:p>
    <w:p>
      <w:pPr>
        <w:spacing w:after="120"/>
      </w:pPr>
      <w:r>
        <w:rPr>
          <w:rFonts w:ascii="Arial" w:cs="Arial" w:eastAsia="Arial" w:hAnsi="Arial"/>
          <w:sz w:val="22"/>
          <w:szCs w:val="22"/>
        </w:rPr>
        <w:t xml:space="preserve">I have reviewed this Data Protection Impact Assessment. I am satisfied that:</w:t>
      </w:r>
    </w:p>
    <w:p>
      <w:pPr>
        <w:pStyle w:val="ListParagraph"/>
        <w:numPr>
          <w:ilvl w:val="0"/>
          <w:numId w:val="2"/>
        </w:numPr>
      </w:pPr>
      <w:r>
        <w:rPr>
          <w:rFonts w:ascii="Arial" w:cs="Arial" w:eastAsia="Arial" w:hAnsi="Arial"/>
          <w:sz w:val="22"/>
          <w:szCs w:val="22"/>
        </w:rPr>
        <w:t xml:space="preserve">The assessment complies with UK GDPR Article 35 requirements</w:t>
      </w:r>
    </w:p>
    <w:p>
      <w:pPr>
        <w:pStyle w:val="ListParagraph"/>
        <w:numPr>
          <w:ilvl w:val="0"/>
          <w:numId w:val="2"/>
        </w:numPr>
      </w:pPr>
      <w:r>
        <w:rPr>
          <w:rFonts w:ascii="Arial" w:cs="Arial" w:eastAsia="Arial" w:hAnsi="Arial"/>
          <w:sz w:val="22"/>
          <w:szCs w:val="22"/>
        </w:rPr>
        <w:t xml:space="preserve">Data protection risks have been appropriately identified and mitigated</w:t>
      </w:r>
    </w:p>
    <w:p>
      <w:pPr>
        <w:pStyle w:val="ListParagraph"/>
        <w:numPr>
          <w:ilvl w:val="0"/>
          <w:numId w:val="2"/>
        </w:numPr>
      </w:pPr>
      <w:r>
        <w:rPr>
          <w:rFonts w:ascii="Arial" w:cs="Arial" w:eastAsia="Arial" w:hAnsi="Arial"/>
          <w:sz w:val="22"/>
          <w:szCs w:val="22"/>
        </w:rPr>
        <w:t xml:space="preserve">Processing can proceed with stated controls in place</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DPO Name: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Signature: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pStyle w:val="Heading2"/>
        <w:spacing w:before="300" w:after="150"/>
      </w:pPr>
      <w:r>
        <w:rPr>
          <w:rFonts w:ascii="Arial" w:cs="Arial" w:eastAsia="Arial" w:hAnsi="Arial"/>
          <w:b/>
          <w:bCs/>
          <w:sz w:val="26"/>
          <w:szCs w:val="26"/>
        </w:rPr>
        <w:t xml:space="preserve">14.3 Senior Responsible Owner Approval</w:t>
      </w:r>
    </w:p>
    <w:p>
      <w:pPr>
        <w:spacing w:before="200"/>
      </w:pPr>
    </w:p>
    <w:p>
      <w:pPr>
        <w:spacing w:after="120"/>
      </w:pPr>
      <w:r>
        <w:rPr>
          <w:rFonts w:ascii="Arial" w:cs="Arial" w:eastAsia="Arial" w:hAnsi="Arial"/>
          <w:sz w:val="22"/>
          <w:szCs w:val="22"/>
        </w:rPr>
        <w:t xml:space="preserve">As Senior Responsible Owner, I accept the residual risks identified in this assessment and authorise deployment of GP Notewell AI subject to the conditions stated herein.</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Malcolm Railson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PCN Development Manager / CEO, PCN Services Ltd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Signature: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r>
        <w:br w:type="page"/>
      </w:r>
    </w:p>
    <w:p>
      <w:pPr>
        <w:pStyle w:val="Heading1"/>
        <w:spacing w:before="400" w:after="200"/>
      </w:pPr>
      <w:r>
        <w:rPr>
          <w:rFonts w:ascii="Arial" w:cs="Arial" w:eastAsia="Arial" w:hAnsi="Arial"/>
          <w:b/>
          <w:bCs/>
          <w:sz w:val="32"/>
          <w:szCs w:val="32"/>
        </w:rPr>
        <w:t xml:space="preserve">Appendix A: Document Control</w:t>
      </w:r>
    </w:p>
    <w:p>
      <w:pPr>
        <w:pStyle w:val="Heading2"/>
        <w:spacing w:before="300" w:after="150"/>
      </w:pPr>
      <w:r>
        <w:rPr>
          <w:rFonts w:ascii="Arial" w:cs="Arial" w:eastAsia="Arial" w:hAnsi="Arial"/>
          <w:b/>
          <w:bCs/>
          <w:sz w:val="26"/>
          <w:szCs w:val="26"/>
        </w:rPr>
        <w:t xml:space="preserve">A.1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36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01/11/2025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Malcolm Railson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draft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15/11/2025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Malcolm Railson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Added hazard log summary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17/11/2025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Malcolm Railson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release for review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20/01/2026</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Malcolm Railson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DCB0160 integration, comprehensive update</w:t>
            </w:r>
          </w:p>
        </w:tc>
      </w:tr>
    </w:tbl>
    <w:p>
      <w:pPr>
        <w:pStyle w:val="Heading2"/>
        <w:spacing w:before="300" w:after="150"/>
      </w:pPr>
      <w:r>
        <w:rPr>
          <w:rFonts w:ascii="Arial" w:cs="Arial" w:eastAsia="Arial" w:hAnsi="Arial"/>
          <w:b/>
          <w:bCs/>
          <w:sz w:val="26"/>
          <w:szCs w:val="26"/>
        </w:rPr>
        <w:t xml:space="preserve">A.2 Distribution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Organisation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Safety Officer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CSO approval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Protection Officer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DPO approval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Caldicott Guardian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PCN/Practice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IG oversight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ICB Digital Lead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NHS Northamptonshire ICB</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Assurance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Deploying Practices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 per deployment schedule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DCB0160 compliance</w:t>
            </w:r>
          </w:p>
        </w:tc>
      </w:tr>
    </w:tbl>
    <w:p>
      <w:pPr>
        <w:pStyle w:val="Heading2"/>
        <w:spacing w:before="300" w:after="150"/>
      </w:pPr>
      <w:r>
        <w:rPr>
          <w:rFonts w:ascii="Arial" w:cs="Arial" w:eastAsia="Arial" w:hAnsi="Arial"/>
          <w:b/>
          <w:bCs/>
          <w:sz w:val="26"/>
          <w:szCs w:val="26"/>
        </w:rPr>
        <w:t xml:space="preserve">A.3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Ref</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PCNS-CRMP-001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Risk Management Plan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PCNS-HL-001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Safety Hazard Log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PCNS-IMP-001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Incident Management Procedure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PCNS-CCP-001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 Control Procedure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PCNS-DPA-001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Processing Agreement Template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PCNS-TRN-001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Training Materials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bl>
    <w:p>
      <w:r>
        <w:br w:type="page"/>
      </w:r>
    </w:p>
    <w:p>
      <w:pPr>
        <w:pStyle w:val="Heading1"/>
        <w:spacing w:before="400" w:after="200"/>
      </w:pPr>
      <w:r>
        <w:rPr>
          <w:rFonts w:ascii="Arial" w:cs="Arial" w:eastAsia="Arial" w:hAnsi="Arial"/>
          <w:b/>
          <w:bCs/>
          <w:sz w:val="32"/>
          <w:szCs w:val="32"/>
        </w:rPr>
        <w:t xml:space="preserve">Appendix B: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ALARP</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 Low As Reasonably Practicable - risk reduction principle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Safety Officer - registered clinician responsible for clinical safety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CSHL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Safety Hazard Log - documented record of identified hazards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Safety Case Report - this document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DCB0129</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NHS standard for manufacturers of health IT systems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DCB0160</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NHS standard for deployment and use of health IT systems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DPA</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Processing Agreement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DPIA</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Protection Impact Assessment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GDPR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 Data Protection Regulation (UK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HITL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Human-in-the-loop - design principle requiring human oversight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Large Language Model - AI technology underpinning GPT-4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MHRA</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Medicines and Healthcare products Regulatory Agency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RLS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Row-Level Security - database access control mechanism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SCC</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Contractual Clauses - international transfer mechanism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SNOMED CT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Systematized Nomenclature of Medicine Clinical Terms</w:t>
            </w:r>
          </w:p>
        </w:tc>
      </w:tr>
    </w:tbl>
    <w:p>
      <w:r>
        <w:br w:type="page"/>
      </w:r>
    </w:p>
    <w:p>
      <w:pPr>
        <w:pStyle w:val="Heading1"/>
        <w:spacing w:before="400" w:after="200"/>
      </w:pPr>
      <w:r>
        <w:rPr>
          <w:rFonts w:ascii="Arial" w:cs="Arial" w:eastAsia="Arial" w:hAnsi="Arial"/>
          <w:b/>
          <w:bCs/>
          <w:sz w:val="32"/>
          <w:szCs w:val="32"/>
        </w:rPr>
        <w:t xml:space="preserve">Appendix C: Contact Information</w:t>
      </w:r>
    </w:p>
    <w:p>
      <w:pPr>
        <w:pStyle w:val="Heading2"/>
        <w:spacing w:before="300" w:after="150"/>
      </w:pPr>
      <w:r>
        <w:rPr>
          <w:rFonts w:ascii="Arial" w:cs="Arial" w:eastAsia="Arial" w:hAnsi="Arial"/>
          <w:b/>
          <w:bCs/>
          <w:sz w:val="26"/>
          <w:szCs w:val="26"/>
        </w:rPr>
        <w:t xml:space="preserve">C.1 PCN Services Ltd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Contact Type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 Enquiries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Address]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Technical Support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[Support Email]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Safety Issues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[CSO Email]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Protection Enquiries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[DPO Email]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Emergency Contact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[Phone Number]</w:t>
            </w:r>
          </w:p>
        </w:tc>
      </w:tr>
    </w:tbl>
    <w:p>
      <w:pPr>
        <w:pStyle w:val="Heading2"/>
        <w:spacing w:before="300" w:after="150"/>
      </w:pPr>
      <w:r>
        <w:rPr>
          <w:rFonts w:ascii="Arial" w:cs="Arial" w:eastAsia="Arial" w:hAnsi="Arial"/>
          <w:b/>
          <w:bCs/>
          <w:sz w:val="26"/>
          <w:szCs w:val="26"/>
        </w:rPr>
        <w:t xml:space="preserve">C.2 Regulatory Bodies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Contact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Information Commissioner's Office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ico.org.uk | 0303 123 1113</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NHS Digital Clinical Safety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csoenquiries@nhs.net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MHRA</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devices.regulatory@mhra.gov.uk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CQC</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enquiries@cqc.org.uk</w:t>
            </w:r>
          </w:p>
        </w:tc>
      </w:tr>
    </w:tbl>
    <w:p>
      <w:pPr>
        <w:spacing w:before="600"/>
      </w:pPr>
    </w:p>
    <w:p>
      <w:pPr>
        <w:jc w:val="center"/>
      </w:pPr>
      <w:r>
        <w:rPr>
          <w:rFonts w:ascii="Arial" w:cs="Arial" w:eastAsia="Arial" w:hAnsi="Arial"/>
          <w:color w:val="666666"/>
          <w:sz w:val="22"/>
          <w:szCs w:val="22"/>
        </w:rPr>
        <w:t xml:space="preserve">--- END OF DOCUMENT ---</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PCN Services Ltd | Version 2.0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GP Notewell AI - DPIA &amp; Clinical Safety Case | </w:t>
    </w:r>
    <w:r>
      <w:rPr>
        <w:rFonts w:ascii="Arial" w:cs="Arial" w:eastAsia="Arial" w:hAnsi="Arial"/>
        <w:b/>
        <w:bCs/>
        <w:color w:val="C00000"/>
        <w:sz w:val="18"/>
        <w:szCs w:val="18"/>
      </w:rPr>
      <w:t xml:space="preserve">Classification: Official - Sensitive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2026-01-20T08:54:24.509Z</dcterms:created>
  <dcterms:modified xsi:type="dcterms:W3CDTF">2026-01-20T08:54:24.510Z</dcterms:modified>
</cp:coreProperties>
</file>

<file path=docProps/custom.xml><?xml version="1.0" encoding="utf-8"?>
<Properties xmlns="http://schemas.openxmlformats.org/officeDocument/2006/custom-properties" xmlns:vt="http://schemas.openxmlformats.org/officeDocument/2006/docPropsVTypes"/>
</file>