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pPr>
      <w:r>
        <w:rPr>
          <w:rFonts w:ascii="Arial" w:cs="Arial" w:eastAsia="Arial" w:hAnsi="Arial"/>
          <w:b/>
          <w:bCs/>
          <w:color w:val="005EB8"/>
          <w:sz w:val="22"/>
          <w:szCs w:val="22"/>
        </w:rPr>
        <w:t xml:space="preserve">NORTHAMPTONSHIRE RURAL EAST &amp; SOUTH</w:t>
      </w:r>
    </w:p>
    <w:p>
      <w:pPr>
        <w:spacing w:after="200"/>
      </w:pPr>
      <w:r>
        <w:rPr>
          <w:rFonts w:ascii="Arial" w:cs="Arial" w:eastAsia="Arial" w:hAnsi="Arial"/>
          <w:b/>
          <w:bCs/>
          <w:color w:val="003087"/>
          <w:sz w:val="44"/>
          <w:szCs w:val="44"/>
        </w:rPr>
        <w:t xml:space="preserve">Neighbourhood Access Service</w:t>
      </w:r>
    </w:p>
    <w:p>
      <w:pPr>
        <w:pBdr>
          <w:top w:val="single" w:color="005EB8" w:sz="8" w:space="4"/>
        </w:pBdr>
        <w:spacing w:before="200" w:after="400"/>
      </w:pPr>
      <w:r>
        <w:rPr>
          <w:rFonts w:ascii="Arial" w:cs="Arial" w:eastAsia="Arial" w:hAnsi="Arial"/>
          <w:b/>
          <w:bCs/>
          <w:color w:val="003087"/>
          <w:sz w:val="36"/>
          <w:szCs w:val="36"/>
        </w:rPr>
        <w:t xml:space="preserve">ICB Key Metrics &amp; Reporting Requirements</w:t>
      </w:r>
    </w:p>
    <w:p>
      <w:pPr>
        <w:spacing w:before="0" w:after="120"/>
      </w:pPr>
      <w:r>
        <w:rPr>
          <w:rFonts w:ascii="Arial" w:cs="Arial" w:eastAsia="Arial" w:hAnsi="Arial"/>
          <w:color w:val="444444"/>
          <w:sz w:val="22"/>
          <w:szCs w:val="22"/>
        </w:rPr>
        <w:t xml:space="preserve"/>
      </w:r>
      <w:r>
        <w:rPr>
          <w:rFonts w:ascii="Arial" w:cs="Arial" w:eastAsia="Arial" w:hAnsi="Arial"/>
          <w:b/>
          <w:bCs/>
          <w:color w:val="444444"/>
          <w:sz w:val="22"/>
          <w:szCs w:val="22"/>
        </w:rPr>
        <w:t xml:space="preserve">A Realistic Assessment of Data Availability, System Dependencies, and Achievable Timelines for the NRES New Models of Care Programme</w:t>
      </w:r>
      <w:r>
        <w:rPr>
          <w:rFonts w:ascii="Arial" w:cs="Arial" w:eastAsia="Arial" w:hAnsi="Arial"/>
          <w:color w:val="444444"/>
          <w:sz w:val="22"/>
          <w:szCs w:val="22"/>
        </w:rPr>
        <w:t xml:space="preserve"/>
      </w:r>
    </w:p>
    <w:p>
      <w:pPr>
        <w:spacing w:before="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auto" w:w="100"/>
            <w:tcBorders>
              <w:top w:val="none"/>
              <w:left w:val="none"/>
              <w:bottom w:val="none"/>
              <w:right w:val="none"/>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Prepared for:</w:t>
            </w:r>
          </w:p>
        </w:tc>
        <w:tc>
          <w:tcPr>
            <w:tcW w:type="auto" w:w="100"/>
            <w:tcBorders>
              <w:top w:val="none"/>
              <w:left w:val="none"/>
              <w:bottom w:val="none"/>
              <w:right w:val="none"/>
            </w:tcBorders>
            <w:tcMar>
              <w:top w:type="dxa" w:w="60"/>
              <w:left w:type="dxa" w:w="100"/>
              <w:bottom w:type="dxa" w:w="60"/>
              <w:right w:type="dxa" w:w="100"/>
            </w:tcMar>
          </w:tcPr>
          <w:p>
            <w:r>
              <w:rPr>
                <w:rFonts w:ascii="Arial" w:cs="Arial" w:eastAsia="Arial" w:hAnsi="Arial"/>
                <w:b w:val="false"/>
                <w:bCs w:val="false"/>
                <w:color w:val="000000"/>
                <w:sz w:val="18"/>
                <w:szCs w:val="18"/>
              </w:rPr>
              <w:t xml:space="preserve">Michael Chapman, Commissioning Manager, NHS Northamptonshire ICB</w:t>
            </w:r>
          </w:p>
        </w:tc>
      </w:tr>
      <w:tr>
        <w:tc>
          <w:tcPr>
            <w:tcW w:type="auto" w:w="100"/>
            <w:tcBorders>
              <w:top w:val="none"/>
              <w:left w:val="none"/>
              <w:bottom w:val="none"/>
              <w:right w:val="none"/>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Prepared by:</w:t>
            </w:r>
          </w:p>
        </w:tc>
        <w:tc>
          <w:tcPr>
            <w:tcW w:type="auto" w:w="100"/>
            <w:tcBorders>
              <w:top w:val="none"/>
              <w:left w:val="none"/>
              <w:bottom w:val="none"/>
              <w:right w:val="none"/>
            </w:tcBorders>
            <w:tcMar>
              <w:top w:type="dxa" w:w="60"/>
              <w:left w:type="dxa" w:w="100"/>
              <w:bottom w:type="dxa" w:w="60"/>
              <w:right w:type="dxa" w:w="100"/>
            </w:tcMar>
          </w:tcPr>
          <w:p>
            <w:r>
              <w:rPr>
                <w:rFonts w:ascii="Arial" w:cs="Arial" w:eastAsia="Arial" w:hAnsi="Arial"/>
                <w:b w:val="false"/>
                <w:bCs w:val="false"/>
                <w:color w:val="000000"/>
                <w:sz w:val="18"/>
                <w:szCs w:val="18"/>
              </w:rPr>
              <w:t xml:space="preserve">Malcolm Railson, NRES Manager</w:t>
            </w:r>
          </w:p>
        </w:tc>
      </w:tr>
      <w:tr>
        <w:tc>
          <w:tcPr>
            <w:tcW w:type="auto" w:w="100"/>
            <w:tcBorders>
              <w:top w:val="none"/>
              <w:left w:val="none"/>
              <w:bottom w:val="none"/>
              <w:right w:val="none"/>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Date:</w:t>
            </w:r>
          </w:p>
        </w:tc>
        <w:tc>
          <w:tcPr>
            <w:tcW w:type="auto" w:w="100"/>
            <w:tcBorders>
              <w:top w:val="none"/>
              <w:left w:val="none"/>
              <w:bottom w:val="none"/>
              <w:right w:val="none"/>
            </w:tcBorders>
            <w:tcMar>
              <w:top w:type="dxa" w:w="60"/>
              <w:left w:type="dxa" w:w="100"/>
              <w:bottom w:type="dxa" w:w="60"/>
              <w:right w:type="dxa" w:w="100"/>
            </w:tcMar>
          </w:tcPr>
          <w:p>
            <w:r>
              <w:rPr>
                <w:rFonts w:ascii="Arial" w:cs="Arial" w:eastAsia="Arial" w:hAnsi="Arial"/>
                <w:b w:val="false"/>
                <w:bCs w:val="false"/>
                <w:color w:val="000000"/>
                <w:sz w:val="18"/>
                <w:szCs w:val="18"/>
              </w:rPr>
              <w:t xml:space="preserve">March 2026</w:t>
            </w:r>
          </w:p>
        </w:tc>
      </w:tr>
      <w:tr>
        <w:tc>
          <w:tcPr>
            <w:tcW w:type="auto" w:w="100"/>
            <w:tcBorders>
              <w:top w:val="none"/>
              <w:left w:val="none"/>
              <w:bottom w:val="none"/>
              <w:right w:val="none"/>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Version:</w:t>
            </w:r>
          </w:p>
        </w:tc>
        <w:tc>
          <w:tcPr>
            <w:tcW w:type="auto" w:w="100"/>
            <w:tcBorders>
              <w:top w:val="none"/>
              <w:left w:val="none"/>
              <w:bottom w:val="none"/>
              <w:right w:val="none"/>
            </w:tcBorders>
            <w:tcMar>
              <w:top w:type="dxa" w:w="60"/>
              <w:left w:type="dxa" w:w="100"/>
              <w:bottom w:type="dxa" w:w="60"/>
              <w:right w:type="dxa" w:w="100"/>
            </w:tcMar>
          </w:tcPr>
          <w:p>
            <w:r>
              <w:rPr>
                <w:rFonts w:ascii="Arial" w:cs="Arial" w:eastAsia="Arial" w:hAnsi="Arial"/>
                <w:b w:val="false"/>
                <w:bCs w:val="false"/>
                <w:color w:val="000000"/>
                <w:sz w:val="18"/>
                <w:szCs w:val="18"/>
              </w:rPr>
              <w:t xml:space="preserve">1.0 — Pre Go-Live Baseline</w:t>
            </w:r>
          </w:p>
        </w:tc>
      </w:tr>
      <w:tr>
        <w:tc>
          <w:tcPr>
            <w:tcW w:type="auto" w:w="100"/>
            <w:tcBorders>
              <w:top w:val="none"/>
              <w:left w:val="none"/>
              <w:bottom w:val="none"/>
              <w:right w:val="none"/>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Service Go-Live:</w:t>
            </w:r>
          </w:p>
        </w:tc>
        <w:tc>
          <w:tcPr>
            <w:tcW w:type="auto" w:w="100"/>
            <w:tcBorders>
              <w:top w:val="none"/>
              <w:left w:val="none"/>
              <w:bottom w:val="none"/>
              <w:right w:val="none"/>
            </w:tcBorders>
            <w:tcMar>
              <w:top w:type="dxa" w:w="60"/>
              <w:left w:type="dxa" w:w="100"/>
              <w:bottom w:type="dxa" w:w="60"/>
              <w:right w:type="dxa" w:w="100"/>
            </w:tcMar>
          </w:tcPr>
          <w:p>
            <w:r>
              <w:rPr>
                <w:rFonts w:ascii="Arial" w:cs="Arial" w:eastAsia="Arial" w:hAnsi="Arial"/>
                <w:b/>
                <w:bCs/>
                <w:color w:val="DA291C"/>
                <w:sz w:val="18"/>
                <w:szCs w:val="18"/>
              </w:rPr>
              <w:t xml:space="preserve">1 April 2026</w:t>
            </w:r>
          </w:p>
        </w:tc>
      </w:tr>
      <w:tr>
        <w:tc>
          <w:tcPr>
            <w:tcW w:type="auto" w:w="100"/>
            <w:tcBorders>
              <w:top w:val="none"/>
              <w:left w:val="none"/>
              <w:bottom w:val="none"/>
              <w:right w:val="none"/>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Practices:</w:t>
            </w:r>
          </w:p>
        </w:tc>
        <w:tc>
          <w:tcPr>
            <w:tcW w:type="auto" w:w="100"/>
            <w:tcBorders>
              <w:top w:val="none"/>
              <w:left w:val="none"/>
              <w:bottom w:val="none"/>
              <w:right w:val="none"/>
            </w:tcBorders>
            <w:tcMar>
              <w:top w:type="dxa" w:w="60"/>
              <w:left w:type="dxa" w:w="100"/>
              <w:bottom w:type="dxa" w:w="60"/>
              <w:right w:type="dxa" w:w="100"/>
            </w:tcMar>
          </w:tcPr>
          <w:p>
            <w:r>
              <w:rPr>
                <w:rFonts w:ascii="Arial" w:cs="Arial" w:eastAsia="Arial" w:hAnsi="Arial"/>
                <w:b w:val="false"/>
                <w:bCs w:val="false"/>
                <w:color w:val="000000"/>
                <w:sz w:val="18"/>
                <w:szCs w:val="18"/>
              </w:rPr>
              <w:t xml:space="preserve">Brackley, Brook Health, Bugbrooke, Denton, Springfield, The Parks, Towcester</w:t>
            </w:r>
          </w:p>
        </w:tc>
      </w:tr>
      <w:tr>
        <w:tc>
          <w:tcPr>
            <w:tcW w:type="auto" w:w="100"/>
            <w:tcBorders>
              <w:top w:val="none"/>
              <w:left w:val="none"/>
              <w:bottom w:val="none"/>
              <w:right w:val="none"/>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Registered Patients:</w:t>
            </w:r>
          </w:p>
        </w:tc>
        <w:tc>
          <w:tcPr>
            <w:tcW w:type="auto" w:w="100"/>
            <w:tcBorders>
              <w:top w:val="none"/>
              <w:left w:val="none"/>
              <w:bottom w:val="none"/>
              <w:right w:val="none"/>
            </w:tcBorders>
            <w:tcMar>
              <w:top w:type="dxa" w:w="60"/>
              <w:left w:type="dxa" w:w="100"/>
              <w:bottom w:type="dxa" w:w="60"/>
              <w:right w:type="dxa" w:w="100"/>
            </w:tcMar>
          </w:tcPr>
          <w:p>
            <w:r>
              <w:rPr>
                <w:rFonts w:ascii="Arial" w:cs="Arial" w:eastAsia="Arial" w:hAnsi="Arial"/>
                <w:b w:val="false"/>
                <w:bCs w:val="false"/>
                <w:color w:val="000000"/>
                <w:sz w:val="18"/>
                <w:szCs w:val="18"/>
              </w:rPr>
              <w:t xml:space="preserve">89,584</w:t>
            </w:r>
          </w:p>
        </w:tc>
      </w:tr>
    </w:tbl>
    <w:p>
      <w:r>
        <w:br w:type="page"/>
      </w:r>
    </w:p>
    <w:p>
      <w:pPr>
        <w:pStyle w:val="Heading1"/>
      </w:pPr>
      <w:r>
        <w:t xml:space="preserve">1. Executive Summary</w:t>
      </w:r>
    </w:p>
    <w:p>
      <w:pPr>
        <w:spacing w:before="0" w:after="120"/>
      </w:pPr>
      <w:r>
        <w:rPr>
          <w:rFonts w:ascii="Arial" w:cs="Arial" w:eastAsia="Arial" w:hAnsi="Arial"/>
          <w:sz w:val="22"/>
          <w:szCs w:val="22"/>
        </w:rPr>
        <w:t xml:space="preserve">This report provides a frank and realistic assessment of the data and reporting requirements set out in the ICB draft Information Schedule for the NRES New Models of Care programme. It maps each of the 18 proposed indicators against the data currently available from GPAD practice-level exports, identifies specific system dependencies and gaps, and provides honest timelines for resolution.</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The core message is this:</w:t>
      </w:r>
      <w:r>
        <w:rPr>
          <w:rFonts w:ascii="Arial" w:cs="Arial" w:eastAsia="Arial" w:hAnsi="Arial"/>
          <w:sz w:val="22"/>
          <w:szCs w:val="22"/>
        </w:rPr>
        <w:t xml:space="preserve"> NRES has strong baseline data for appointment-level activity metrics (volumes, same-day access, DNA rates, workforce mix, appointment modes and durations) at individual practice level. However, approximately half of the ICB's proposed indicators require data from systems that are </w:t>
      </w:r>
      <w:r>
        <w:rPr>
          <w:rFonts w:ascii="Arial" w:cs="Arial" w:eastAsia="Arial" w:hAnsi="Arial"/>
          <w:b/>
          <w:bCs/>
          <w:sz w:val="22"/>
          <w:szCs w:val="22"/>
        </w:rPr>
        <w:t xml:space="preserve">outside NRES's direct control</w:t>
      </w:r>
      <w:r>
        <w:rPr>
          <w:rFonts w:ascii="Arial" w:cs="Arial" w:eastAsia="Arial" w:hAnsi="Arial"/>
          <w:sz w:val="22"/>
          <w:szCs w:val="22"/>
        </w:rPr>
        <w:t xml:space="preserve"> — particularly secondary care data from hospital trusts, community services providers, and national datasets. These cross-system dependencies will take significant time to resolve due to standard NHS information governance processes, BI team capacity, and the realities of inter-organisational data sharing.</w:t>
      </w:r>
    </w:p>
    <w:p>
      <w:pPr>
        <w:spacing w:before="0" w:after="120"/>
      </w:pPr>
      <w:r>
        <w:rPr>
          <w:rFonts w:ascii="Arial" w:cs="Arial" w:eastAsia="Arial" w:hAnsi="Arial"/>
          <w:sz w:val="22"/>
          <w:szCs w:val="22"/>
        </w:rPr>
        <w:t xml:space="preserve">The ICB should therefore expect a </w:t>
      </w:r>
      <w:r>
        <w:rPr>
          <w:rFonts w:ascii="Arial" w:cs="Arial" w:eastAsia="Arial" w:hAnsi="Arial"/>
          <w:b/>
          <w:bCs/>
          <w:sz w:val="22"/>
          <w:szCs w:val="22"/>
        </w:rPr>
        <w:t xml:space="preserve">phased reporting capability</w:t>
      </w:r>
      <w:r>
        <w:rPr>
          <w:rFonts w:ascii="Arial" w:cs="Arial" w:eastAsia="Arial" w:hAnsi="Arial"/>
          <w:sz w:val="22"/>
          <w:szCs w:val="22"/>
        </w:rPr>
        <w:t xml:space="preserve"> rather than a complete metrics pack from day one of the pilot.</w:t>
      </w:r>
    </w:p>
    <w:p>
      <w:pPr>
        <w:pStyle w:val="Heading2"/>
      </w:pPr>
      <w: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026"/>
      </w:tblGrid>
      <w:tr>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Key Dependency</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Data fully available from GPAD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r>
              <w:rPr>
                <w:rFonts w:ascii="Arial" w:cs="Arial" w:eastAsia="Arial" w:hAnsi="Arial"/>
                <w:b/>
                <w:bCs/>
                <w:color w:val="009639"/>
                <w:sz w:val="17"/>
                <w:szCs w:val="17"/>
              </w:rPr>
              <w:t xml:space="preserve">✓ Available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None — ready now</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Partial data / proxy measures available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w:t>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r>
              <w:rPr>
                <w:rFonts w:ascii="Arial" w:cs="Arial" w:eastAsia="Arial" w:hAnsi="Arial"/>
                <w:b/>
                <w:bCs/>
                <w:color w:val="ED8B00"/>
                <w:sz w:val="17"/>
                <w:szCs w:val="17"/>
              </w:rPr>
              <w:t xml:space="preserve">⚠ Partial</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SystmOne configuration, coding standards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Data not available — external systems required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w:t>
            </w:r>
          </w:p>
        </w:tc>
        <w:tc>
          <w:tcPr>
            <w:tcW w:type="auto" w:w="100"/>
            <w:tcBorders>
              <w:top w:val="single" w:color="CCCCCC" w:sz="1"/>
              <w:left w:val="single" w:color="CCCCCC" w:sz="1"/>
              <w:bottom w:val="single" w:color="CCCCCC" w:sz="1"/>
              <w:right w:val="single" w:color="CCCCCC" w:sz="1"/>
            </w:tcBorders>
            <w:shd w:fill="FFE0DE" w:val="clear"/>
            <w:tcMar>
              <w:top w:type="dxa" w:w="60"/>
              <w:left w:type="dxa" w:w="100"/>
              <w:bottom w:type="dxa" w:w="60"/>
              <w:right w:type="dxa" w:w="100"/>
            </w:tcMar>
          </w:tcPr>
          <w:p>
            <w:r>
              <w:rPr>
                <w:rFonts w:ascii="Arial" w:cs="Arial" w:eastAsia="Arial" w:hAnsi="Arial"/>
                <w:b/>
                <w:bCs/>
                <w:color w:val="DA291C"/>
                <w:sz w:val="17"/>
                <w:szCs w:val="17"/>
              </w:rPr>
              <w:t xml:space="preserve">✗ Not Available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ICB BI, hospital trusts, community providers</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Resolution Difficulty</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Typical NHS Timeline</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Realistic for NRES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Low — within NRES control</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2–4 weeks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Pre go-live (Mar 2026)</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Medium — needs ICB coordination</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2–6 months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Go-live + 3 months (Jul 2026)</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 — multi-agency / cross-system</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6–18 months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Formal review (Oct 2026) at earliest</w:t>
            </w:r>
          </w:p>
        </w:tc>
      </w:tr>
    </w:tbl>
    <w:p>
      <w:r>
        <w:br w:type="page"/>
      </w:r>
    </w:p>
    <w:p>
      <w:pPr>
        <w:pStyle w:val="Heading1"/>
      </w:pPr>
      <w:r>
        <w:t xml:space="preserve">2. NHS Systems Landscape</w:t>
      </w:r>
    </w:p>
    <w:p>
      <w:pPr>
        <w:spacing w:before="0" w:after="120"/>
      </w:pPr>
      <w:r>
        <w:rPr>
          <w:rFonts w:ascii="Arial" w:cs="Arial" w:eastAsia="Arial" w:hAnsi="Arial"/>
          <w:sz w:val="22"/>
          <w:szCs w:val="22"/>
        </w:rPr>
        <w:t xml:space="preserve">Understanding which NHS systems hold which data is essential to assessing the feasibility of each indicator. The NRES neighbourhood spans multiple data systems, provider organisations, and geographical boundaries.</w:t>
      </w:r>
    </w:p>
    <w:p>
      <w:pPr>
        <w:pStyle w:val="Heading2"/>
      </w:pPr>
      <w:r>
        <w:t xml:space="preserve">2.0 NRES Practice Profiles</w:t>
      </w:r>
    </w:p>
    <w:p>
      <w:pPr>
        <w:spacing w:before="0" w:after="120"/>
      </w:pPr>
      <w:r>
        <w:rPr>
          <w:rFonts w:ascii="Arial" w:cs="Arial" w:eastAsia="Arial" w:hAnsi="Arial"/>
          <w:sz w:val="22"/>
          <w:szCs w:val="22"/>
        </w:rPr>
        <w:t xml:space="preserve">The seven practices in the NRES neighbourhood span a wide geographical area from Brackley (near the Oxfordshire border) to Denton (south-east of Northampton). This geography drives the cross-ICB complexity described in this report, as patients are referred to hospitals in three different ICB footprints.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900"/>
        <w:gridCol w:w="1100"/>
        <w:gridCol w:w="1400"/>
        <w:gridCol w:w="1600"/>
        <w:gridCol w:w="1626"/>
      </w:tblGrid>
      <w:tr>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Practice</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ODS Code</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List Size (est.)</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Clinical System</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PCN</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Likely Hospital Referrals</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Practice Manager / Key Contact</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Brackley Medical Centre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K83049</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~15,900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TPP SystmOne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Brackley &amp; Towcester</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NGH (primary), OUH Oxford (secondary — 20 miles), MKUH Milton Keynes (tertiary — 22 miles). Dispensing practice.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Mel Thompson</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Brook Health Centre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K83620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~12,000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TPP SystmOne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Brackley &amp; Towcester</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NGH (primary). Towcester location — also Silverstone branch. Some referrals to MKUH and OUH.</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Alex Whitehead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Bugbrooke Medical Practice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K83070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~9,500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TPP SystmOne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Bugbrooke &amp; Denton</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NGH (primary). 8 miles west of Northampton. Also has Blisworth branch site. Dispensing practice.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Lucy Hibberd (Comms &amp; Research Lead)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Denton Village Surgery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K83068</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~5,500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TPP SystmOne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Bugbrooke &amp; Denton</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NGH (primary). Smallest NRES practice. Rural village 6 miles SE of Northampton.</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Nicola Draper</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Springfield Surgery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K83018</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~10,000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EMIS Web</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Brackley &amp; Towcester</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NGH (primary), OUH Oxford (secondary). Brackley location — same cross-border referral patterns as Brackley MC. Part of Oxford Deanery GP training scheme.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Hayley Willingham</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The Parks Medical Practice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K83052</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~22,000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TPP SystmOne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The Parks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NGH (primary). Largest NRES practice by list size. St Crispins area, Northampton. Patients predominantly NGH.</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Anita Carter</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Towcester Medical Centre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K83022</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~14,700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EMIS Web</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Brackley &amp; Towcester</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NGH (primary). Some referrals to MKUH (21 miles via A43/M1). Dispensing practice.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Chloe Lamont</w:t>
            </w:r>
          </w:p>
        </w:tc>
      </w:tr>
    </w:tbl>
    <w:p>
      <w:pPr>
        <w:spacing w:before="120"/>
      </w:pPr>
      <w:r>
        <w:rPr>
          <w:rFonts w:ascii="Arial" w:cs="Arial" w:eastAsia="Arial" w:hAnsi="Arial"/>
          <w:color w:val="666666"/>
          <w:sz w:val="18"/>
          <w:szCs w:val="18"/>
        </w:rPr>
        <w:t xml:space="preserve">Five practices use TPP SystmOne; Towcester Medical Centre and Springfield Surgery use EMIS Web. This dual-system neighbourhood adds complexity to standardised reporting and template deployment. Approximate list sizes total ~89,584. Dispensing practices (Brackley, Bugbrooke, Towcester) have additional operational complexity for NRES reporting due to dispensary activity coding. The Parks is the largest practice and generates the highest appointment volume (122,227 in the baseline period). Brackley is the second largest (127,651 baseline appointments).</w:t>
      </w:r>
    </w:p>
    <w:p>
      <w:pPr>
        <w:spacing w:before="0" w:after="120"/>
      </w:pPr>
      <w:r>
        <w:rPr>
          <w:rFonts w:ascii="Arial" w:cs="Arial" w:eastAsia="Arial" w:hAnsi="Arial"/>
          <w:sz w:val="20"/>
          <w:szCs w:val="20"/>
        </w:rPr>
        <w:t xml:space="preserve"/>
      </w:r>
      <w:r>
        <w:rPr>
          <w:rFonts w:ascii="Arial" w:cs="Arial" w:eastAsia="Arial" w:hAnsi="Arial"/>
          <w:b/>
          <w:bCs/>
          <w:sz w:val="20"/>
          <w:szCs w:val="20"/>
        </w:rPr>
        <w:t xml:space="preserve">Key geographical note:</w:t>
      </w:r>
      <w:r>
        <w:rPr>
          <w:rFonts w:ascii="Arial" w:cs="Arial" w:eastAsia="Arial" w:hAnsi="Arial"/>
          <w:sz w:val="20"/>
          <w:szCs w:val="20"/>
        </w:rPr>
        <w:t xml:space="preserve"> Brackley and Springfield are located approximately 20 miles from Oxford and 22 miles from Milton Keynes, making OUH and MKUH realistic secondary care destinations for these patients. This is the primary driver of the cross-ICB data challenge described throughout this report. Towcester patients also access MKUH via the A43/M1 corridor. Bugbrooke, Denton, and The Parks patients are predominantly referred to NGH.</w:t>
      </w:r>
    </w:p>
    <w:p>
      <w:pPr>
        <w:spacing w:before="200"/>
      </w:pPr>
    </w:p>
    <w:p>
      <w:pPr>
        <w:pStyle w:val="Heading2"/>
      </w:pPr>
      <w:r>
        <w:t xml:space="preserve">2.1 Primary Care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26"/>
      </w:tblGrid>
      <w:tr>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System</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Provider</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Data Held</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Access for NRES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TPP SystmOne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TPP (Leeds)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All clinical records, appointments, prescriptions, referrals, templates, QOF data for NRES practices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Direct</w:t>
            </w:r>
            <w:r>
              <w:rPr>
                <w:rFonts w:ascii="Arial" w:cs="Arial" w:eastAsia="Arial" w:hAnsi="Arial"/>
                <w:b w:val="false"/>
                <w:bCs w:val="false"/>
                <w:color w:val="000000"/>
                <w:sz w:val="18"/>
                <w:szCs w:val="18"/>
              </w:rPr>
              <w:t xml:space="preserve"> — 5 of 7 NRES practices use SystmOne (Brackley, Brook Health, Bugbrooke, Denton, The Parks). Reports via SystmOne Reporting, Strategic Reporting, or bespoke searches.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EMIS Web</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EMIS Group (Leeds)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Clinical records, appointments, prescriptions, referrals for Towcester MC and Springfield Surgery. Also used by neighbouring practices and some community/urgent care providers (e.g. DHU). NARP is working on pushing Patient Need Groups into both SystmOne and EMIS.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Direct</w:t>
            </w:r>
            <w:r>
              <w:rPr>
                <w:rFonts w:ascii="Arial" w:cs="Arial" w:eastAsia="Arial" w:hAnsi="Arial"/>
                <w:b w:val="false"/>
                <w:bCs w:val="false"/>
                <w:color w:val="000000"/>
                <w:sz w:val="18"/>
                <w:szCs w:val="18"/>
              </w:rPr>
              <w:t xml:space="preserve"> — 2 of 7 NRES practices use EMIS Web (Towcester Medical Centre and Springfield Surgery). Reporting via EMIS Population Manager or bespoke searches. NARP is working on pushing Patient Need Groups into both SystmOne and EMIS. Note: dual-system neighbourhood means clinical templates and coding standards must be implemented in both EPRs.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GPAD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NHS England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Aggregated appointment data from GP Connect feeds. Weekly volumes by mode, status, role, duration, category, wait time.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Direct</w:t>
            </w:r>
            <w:r>
              <w:rPr>
                <w:rFonts w:ascii="Arial" w:cs="Arial" w:eastAsia="Arial" w:hAnsi="Arial"/>
                <w:b w:val="false"/>
                <w:bCs w:val="false"/>
                <w:color w:val="000000"/>
                <w:sz w:val="18"/>
                <w:szCs w:val="18"/>
              </w:rPr>
              <w:t xml:space="preserve"> — practice-level exports available. Current baseline: 48 weeks, 561,294 appointments, 7 practices.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Ardens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Ardens (Warwick)</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Clinical templates, searches, protocols. Widely used for QOF, LTC recall, medication reviews.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Direct</w:t>
            </w:r>
            <w:r>
              <w:rPr>
                <w:rFonts w:ascii="Arial" w:cs="Arial" w:eastAsia="Arial" w:hAnsi="Arial"/>
                <w:b w:val="false"/>
                <w:bCs w:val="false"/>
                <w:color w:val="000000"/>
                <w:sz w:val="18"/>
                <w:szCs w:val="18"/>
              </w:rPr>
              <w:t xml:space="preserve"> — installed across NRES practices. Key for building standardised LTC cohort searches and proactive recall templates.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CQRS / CPCS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NHS England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Contractual service activity claims (DES, Enhanced Access, Network DES).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Indirect</w:t>
            </w:r>
            <w:r>
              <w:rPr>
                <w:rFonts w:ascii="Arial" w:cs="Arial" w:eastAsia="Arial" w:hAnsi="Arial"/>
                <w:b w:val="false"/>
                <w:bCs w:val="false"/>
                <w:color w:val="000000"/>
                <w:sz w:val="18"/>
                <w:szCs w:val="18"/>
              </w:rPr>
              <w:t xml:space="preserve"> — claims data via PCN. Not granular enough for most metrics but confirms service delivery volumes.</w:t>
            </w:r>
          </w:p>
        </w:tc>
      </w:tr>
    </w:tbl>
    <w:p>
      <w:pPr>
        <w:pStyle w:val="Heading2"/>
      </w:pPr>
      <w:r>
        <w:t xml:space="preserve">2.2 Secondary Care &amp; Hospital Systems</w:t>
      </w:r>
    </w:p>
    <w:p>
      <w:pPr>
        <w:spacing w:before="0" w:after="120"/>
      </w:pPr>
      <w:r>
        <w:rPr>
          <w:rFonts w:ascii="Arial" w:cs="Arial" w:eastAsia="Arial" w:hAnsi="Arial"/>
          <w:sz w:val="22"/>
          <w:szCs w:val="22"/>
        </w:rPr>
        <w:t xml:space="preserve">NRES patients are referred to multiple hospital trusts depending on geography and specialty. The key trusts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426"/>
      </w:tblGrid>
      <w:tr>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Trust / Provider</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System</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Data Held</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Access for NRES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Northampton General Hospital (NGH)</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Camis / Lorenzo</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A&amp;E attendances, inpatient admissions, outpatient referrals for majority of NRES patients.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Via ICB BI team only.</w:t>
            </w:r>
            <w:r>
              <w:rPr>
                <w:rFonts w:ascii="Arial" w:cs="Arial" w:eastAsia="Arial" w:hAnsi="Arial"/>
                <w:b w:val="false"/>
                <w:bCs w:val="false"/>
                <w:color w:val="000000"/>
                <w:sz w:val="18"/>
                <w:szCs w:val="18"/>
              </w:rPr>
              <w:t xml:space="preserve"> No direct NRES access. Requires formal data request.</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Kettering General Hospital (KGH)</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Nervecentre / Lorenzo</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As above for patients in eastern part of neighbourhood.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Via ICB BI team.</w:t>
            </w:r>
            <w:r>
              <w:rPr>
                <w:rFonts w:ascii="Arial" w:cs="Arial" w:eastAsia="Arial" w:hAnsi="Arial"/>
                <w:b w:val="false"/>
                <w:bCs w:val="false"/>
                <w:color w:val="000000"/>
                <w:sz w:val="18"/>
                <w:szCs w:val="18"/>
              </w:rPr>
              <w:t xml:space="preserve"> Same process as NGH.</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Oxford University Hospitals (OUH)</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EPR (Cerner)</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Specialist referrals, tertiary care. Some NRES patients (esp. Brackley, Towcester) referred to Oxford.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Via BOB ICB</w:t>
            </w:r>
            <w:r>
              <w:rPr>
                <w:rFonts w:ascii="Arial" w:cs="Arial" w:eastAsia="Arial" w:hAnsi="Arial"/>
                <w:b w:val="false"/>
                <w:bCs w:val="false"/>
                <w:color w:val="000000"/>
                <w:sz w:val="18"/>
                <w:szCs w:val="18"/>
              </w:rPr>
              <w:t xml:space="preserve"> (Buckinghamshire, Oxfordshire &amp; Berkshire). Cross-ICB data sharing. Significantly harder to obtain. 6–12 month lead time.</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Milton Keynes University Hospital (MKUH)</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Cerner Millennium</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A&amp;E and inpatient for patients near M1 corridor (Towcester, some Brackley).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Via BLMK ICB</w:t>
            </w:r>
            <w:r>
              <w:rPr>
                <w:rFonts w:ascii="Arial" w:cs="Arial" w:eastAsia="Arial" w:hAnsi="Arial"/>
                <w:b w:val="false"/>
                <w:bCs w:val="false"/>
                <w:color w:val="000000"/>
                <w:sz w:val="18"/>
                <w:szCs w:val="18"/>
              </w:rPr>
              <w:t xml:space="preserve"> (Bedfordshire, Luton, Milton Keynes). Another cross-ICB boundary. Similar complexity to Oxford.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East Midlands Ambulance Service (EMAS)</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CAD / ePRF</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999 and ambulance conveyance data for NRES patients.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Via EMAS data team.</w:t>
            </w:r>
            <w:r>
              <w:rPr>
                <w:rFonts w:ascii="Arial" w:cs="Arial" w:eastAsia="Arial" w:hAnsi="Arial"/>
                <w:b w:val="false"/>
                <w:bCs w:val="false"/>
                <w:color w:val="000000"/>
                <w:sz w:val="18"/>
                <w:szCs w:val="18"/>
              </w:rPr>
              <w:t xml:space="preserve"> Possible but not standard. Low priority for pilot Year 1.</w:t>
            </w:r>
          </w:p>
        </w:tc>
      </w:tr>
    </w:tbl>
    <w:p>
      <w:pPr>
        <w:pStyle w:val="Heading2"/>
      </w:pPr>
      <w:r>
        <w:t xml:space="preserve">2.3 National &amp; ICB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26"/>
      </w:tblGrid>
      <w:tr>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System</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Data</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Access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SUS / HES</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NHS England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Hospital Episode Statistics — all inpatient, outpatient, A&amp;E activity nationally.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Via ICB BI warehouse.</w:t>
            </w:r>
            <w:r>
              <w:rPr>
                <w:rFonts w:ascii="Arial" w:cs="Arial" w:eastAsia="Arial" w:hAnsi="Arial"/>
                <w:b w:val="false"/>
                <w:bCs w:val="false"/>
                <w:color w:val="000000"/>
                <w:sz w:val="18"/>
                <w:szCs w:val="18"/>
              </w:rPr>
              <w:t xml:space="preserve"> Northamptonshire ICB has access. 2–3 month data lag. Cross-ICB patients (Oxford, MK) require separate requests.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ECDS</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NHS England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Emergency Care Data Set — detailed A&amp;E attendance records.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Via ICB BI.</w:t>
            </w:r>
            <w:r>
              <w:rPr>
                <w:rFonts w:ascii="Arial" w:cs="Arial" w:eastAsia="Arial" w:hAnsi="Arial"/>
                <w:b w:val="false"/>
                <w:bCs w:val="false"/>
                <w:color w:val="000000"/>
                <w:sz w:val="18"/>
                <w:szCs w:val="18"/>
              </w:rPr>
              <w:t xml:space="preserve"> Available for Northants trusts. Cross-boundary requires BOB/BLMK ICB cooperation.</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e-RS</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NHS England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Electronic Referral Service — all GP referrals to secondary care by specialty.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Via ICB BI.</w:t>
            </w:r>
            <w:r>
              <w:rPr>
                <w:rFonts w:ascii="Arial" w:cs="Arial" w:eastAsia="Arial" w:hAnsi="Arial"/>
                <w:b w:val="false"/>
                <w:bCs w:val="false"/>
                <w:color w:val="000000"/>
                <w:sz w:val="18"/>
                <w:szCs w:val="18"/>
              </w:rPr>
              <w:t xml:space="preserve"> Available at practice ODS code level. Good for referral pattern analysis.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OHID Fingertips</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Office for Health Improvement &amp; Disparities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Population health profiles, QOF prevalence, deprivation data, health inequalities indicators.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Publicly available.</w:t>
            </w:r>
            <w:r>
              <w:rPr>
                <w:rFonts w:ascii="Arial" w:cs="Arial" w:eastAsia="Arial" w:hAnsi="Arial"/>
                <w:b w:val="false"/>
                <w:bCs w:val="false"/>
                <w:color w:val="000000"/>
                <w:sz w:val="18"/>
                <w:szCs w:val="18"/>
              </w:rPr>
              <w:t xml:space="preserve"> Useful for population health context and equity analysis. No IG barriers.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Primary Care Web Tool</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NHS England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Practice-level appointment data, workforce, patient survey results.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Publicly available.</w:t>
            </w:r>
            <w:r>
              <w:rPr>
                <w:rFonts w:ascii="Arial" w:cs="Arial" w:eastAsia="Arial" w:hAnsi="Arial"/>
                <w:b w:val="false"/>
                <w:bCs w:val="false"/>
                <w:color w:val="000000"/>
                <w:sz w:val="18"/>
                <w:szCs w:val="18"/>
              </w:rPr>
              <w:t xml:space="preserve"> Supplements GPAD data. Useful for benchmarking.</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NARP</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Northamptonshire ICB (Graphnet)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Northamptonshire Analytics &amp; Reporting Platform — Population health dashboards, Patient Need Groups, hospital activity (A&amp;E admissions, elective/non-elective), QOF prevalence, cohort identification (HbA1c, BP, BMI, smoking, deprivation), Remote Monitoring. Power BI data model covers neighbourhood-level analysis. SUS data integration with FDP in development.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Via ICB DDaT team (Tunde Adediran).</w:t>
            </w:r>
            <w:r>
              <w:rPr>
                <w:rFonts w:ascii="Arial" w:cs="Arial" w:eastAsia="Arial" w:hAnsi="Arial"/>
                <w:b w:val="false"/>
                <w:bCs w:val="false"/>
                <w:color w:val="000000"/>
                <w:sz w:val="18"/>
                <w:szCs w:val="18"/>
              </w:rPr>
              <w:t xml:space="preserve"> 316 users, 196 unique. NRES can request neighbourhood-level views. Cohort Finder tool undergoing feature improvement pre-launch. Already shows A&amp;E admissions by LSOA, emergency admission rates, and Patient Need Groups.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NCR</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Northamptonshire ICB (Graphnet)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Northamptonshire Care Record — Shared care record across partner organisations. 885,924 patient records accessed. Includes ReSPECT forms (900+ created), EPaCCS, clinical documents, alerts. Feeds from NGH (Nervecentre), NHFT, primary care.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Via ICB DDaT team (Katie Di Stefano).</w:t>
            </w:r>
            <w:r>
              <w:rPr>
                <w:rFonts w:ascii="Arial" w:cs="Arial" w:eastAsia="Arial" w:hAnsi="Arial"/>
                <w:b w:val="false"/>
                <w:bCs w:val="false"/>
                <w:color w:val="000000"/>
                <w:sz w:val="18"/>
                <w:szCs w:val="18"/>
              </w:rPr>
              <w:t xml:space="preserve"> 13,671 unique logins. OUH access for palliative care in progress (blocked by IG). Could provide cross-organisational view of patient contacts relevant to LTC cohorts. ReSPECT data directly relevant to End of Life cohort.</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Graphnet Data Lakehouse</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Graphnet / ICB</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Underlying data platform for both NARP and NCR. Recently migrated to faster lakehouse technology. Hosts linked datasets across primary care, secondary care, community services.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Via NARP/NCR.</w:t>
            </w:r>
            <w:r>
              <w:rPr>
                <w:rFonts w:ascii="Arial" w:cs="Arial" w:eastAsia="Arial" w:hAnsi="Arial"/>
                <w:b w:val="false"/>
                <w:bCs w:val="false"/>
                <w:color w:val="000000"/>
                <w:sz w:val="18"/>
                <w:szCs w:val="18"/>
              </w:rPr>
              <w:t xml:space="preserve"> New Population Health Workbench in testing phase. Landing portal at test. Could potentially provide linked views needed for NRES indicators #6, #11, #12, #17.</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NHS Spine / PDS</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NHS England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Patient Demographics Service — NHS numbers, registered GP, demographics.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Via SystmOne.</w:t>
            </w:r>
            <w:r>
              <w:rPr>
                <w:rFonts w:ascii="Arial" w:cs="Arial" w:eastAsia="Arial" w:hAnsi="Arial"/>
                <w:b w:val="false"/>
                <w:bCs w:val="false"/>
                <w:color w:val="000000"/>
                <w:sz w:val="18"/>
                <w:szCs w:val="18"/>
              </w:rPr>
              <w:t xml:space="preserve"> Needed for patient-level cohort linkage if required.</w:t>
            </w:r>
          </w:p>
        </w:tc>
      </w:tr>
    </w:tbl>
    <w:p>
      <w:r>
        <w:br w:type="page"/>
      </w:r>
    </w:p>
    <w:p>
      <w:pPr>
        <w:pStyle w:val="Heading1"/>
      </w:pPr>
      <w:r>
        <w:t xml:space="preserve">3. Detailed Indicator Assessment</w:t>
      </w:r>
    </w:p>
    <w:p>
      <w:pPr>
        <w:spacing w:before="0" w:after="120"/>
      </w:pPr>
      <w:r>
        <w:rPr>
          <w:rFonts w:ascii="Arial" w:cs="Arial" w:eastAsia="Arial" w:hAnsi="Arial"/>
          <w:sz w:val="22"/>
          <w:szCs w:val="22"/>
        </w:rPr>
        <w:t xml:space="preserve">This section assesses each of the 18 indicators from Michael Chapman's draft Information Schedule. For each indicator we provide: current data status, what is available as a baseline, what is missing, which systems are needed, the realistic difficulty and timeline, and the recommended approach.</w:t>
      </w:r>
    </w:p>
    <w:p>
      <w:pPr>
        <w:spacing w:before="200" w:after="120"/>
      </w:pPr>
      <w:r>
        <w:rPr>
          <w:rFonts w:ascii="Arial" w:cs="Arial" w:eastAsia="Arial" w:hAnsi="Arial"/>
          <w:sz w:val="22"/>
          <w:szCs w:val="22"/>
        </w:rPr>
        <w:t xml:space="preserve"/>
      </w:r>
      <w:r>
        <w:rPr>
          <w:rFonts w:ascii="Arial" w:cs="Arial" w:eastAsia="Arial" w:hAnsi="Arial"/>
          <w:b/>
          <w:bCs/>
          <w:sz w:val="22"/>
          <w:szCs w:val="22"/>
        </w:rPr>
        <w:t xml:space="preserve">Timeline conventions used in this report:</w:t>
      </w:r>
      <w:r>
        <w:rPr>
          <w:rFonts w:ascii="Arial" w:cs="Arial" w:eastAsia="Arial" w:hAnsi="Arial"/>
          <w:sz w:val="22"/>
          <w:szCs w:val="22"/>
        </w:rPr>
        <w:t xml:space="preserve"/>
      </w:r>
    </w:p>
    <w:p>
      <w:pPr>
        <w:pStyle w:val="ListParagraph"/>
        <w:numPr>
          <w:ilvl w:val="0"/>
          <w:numId w:val="2"/>
        </w:numPr>
      </w:pPr>
      <w:r>
        <w:rPr>
          <w:rFonts w:ascii="Arial" w:cs="Arial" w:eastAsia="Arial" w:hAnsi="Arial"/>
          <w:sz w:val="20"/>
          <w:szCs w:val="20"/>
        </w:rPr>
        <w:t xml:space="preserve">Pre go-live = before 1 April 2026</w:t>
      </w:r>
    </w:p>
    <w:p>
      <w:pPr>
        <w:pStyle w:val="ListParagraph"/>
        <w:numPr>
          <w:ilvl w:val="0"/>
          <w:numId w:val="2"/>
        </w:numPr>
      </w:pPr>
      <w:r>
        <w:rPr>
          <w:rFonts w:ascii="Arial" w:cs="Arial" w:eastAsia="Arial" w:hAnsi="Arial"/>
          <w:sz w:val="20"/>
          <w:szCs w:val="20"/>
        </w:rPr>
        <w:t xml:space="preserve">Go-live + 1m = May 2026 (first operational data available)</w:t>
      </w:r>
    </w:p>
    <w:p>
      <w:pPr>
        <w:pStyle w:val="ListParagraph"/>
        <w:numPr>
          <w:ilvl w:val="0"/>
          <w:numId w:val="2"/>
        </w:numPr>
      </w:pPr>
      <w:r>
        <w:rPr>
          <w:rFonts w:ascii="Arial" w:cs="Arial" w:eastAsia="Arial" w:hAnsi="Arial"/>
          <w:sz w:val="20"/>
          <w:szCs w:val="20"/>
        </w:rPr>
        <w:t xml:space="preserve">Go-live + 3m = July 2026 (first meaningful trends)</w:t>
      </w:r>
    </w:p>
    <w:p>
      <w:pPr>
        <w:pStyle w:val="ListParagraph"/>
        <w:numPr>
          <w:ilvl w:val="0"/>
          <w:numId w:val="2"/>
        </w:numPr>
      </w:pPr>
      <w:r>
        <w:rPr>
          <w:rFonts w:ascii="Arial" w:cs="Arial" w:eastAsia="Arial" w:hAnsi="Arial"/>
          <w:sz w:val="20"/>
          <w:szCs w:val="20"/>
        </w:rPr>
        <w:t xml:space="preserve">Go-live + 6m = October 2026 (formal review point)</w:t>
      </w:r>
    </w:p>
    <w:p>
      <w:pPr>
        <w:pStyle w:val="ListParagraph"/>
        <w:numPr>
          <w:ilvl w:val="0"/>
          <w:numId w:val="2"/>
        </w:numPr>
        <w:spacing w:after="200"/>
      </w:pPr>
      <w:r>
        <w:rPr>
          <w:rFonts w:ascii="Arial" w:cs="Arial" w:eastAsia="Arial" w:hAnsi="Arial"/>
          <w:sz w:val="20"/>
          <w:szCs w:val="20"/>
        </w:rPr>
        <w:t xml:space="preserve">Go-live + 12m = April 2027 (annual comparison possible)</w:t>
      </w:r>
    </w:p>
    <w:p>
      <w:pPr>
        <w:pStyle w:val="Heading2"/>
      </w:pPr>
      <w:r>
        <w:t xml:space="preserve">3.1 SDA Activity Metrics</w:t>
      </w:r>
    </w:p>
    <w:p>
      <w:pPr>
        <w:pStyle w:val="Heading3"/>
      </w:pPr>
      <w:r>
        <w:t xml:space="preserve">Indicator 1: % of Same-Day Demand Managed Outside Core GP</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Partial | </w:t>
      </w:r>
      <w:r>
        <w:rPr>
          <w:rFonts w:ascii="Arial" w:cs="Arial" w:eastAsia="Arial" w:hAnsi="Arial"/>
          <w:b/>
          <w:bCs/>
          <w:sz w:val="22"/>
          <w:szCs w:val="22"/>
        </w:rPr>
        <w:t xml:space="preserve">Difficulty:</w:t>
      </w:r>
      <w:r>
        <w:rPr>
          <w:rFonts w:ascii="Arial" w:cs="Arial" w:eastAsia="Arial" w:hAnsi="Arial"/>
          <w:sz w:val="22"/>
          <w:szCs w:val="22"/>
        </w:rPr>
        <w:t xml:space="preserve"> Low | </w:t>
      </w:r>
      <w:r>
        <w:rPr>
          <w:rFonts w:ascii="Arial" w:cs="Arial" w:eastAsia="Arial" w:hAnsi="Arial"/>
          <w:b/>
          <w:bCs/>
          <w:sz w:val="22"/>
          <w:szCs w:val="22"/>
        </w:rPr>
        <w:t xml:space="preserve">Timeline:</w:t>
      </w:r>
      <w:r>
        <w:rPr>
          <w:rFonts w:ascii="Arial" w:cs="Arial" w:eastAsia="Arial" w:hAnsi="Arial"/>
          <w:sz w:val="22"/>
          <w:szCs w:val="22"/>
        </w:rPr>
        <w:t xml:space="preserve"> Go-live + 1 month</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43.9% of all contacts are same-day across the 7 practices (198,500 of 452,188 in the 39-week baseline period). Practice-level breakdowns available: ranging from approximately 38% (Denton) to 48% (The Parks). GPAD data available by role — can show same-day by GP vs Nurses vs Other DPC.</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w:t>
      </w:r>
      <w:r>
        <w:rPr>
          <w:rFonts w:ascii="Arial" w:cs="Arial" w:eastAsia="Arial" w:hAnsi="Arial"/>
          <w:sz w:val="22"/>
          <w:szCs w:val="22"/>
        </w:rPr>
        <w:t xml:space="preserve"> GPAD does not distinguish between same-day appointments delivered within the core GP rota versus those delivered through the NAS service specifically. Both are coded as same-day in SystmOne.</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w:t>
      </w:r>
      <w:r>
        <w:rPr>
          <w:rFonts w:ascii="Arial" w:cs="Arial" w:eastAsia="Arial" w:hAnsi="Arial"/>
          <w:b/>
          <w:bCs/>
          <w:sz w:val="22"/>
          <w:szCs w:val="22"/>
        </w:rPr>
        <w:t xml:space="preserve">TPP SystmOne</w:t>
      </w:r>
      <w:r>
        <w:rPr>
          <w:rFonts w:ascii="Arial" w:cs="Arial" w:eastAsia="Arial" w:hAnsi="Arial"/>
          <w:sz w:val="22"/>
          <w:szCs w:val="22"/>
        </w:rPr>
        <w:t xml:space="preserve"> — NAS appointments need to be booked into dedicated SDA slot types or a distinct clinic/session that can be reported on separately. This is a configuration task within SystmOne, not a system interface.</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Before go-live, configure distinct session types for NAS clinics at each practice (SystmOne for 5 practices, EMIS for Towcester and Springfield). Post-launch, GPAD or SystmOne reporting can then filter NAS-specific same-day activity from core GP same-day. </w:t>
      </w:r>
      <w:r>
        <w:rPr>
          <w:rFonts w:ascii="Arial" w:cs="Arial" w:eastAsia="Arial" w:hAnsi="Arial"/>
          <w:b/>
          <w:bCs/>
          <w:sz w:val="22"/>
          <w:szCs w:val="22"/>
        </w:rPr>
        <w:t xml:space="preserve">This is achievable pre go-live with minimal effort.</w:t>
      </w:r>
      <w:r>
        <w:rPr>
          <w:rFonts w:ascii="Arial" w:cs="Arial" w:eastAsia="Arial" w:hAnsi="Arial"/>
          <w:sz w:val="22"/>
          <w:szCs w:val="22"/>
        </w:rPr>
        <w:t xml:space="preserve"/>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Low. Entirely within NRES control.</w:t>
      </w:r>
    </w:p>
    <w:p>
      <w:pPr>
        <w:pStyle w:val="Heading3"/>
      </w:pPr>
      <w:r>
        <w:t xml:space="preserve">Indicator 2: Referral Breakdown — Urgent Care vs Complex/LTC Same-Day</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Partial | </w:t>
      </w:r>
      <w:r>
        <w:rPr>
          <w:rFonts w:ascii="Arial" w:cs="Arial" w:eastAsia="Arial" w:hAnsi="Arial"/>
          <w:b/>
          <w:bCs/>
          <w:sz w:val="22"/>
          <w:szCs w:val="22"/>
        </w:rPr>
        <w:t xml:space="preserve">Difficulty:</w:t>
      </w:r>
      <w:r>
        <w:rPr>
          <w:rFonts w:ascii="Arial" w:cs="Arial" w:eastAsia="Arial" w:hAnsi="Arial"/>
          <w:sz w:val="22"/>
          <w:szCs w:val="22"/>
        </w:rPr>
        <w:t xml:space="preserve"> Medium | </w:t>
      </w:r>
      <w:r>
        <w:rPr>
          <w:rFonts w:ascii="Arial" w:cs="Arial" w:eastAsia="Arial" w:hAnsi="Arial"/>
          <w:b/>
          <w:bCs/>
          <w:sz w:val="22"/>
          <w:szCs w:val="22"/>
        </w:rPr>
        <w:t xml:space="preserve">Timeline:</w:t>
      </w:r>
      <w:r>
        <w:rPr>
          <w:rFonts w:ascii="Arial" w:cs="Arial" w:eastAsia="Arial" w:hAnsi="Arial"/>
          <w:sz w:val="22"/>
          <w:szCs w:val="22"/>
        </w:rPr>
        <w:t xml:space="preserve"> Go-live + 3 months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National Category in GPAD provides a proxy: General Consultation Acute (59,240), Clinical Triage (84,306), General Consultation Routine (131,459), Planned Clinics (57,600). However, "Routine" conflates LTC reviews with genuinely routine same-day contacts.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w:t>
      </w:r>
      <w:r>
        <w:rPr>
          <w:rFonts w:ascii="Arial" w:cs="Arial" w:eastAsia="Arial" w:hAnsi="Arial"/>
          <w:sz w:val="22"/>
          <w:szCs w:val="22"/>
        </w:rPr>
        <w:t xml:space="preserve"> No referral reason or triage outcome field in GPAD. Cannot distinguish "patient called with urgent need" from "patient attending pre-booked LTC review on same day".</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w:t>
      </w:r>
      <w:r>
        <w:rPr>
          <w:rFonts w:ascii="Arial" w:cs="Arial" w:eastAsia="Arial" w:hAnsi="Arial"/>
          <w:b/>
          <w:bCs/>
          <w:sz w:val="22"/>
          <w:szCs w:val="22"/>
        </w:rPr>
        <w:t xml:space="preserve">TPP SystmOne</w:t>
      </w:r>
      <w:r>
        <w:rPr>
          <w:rFonts w:ascii="Arial" w:cs="Arial" w:eastAsia="Arial" w:hAnsi="Arial"/>
          <w:sz w:val="22"/>
          <w:szCs w:val="22"/>
        </w:rPr>
        <w:t xml:space="preserve"> — needs a triage template or workflow at the point of booking that categorises each NAS referral as Urgent, Routine, or Complex/LTC. </w:t>
      </w:r>
      <w:r>
        <w:rPr>
          <w:rFonts w:ascii="Arial" w:cs="Arial" w:eastAsia="Arial" w:hAnsi="Arial"/>
          <w:b/>
          <w:bCs/>
          <w:sz w:val="22"/>
          <w:szCs w:val="22"/>
        </w:rPr>
        <w:t xml:space="preserve">Ardens</w:t>
      </w:r>
      <w:r>
        <w:rPr>
          <w:rFonts w:ascii="Arial" w:cs="Arial" w:eastAsia="Arial" w:hAnsi="Arial"/>
          <w:sz w:val="22"/>
          <w:szCs w:val="22"/>
        </w:rPr>
        <w:t xml:space="preserve"> could provide a standardised template for this. Alternatively, a simple SystmOne consultation note template at triage point.</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Design a lightweight triage categorisation (3–4 options) built into the NAS booking workflow. This needs clinical agreement from the practice teams and should be piloted at 1–2 practices before full rollout. Expect 2–3 months to embed consistently.</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Medium. Requires consistent use by reception/triage staff across 7 practices. Coding inconsistency is the main risk.</w:t>
      </w:r>
    </w:p>
    <w:p>
      <w:pPr>
        <w:pStyle w:val="Heading3"/>
      </w:pPr>
      <w:r>
        <w:t xml:space="preserve">Indicator 3: Average Same-Day Wait Time (Booking to Appointment)</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Partial | </w:t>
      </w:r>
      <w:r>
        <w:rPr>
          <w:rFonts w:ascii="Arial" w:cs="Arial" w:eastAsia="Arial" w:hAnsi="Arial"/>
          <w:b/>
          <w:bCs/>
          <w:sz w:val="22"/>
          <w:szCs w:val="22"/>
        </w:rPr>
        <w:t xml:space="preserve">Difficulty:</w:t>
      </w:r>
      <w:r>
        <w:rPr>
          <w:rFonts w:ascii="Arial" w:cs="Arial" w:eastAsia="Arial" w:hAnsi="Arial"/>
          <w:sz w:val="22"/>
          <w:szCs w:val="22"/>
        </w:rPr>
        <w:t xml:space="preserve"> Low | </w:t>
      </w:r>
      <w:r>
        <w:rPr>
          <w:rFonts w:ascii="Arial" w:cs="Arial" w:eastAsia="Arial" w:hAnsi="Arial"/>
          <w:b/>
          <w:bCs/>
          <w:sz w:val="22"/>
          <w:szCs w:val="22"/>
        </w:rPr>
        <w:t xml:space="preserve">Timeline:</w:t>
      </w:r>
      <w:r>
        <w:rPr>
          <w:rFonts w:ascii="Arial" w:cs="Arial" w:eastAsia="Arial" w:hAnsi="Arial"/>
          <w:sz w:val="22"/>
          <w:szCs w:val="22"/>
        </w:rPr>
        <w:t xml:space="preserve"> Go-live + 1 month</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Wait time bands available from GPAD: Same Day (198,500), 1 Day (24,058), 2–7 Days (67,112), etc. 49.2% of all contacts are seen within 24 hours.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w:t>
      </w:r>
      <w:r>
        <w:rPr>
          <w:rFonts w:ascii="Arial" w:cs="Arial" w:eastAsia="Arial" w:hAnsi="Arial"/>
          <w:sz w:val="22"/>
          <w:szCs w:val="22"/>
        </w:rPr>
        <w:t xml:space="preserve"> Exact wait in minutes or hours. "Same Day" could mean 15 minutes or 8 hours.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w:t>
      </w:r>
      <w:r>
        <w:rPr>
          <w:rFonts w:ascii="Arial" w:cs="Arial" w:eastAsia="Arial" w:hAnsi="Arial"/>
          <w:b/>
          <w:bCs/>
          <w:sz w:val="22"/>
          <w:szCs w:val="22"/>
        </w:rPr>
        <w:t xml:space="preserve">TPP SystmOne</w:t>
      </w:r>
      <w:r>
        <w:rPr>
          <w:rFonts w:ascii="Arial" w:cs="Arial" w:eastAsia="Arial" w:hAnsi="Arial"/>
          <w:sz w:val="22"/>
          <w:szCs w:val="22"/>
        </w:rPr>
        <w:t xml:space="preserve"> — records exact booking timestamp and appointment start time. A SystmOne report (Strategic Reporting or bespoke search) can calculate the difference in minutes for same-day appointments.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Commission reports that extract booking time vs appointment time for NAS same-day slots — SystmOne search for 5 practices, EMIS search for Towcester and Springfield. Report builds, not system changes. Can be ready within 2–4 weeks of go-live.</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Low. Standard SystmOne reporting capability.</w:t>
      </w:r>
    </w:p>
    <w:p>
      <w:pPr>
        <w:pStyle w:val="Heading3"/>
      </w:pPr>
      <w:r>
        <w:t xml:space="preserve">Indicator 4: % of Appointments for Proactive Complex Care / LTC</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Partial | </w:t>
      </w:r>
      <w:r>
        <w:rPr>
          <w:rFonts w:ascii="Arial" w:cs="Arial" w:eastAsia="Arial" w:hAnsi="Arial"/>
          <w:b/>
          <w:bCs/>
          <w:sz w:val="22"/>
          <w:szCs w:val="22"/>
        </w:rPr>
        <w:t xml:space="preserve">Difficulty:</w:t>
      </w:r>
      <w:r>
        <w:rPr>
          <w:rFonts w:ascii="Arial" w:cs="Arial" w:eastAsia="Arial" w:hAnsi="Arial"/>
          <w:sz w:val="22"/>
          <w:szCs w:val="22"/>
        </w:rPr>
        <w:t xml:space="preserve"> High | </w:t>
      </w:r>
      <w:r>
        <w:rPr>
          <w:rFonts w:ascii="Arial" w:cs="Arial" w:eastAsia="Arial" w:hAnsi="Arial"/>
          <w:b/>
          <w:bCs/>
          <w:sz w:val="22"/>
          <w:szCs w:val="22"/>
        </w:rPr>
        <w:t xml:space="preserve">Timeline:</w:t>
      </w:r>
      <w:r>
        <w:rPr>
          <w:rFonts w:ascii="Arial" w:cs="Arial" w:eastAsia="Arial" w:hAnsi="Arial"/>
          <w:sz w:val="22"/>
          <w:szCs w:val="22"/>
        </w:rPr>
        <w:t xml:space="preserve"> Go-live + 6 months minimum</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GP 30+ minute appointments total 13,245 across the baseline period (2.9% of all contacts). However, only </w:t>
      </w:r>
      <w:r>
        <w:rPr>
          <w:rFonts w:ascii="Arial" w:cs="Arial" w:eastAsia="Arial" w:hAnsi="Arial"/>
          <w:b/>
          <w:bCs/>
          <w:sz w:val="22"/>
          <w:szCs w:val="22"/>
        </w:rPr>
        <w:t xml:space="preserve">482 of these (3.6%)</w:t>
      </w:r>
      <w:r>
        <w:rPr>
          <w:rFonts w:ascii="Arial" w:cs="Arial" w:eastAsia="Arial" w:hAnsi="Arial"/>
          <w:sz w:val="22"/>
          <w:szCs w:val="22"/>
        </w:rPr>
        <w:t xml:space="preserve"> are explicitly LTC-coded in GPAD national categories (Planned Clinics, Structured Medication Review, Care Home contacts). The remaining 96.4% are coded as Routine Consultation, Clinical Triage, or the ambiguous "Care Related Activity" category. Practice-level and role-level breakdowns are available in the dashboard.</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w:t>
      </w:r>
      <w:r>
        <w:rPr>
          <w:rFonts w:ascii="Arial" w:cs="Arial" w:eastAsia="Arial" w:hAnsi="Arial"/>
          <w:sz w:val="22"/>
          <w:szCs w:val="22"/>
        </w:rPr>
        <w:t xml:space="preserve"> This is the most significant gap. "Proactive" is not a category in GPAD or SystmOne by default. There is no way to distinguish a proactive LTC review initiated by the practice from a reactive same-day contact for an LTC patient. Furthermore, Michael Chapman's requirement for </w:t>
      </w:r>
      <w:r>
        <w:rPr>
          <w:rFonts w:ascii="Arial" w:cs="Arial" w:eastAsia="Arial" w:hAnsi="Arial"/>
          <w:b/>
          <w:bCs/>
          <w:sz w:val="22"/>
          <w:szCs w:val="22"/>
        </w:rPr>
        <w:t xml:space="preserve">unique patient counts</w:t>
      </w:r>
      <w:r>
        <w:rPr>
          <w:rFonts w:ascii="Arial" w:cs="Arial" w:eastAsia="Arial" w:hAnsi="Arial"/>
          <w:sz w:val="22"/>
          <w:szCs w:val="22"/>
        </w:rPr>
        <w:t xml:space="preserve"> ("the number of unique patients increasing, not just more work with existing patients") requires patient-level data that is not available in aggregated GPAD exports.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w:t>
      </w:r>
      <w:r>
        <w:rPr>
          <w:rFonts w:ascii="Arial" w:cs="Arial" w:eastAsia="Arial" w:hAnsi="Arial"/>
          <w:b/>
          <w:bCs/>
          <w:sz w:val="22"/>
          <w:szCs w:val="22"/>
        </w:rPr>
        <w:t xml:space="preserve">NARP Cohort Identification tool</w:t>
      </w:r>
      <w:r>
        <w:rPr>
          <w:rFonts w:ascii="Arial" w:cs="Arial" w:eastAsia="Arial" w:hAnsi="Arial"/>
          <w:sz w:val="22"/>
          <w:szCs w:val="22"/>
        </w:rPr>
        <w:t xml:space="preserve"> — already has the capability to identify patient cohorts by health condition (e.g. Non-diabetic hyperglycaemia/Pre-Diabetes), with HbA1c, Blood Pressure, BMI, smoking status, deprivation quintile, and Risk of Emergency Admission scoring. The NARP Power BI model shows Patient Need Groups at neighbourhood level. This could provide the cohort denominators and baseline health profiles. </w:t>
      </w:r>
      <w:r>
        <w:rPr>
          <w:rFonts w:ascii="Arial" w:cs="Arial" w:eastAsia="Arial" w:hAnsi="Arial"/>
          <w:b/>
          <w:bCs/>
          <w:sz w:val="22"/>
          <w:szCs w:val="22"/>
        </w:rPr>
        <w:t xml:space="preserve">TPP SystmOne</w:t>
      </w:r>
      <w:r>
        <w:rPr>
          <w:rFonts w:ascii="Arial" w:cs="Arial" w:eastAsia="Arial" w:hAnsi="Arial"/>
          <w:sz w:val="22"/>
          <w:szCs w:val="22"/>
        </w:rPr>
        <w:t xml:space="preserve"> for clinical coding — practices need templates/SNOMED codes to tag proactive LTC contacts. </w:t>
      </w:r>
      <w:r>
        <w:rPr>
          <w:rFonts w:ascii="Arial" w:cs="Arial" w:eastAsia="Arial" w:hAnsi="Arial"/>
          <w:b/>
          <w:bCs/>
          <w:sz w:val="22"/>
          <w:szCs w:val="22"/>
        </w:rPr>
        <w:t xml:space="preserve">Ardens</w:t>
      </w:r>
      <w:r>
        <w:rPr>
          <w:rFonts w:ascii="Arial" w:cs="Arial" w:eastAsia="Arial" w:hAnsi="Arial"/>
          <w:sz w:val="22"/>
          <w:szCs w:val="22"/>
        </w:rPr>
        <w:t xml:space="preserve"> for standardised recall searches and review templates. </w:t>
      </w:r>
      <w:r>
        <w:rPr>
          <w:rFonts w:ascii="Arial" w:cs="Arial" w:eastAsia="Arial" w:hAnsi="Arial"/>
          <w:b/>
          <w:bCs/>
          <w:sz w:val="22"/>
          <w:szCs w:val="22"/>
        </w:rPr>
        <w:t xml:space="preserve">SystmOne Strategic Reporting</w:t>
      </w:r>
      <w:r>
        <w:rPr>
          <w:rFonts w:ascii="Arial" w:cs="Arial" w:eastAsia="Arial" w:hAnsi="Arial"/>
          <w:sz w:val="22"/>
          <w:szCs w:val="22"/>
        </w:rPr>
        <w:t xml:space="preserve"> for unique patient counts. NARP is also working on pushing Patient Need Groups back into SystmOne/EMIS, which would embed cohort identification directly into clinical workflows.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This indicator cannot be accurately measured until: (a) LTC cohort definitions are clinically agreed (Pre-Diabetes, End of Life, Post-Hospital Discharge, COPD with Remote Monitoring), (b) Ardens/SystmOne templates are configured for each cohort, (c) practices consistently use them. Recommend a phased approach: start with 1–2 cohorts (e.g. Pre-Diabetes + COPD) rather than all four simultaneously. Expect 3–6 months to embed coding practices.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High. Depends on clinical leadership (Dr Simon Ellis) agreeing definitions, 7 practice teams adopting templates consistently, and SystmOne reporting being built. This is the single largest workstream for LTC metrics.</w:t>
      </w:r>
    </w:p>
    <w:p>
      <w:r>
        <w:br w:type="page"/>
      </w:r>
    </w:p>
    <w:p>
      <w:pPr>
        <w:pStyle w:val="Heading3"/>
      </w:pPr>
      <w:r>
        <w:t xml:space="preserve">Indicator 5: Referral % for Specialty/Hospital vs Referred to Hub</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Not Available | </w:t>
      </w:r>
      <w:r>
        <w:rPr>
          <w:rFonts w:ascii="Arial" w:cs="Arial" w:eastAsia="Arial" w:hAnsi="Arial"/>
          <w:b/>
          <w:bCs/>
          <w:sz w:val="22"/>
          <w:szCs w:val="22"/>
        </w:rPr>
        <w:t xml:space="preserve">Difficulty:</w:t>
      </w:r>
      <w:r>
        <w:rPr>
          <w:rFonts w:ascii="Arial" w:cs="Arial" w:eastAsia="Arial" w:hAnsi="Arial"/>
          <w:sz w:val="22"/>
          <w:szCs w:val="22"/>
        </w:rPr>
        <w:t xml:space="preserve"> High | </w:t>
      </w:r>
      <w:r>
        <w:rPr>
          <w:rFonts w:ascii="Arial" w:cs="Arial" w:eastAsia="Arial" w:hAnsi="Arial"/>
          <w:b/>
          <w:bCs/>
          <w:sz w:val="22"/>
          <w:szCs w:val="22"/>
        </w:rPr>
        <w:t xml:space="preserve">Timeline:</w:t>
      </w:r>
      <w:r>
        <w:rPr>
          <w:rFonts w:ascii="Arial" w:cs="Arial" w:eastAsia="Arial" w:hAnsi="Arial"/>
          <w:sz w:val="22"/>
          <w:szCs w:val="22"/>
        </w:rPr>
        <w:t xml:space="preserve"> Go-live + 6–12 months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No referral destination data exists in GPAD. GPAD captures appointment activity, not referral flows.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w:t>
      </w:r>
      <w:r>
        <w:rPr>
          <w:rFonts w:ascii="Arial" w:cs="Arial" w:eastAsia="Arial" w:hAnsi="Arial"/>
          <w:sz w:val="22"/>
          <w:szCs w:val="22"/>
        </w:rPr>
        <w:t xml:space="preserve"> Where patients are referred to after their primary care contact: secondary care specialty, community hub, VCSE service, or managed within primary care.</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w:t>
      </w:r>
      <w:r>
        <w:rPr>
          <w:rFonts w:ascii="Arial" w:cs="Arial" w:eastAsia="Arial" w:hAnsi="Arial"/>
          <w:b/>
          <w:bCs/>
          <w:sz w:val="22"/>
          <w:szCs w:val="22"/>
        </w:rPr>
        <w:t xml:space="preserve">e-RS (Electronic Referral Service)</w:t>
      </w:r>
      <w:r>
        <w:rPr>
          <w:rFonts w:ascii="Arial" w:cs="Arial" w:eastAsia="Arial" w:hAnsi="Arial"/>
          <w:sz w:val="22"/>
          <w:szCs w:val="22"/>
        </w:rPr>
        <w:t xml:space="preserve"> for secondary care referral volumes by specialty and practice ODS code — available via ICB BI team. </w:t>
      </w:r>
      <w:r>
        <w:rPr>
          <w:rFonts w:ascii="Arial" w:cs="Arial" w:eastAsia="Arial" w:hAnsi="Arial"/>
          <w:b/>
          <w:bCs/>
          <w:sz w:val="22"/>
          <w:szCs w:val="22"/>
        </w:rPr>
        <w:t xml:space="preserve">TPP SystmOne</w:t>
      </w:r>
      <w:r>
        <w:rPr>
          <w:rFonts w:ascii="Arial" w:cs="Arial" w:eastAsia="Arial" w:hAnsi="Arial"/>
          <w:sz w:val="22"/>
          <w:szCs w:val="22"/>
        </w:rPr>
        <w:t xml:space="preserve"> referral module for internal/community referrals. For </w:t>
      </w:r>
      <w:r>
        <w:rPr>
          <w:rFonts w:ascii="Arial" w:cs="Arial" w:eastAsia="Arial" w:hAnsi="Arial"/>
          <w:b/>
          <w:bCs/>
          <w:sz w:val="22"/>
          <w:szCs w:val="22"/>
        </w:rPr>
        <w:t xml:space="preserve">Oxford University Hospitals</w:t>
      </w:r>
      <w:r>
        <w:rPr>
          <w:rFonts w:ascii="Arial" w:cs="Arial" w:eastAsia="Arial" w:hAnsi="Arial"/>
          <w:sz w:val="22"/>
          <w:szCs w:val="22"/>
        </w:rPr>
        <w:t xml:space="preserve">, data sits within </w:t>
      </w:r>
      <w:r>
        <w:rPr>
          <w:rFonts w:ascii="Arial" w:cs="Arial" w:eastAsia="Arial" w:hAnsi="Arial"/>
          <w:b/>
          <w:bCs/>
          <w:sz w:val="22"/>
          <w:szCs w:val="22"/>
        </w:rPr>
        <w:t xml:space="preserve">BOB ICB's</w:t>
      </w:r>
      <w:r>
        <w:rPr>
          <w:rFonts w:ascii="Arial" w:cs="Arial" w:eastAsia="Arial" w:hAnsi="Arial"/>
          <w:sz w:val="22"/>
          <w:szCs w:val="22"/>
        </w:rPr>
        <w:t xml:space="preserve"> data warehouse, requiring cross-ICB data sharing agreement. For </w:t>
      </w:r>
      <w:r>
        <w:rPr>
          <w:rFonts w:ascii="Arial" w:cs="Arial" w:eastAsia="Arial" w:hAnsi="Arial"/>
          <w:b/>
          <w:bCs/>
          <w:sz w:val="22"/>
          <w:szCs w:val="22"/>
        </w:rPr>
        <w:t xml:space="preserve">Milton Keynes University Hospital</w:t>
      </w:r>
      <w:r>
        <w:rPr>
          <w:rFonts w:ascii="Arial" w:cs="Arial" w:eastAsia="Arial" w:hAnsi="Arial"/>
          <w:sz w:val="22"/>
          <w:szCs w:val="22"/>
        </w:rPr>
        <w:t xml:space="preserve">, data sits within </w:t>
      </w:r>
      <w:r>
        <w:rPr>
          <w:rFonts w:ascii="Arial" w:cs="Arial" w:eastAsia="Arial" w:hAnsi="Arial"/>
          <w:b/>
          <w:bCs/>
          <w:sz w:val="22"/>
          <w:szCs w:val="22"/>
        </w:rPr>
        <w:t xml:space="preserve">BLMK ICB's</w:t>
      </w:r>
      <w:r>
        <w:rPr>
          <w:rFonts w:ascii="Arial" w:cs="Arial" w:eastAsia="Arial" w:hAnsi="Arial"/>
          <w:sz w:val="22"/>
          <w:szCs w:val="22"/>
        </w:rPr>
        <w:t xml:space="preserve"> data warehouse. Same cross-boundary challenge applies.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Phase 1 (go-live + 3m): ICB BI team extracts e-RS referral data for the 7 NRES practice ODS codes covering Northamptonshire trusts (NGH, KGH). Phase 2 (go-live + 6–12m): pursue cross-ICB data sharing with BOB and BLMK for Oxford and MK referrals. This requires formal data sharing agreements and may require DPIA updates.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High. Cross-ICB data sharing is notoriously slow in the NHS. The Northamptonshire-only data can be achieved in 3–6 months, but Oxford/MK data will take significantly longer. Recommend reporting on Northamptonshire referrals first and flagging cross-boundary as a known gap.</w:t>
      </w:r>
    </w:p>
    <w:p>
      <w:pPr>
        <w:pStyle w:val="Heading3"/>
      </w:pPr>
      <w:r>
        <w:t xml:space="preserve">Indicator 6: Unplanned Hospital / A&amp;E Admissions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Not Available | </w:t>
      </w:r>
      <w:r>
        <w:rPr>
          <w:rFonts w:ascii="Arial" w:cs="Arial" w:eastAsia="Arial" w:hAnsi="Arial"/>
          <w:b/>
          <w:bCs/>
          <w:sz w:val="22"/>
          <w:szCs w:val="22"/>
        </w:rPr>
        <w:t xml:space="preserve">Difficulty:</w:t>
      </w:r>
      <w:r>
        <w:rPr>
          <w:rFonts w:ascii="Arial" w:cs="Arial" w:eastAsia="Arial" w:hAnsi="Arial"/>
          <w:sz w:val="22"/>
          <w:szCs w:val="22"/>
        </w:rPr>
        <w:t xml:space="preserve"> High | </w:t>
      </w:r>
      <w:r>
        <w:rPr>
          <w:rFonts w:ascii="Arial" w:cs="Arial" w:eastAsia="Arial" w:hAnsi="Arial"/>
          <w:b/>
          <w:bCs/>
          <w:sz w:val="22"/>
          <w:szCs w:val="22"/>
        </w:rPr>
        <w:t xml:space="preserve">Timeline:</w:t>
      </w:r>
      <w:r>
        <w:rPr>
          <w:rFonts w:ascii="Arial" w:cs="Arial" w:eastAsia="Arial" w:hAnsi="Arial"/>
          <w:sz w:val="22"/>
          <w:szCs w:val="22"/>
        </w:rPr>
        <w:t xml:space="preserve"> Go-live + 6–12 months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No secondary care data available to NRES.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w:t>
      </w:r>
      <w:r>
        <w:rPr>
          <w:rFonts w:ascii="Arial" w:cs="Arial" w:eastAsia="Arial" w:hAnsi="Arial"/>
          <w:sz w:val="22"/>
          <w:szCs w:val="22"/>
        </w:rPr>
        <w:t xml:space="preserve"> A&amp;E attendance counts and non-elective admission counts for patients registered at the 7 NRES practices. Admission reasons need coding to assess whether primary care contact preceded admission.</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w:t>
      </w:r>
      <w:r>
        <w:rPr>
          <w:rFonts w:ascii="Arial" w:cs="Arial" w:eastAsia="Arial" w:hAnsi="Arial"/>
          <w:b/>
          <w:bCs/>
          <w:sz w:val="22"/>
          <w:szCs w:val="22"/>
        </w:rPr>
        <w:t xml:space="preserve">NARP already holds A&amp;E admission data</w:t>
      </w:r>
      <w:r>
        <w:rPr>
          <w:rFonts w:ascii="Arial" w:cs="Arial" w:eastAsia="Arial" w:hAnsi="Arial"/>
          <w:sz w:val="22"/>
          <w:szCs w:val="22"/>
        </w:rPr>
        <w:t xml:space="preserve"> including emergency admissions by LSOA, admission rates by age band, and primary diagnosis breakdown — visible in the NARP Hospital Activity dashboard. This could significantly accelerate delivery of this indicator for Northamptonshire trusts (NGH, KGH). </w:t>
      </w:r>
      <w:r>
        <w:rPr>
          <w:rFonts w:ascii="Arial" w:cs="Arial" w:eastAsia="Arial" w:hAnsi="Arial"/>
          <w:b/>
          <w:bCs/>
          <w:sz w:val="22"/>
          <w:szCs w:val="22"/>
        </w:rPr>
        <w:t xml:space="preserve">SUS/HES</w:t>
      </w:r>
      <w:r>
        <w:rPr>
          <w:rFonts w:ascii="Arial" w:cs="Arial" w:eastAsia="Arial" w:hAnsi="Arial"/>
          <w:sz w:val="22"/>
          <w:szCs w:val="22"/>
        </w:rPr>
        <w:t xml:space="preserve"> via </w:t>
      </w:r>
      <w:r>
        <w:rPr>
          <w:rFonts w:ascii="Arial" w:cs="Arial" w:eastAsia="Arial" w:hAnsi="Arial"/>
          <w:b/>
          <w:bCs/>
          <w:sz w:val="22"/>
          <w:szCs w:val="22"/>
        </w:rPr>
        <w:t xml:space="preserve">ICB BI data warehouse</w:t>
      </w:r>
      <w:r>
        <w:rPr>
          <w:rFonts w:ascii="Arial" w:cs="Arial" w:eastAsia="Arial" w:hAnsi="Arial"/>
          <w:sz w:val="22"/>
          <w:szCs w:val="22"/>
        </w:rPr>
        <w:t xml:space="preserve"> for formal baseline extract. </w:t>
      </w:r>
      <w:r>
        <w:rPr>
          <w:rFonts w:ascii="Arial" w:cs="Arial" w:eastAsia="Arial" w:hAnsi="Arial"/>
          <w:b/>
          <w:bCs/>
          <w:sz w:val="22"/>
          <w:szCs w:val="22"/>
        </w:rPr>
        <w:t xml:space="preserve">ECDS</w:t>
      </w:r>
      <w:r>
        <w:rPr>
          <w:rFonts w:ascii="Arial" w:cs="Arial" w:eastAsia="Arial" w:hAnsi="Arial"/>
          <w:sz w:val="22"/>
          <w:szCs w:val="22"/>
        </w:rPr>
        <w:t xml:space="preserve"> for A&amp;E-specific detail. For patients attending </w:t>
      </w:r>
      <w:r>
        <w:rPr>
          <w:rFonts w:ascii="Arial" w:cs="Arial" w:eastAsia="Arial" w:hAnsi="Arial"/>
          <w:b/>
          <w:bCs/>
          <w:sz w:val="22"/>
          <w:szCs w:val="22"/>
        </w:rPr>
        <w:t xml:space="preserve">Oxford</w:t>
      </w:r>
      <w:r>
        <w:rPr>
          <w:rFonts w:ascii="Arial" w:cs="Arial" w:eastAsia="Arial" w:hAnsi="Arial"/>
          <w:sz w:val="22"/>
          <w:szCs w:val="22"/>
        </w:rPr>
        <w:t xml:space="preserve"> or </w:t>
      </w:r>
      <w:r>
        <w:rPr>
          <w:rFonts w:ascii="Arial" w:cs="Arial" w:eastAsia="Arial" w:hAnsi="Arial"/>
          <w:b/>
          <w:bCs/>
          <w:sz w:val="22"/>
          <w:szCs w:val="22"/>
        </w:rPr>
        <w:t xml:space="preserve">Milton Keynes</w:t>
      </w:r>
      <w:r>
        <w:rPr>
          <w:rFonts w:ascii="Arial" w:cs="Arial" w:eastAsia="Arial" w:hAnsi="Arial"/>
          <w:sz w:val="22"/>
          <w:szCs w:val="22"/>
        </w:rPr>
        <w:t xml:space="preserve"> hospitals, data sits in </w:t>
      </w:r>
      <w:r>
        <w:rPr>
          <w:rFonts w:ascii="Arial" w:cs="Arial" w:eastAsia="Arial" w:hAnsi="Arial"/>
          <w:b/>
          <w:bCs/>
          <w:sz w:val="22"/>
          <w:szCs w:val="22"/>
        </w:rPr>
        <w:t xml:space="preserve">BOB ICB</w:t>
      </w:r>
      <w:r>
        <w:rPr>
          <w:rFonts w:ascii="Arial" w:cs="Arial" w:eastAsia="Arial" w:hAnsi="Arial"/>
          <w:sz w:val="22"/>
          <w:szCs w:val="22"/>
        </w:rPr>
        <w:t xml:space="preserve"> and </w:t>
      </w:r>
      <w:r>
        <w:rPr>
          <w:rFonts w:ascii="Arial" w:cs="Arial" w:eastAsia="Arial" w:hAnsi="Arial"/>
          <w:b/>
          <w:bCs/>
          <w:sz w:val="22"/>
          <w:szCs w:val="22"/>
        </w:rPr>
        <w:t xml:space="preserve">BLMK ICB</w:t>
      </w:r>
      <w:r>
        <w:rPr>
          <w:rFonts w:ascii="Arial" w:cs="Arial" w:eastAsia="Arial" w:hAnsi="Arial"/>
          <w:sz w:val="22"/>
          <w:szCs w:val="22"/>
        </w:rPr>
        <w:t xml:space="preserve"> warehouses respectively, requiring cross-ICB extracts. </w:t>
      </w:r>
      <w:r>
        <w:rPr>
          <w:rFonts w:ascii="Arial" w:cs="Arial" w:eastAsia="Arial" w:hAnsi="Arial"/>
          <w:b/>
          <w:bCs/>
          <w:sz w:val="22"/>
          <w:szCs w:val="22"/>
        </w:rPr>
        <w:t xml:space="preserve">EMAS</w:t>
      </w:r>
      <w:r>
        <w:rPr>
          <w:rFonts w:ascii="Arial" w:cs="Arial" w:eastAsia="Arial" w:hAnsi="Arial"/>
          <w:sz w:val="22"/>
          <w:szCs w:val="22"/>
        </w:rPr>
        <w:t xml:space="preserve"> data could supplement but is lower priority.</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Two-track: (1) </w:t>
      </w:r>
      <w:r>
        <w:rPr>
          <w:rFonts w:ascii="Arial" w:cs="Arial" w:eastAsia="Arial" w:hAnsi="Arial"/>
          <w:b/>
          <w:bCs/>
          <w:sz w:val="22"/>
          <w:szCs w:val="22"/>
        </w:rPr>
        <w:t xml:space="preserve">Quick win via NARP</w:t>
      </w:r>
      <w:r>
        <w:rPr>
          <w:rFonts w:ascii="Arial" w:cs="Arial" w:eastAsia="Arial" w:hAnsi="Arial"/>
          <w:sz w:val="22"/>
          <w:szCs w:val="22"/>
        </w:rPr>
        <w:t xml:space="preserve"> — request Tunde Adediran to configure the NARP Hospital Activity dashboard filtered to the 7 NRES practice populations. This could provide A&amp;E and admission baseline data within weeks, using data already in the Graphnet Data Lakehouse. (2) </w:t>
      </w:r>
      <w:r>
        <w:rPr>
          <w:rFonts w:ascii="Arial" w:cs="Arial" w:eastAsia="Arial" w:hAnsi="Arial"/>
          <w:b/>
          <w:bCs/>
          <w:sz w:val="22"/>
          <w:szCs w:val="22"/>
        </w:rPr>
        <w:t xml:space="preserve">Formal extract via ICB BI</w:t>
      </w:r>
      <w:r>
        <w:rPr>
          <w:rFonts w:ascii="Arial" w:cs="Arial" w:eastAsia="Arial" w:hAnsi="Arial"/>
          <w:sz w:val="22"/>
          <w:szCs w:val="22"/>
        </w:rPr>
        <w:t xml:space="preserve"> (Paul Birch) for detailed monthly counts by practice ODS code. Baseline = 12 months pre-pilot (Apr 2025 – Mar 2026). Post-pilot comparison from Oct 2026. Note: SUS data has a </w:t>
      </w:r>
      <w:r>
        <w:rPr>
          <w:rFonts w:ascii="Arial" w:cs="Arial" w:eastAsia="Arial" w:hAnsi="Arial"/>
          <w:b/>
          <w:bCs/>
          <w:sz w:val="22"/>
          <w:szCs w:val="22"/>
        </w:rPr>
        <w:t xml:space="preserve">2–3 month publication lag</w:t>
      </w:r>
      <w:r>
        <w:rPr>
          <w:rFonts w:ascii="Arial" w:cs="Arial" w:eastAsia="Arial" w:hAnsi="Arial"/>
          <w:sz w:val="22"/>
          <w:szCs w:val="22"/>
        </w:rPr>
        <w:t xml:space="preserve">, so the most recent data available in October 2026 will cover up to approximately July 2026 — only 4 months of pilot data.</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High. ICB BI team capacity is limited and NRES is one of many programmes requesting data. Cross-boundary patients attending Oxford or MK hospitals will not be captured without additional ICB agreements. </w:t>
      </w:r>
      <w:r>
        <w:rPr>
          <w:rFonts w:ascii="Arial" w:cs="Arial" w:eastAsia="Arial" w:hAnsi="Arial"/>
          <w:b/>
          <w:bCs/>
          <w:sz w:val="22"/>
          <w:szCs w:val="22"/>
        </w:rPr>
        <w:t xml:space="preserve">Recommend the ICB commission this extract in April 2026 to secure the baseline before it falls out of the SUS window.</w:t>
      </w:r>
      <w:r>
        <w:rPr>
          <w:rFonts w:ascii="Arial" w:cs="Arial" w:eastAsia="Arial" w:hAnsi="Arial"/>
          <w:sz w:val="22"/>
          <w:szCs w:val="22"/>
        </w:rPr>
        <w:t xml:space="preserve"/>
      </w:r>
    </w:p>
    <w:p>
      <w:pPr>
        <w:pStyle w:val="Heading3"/>
      </w:pPr>
      <w:r>
        <w:t xml:space="preserve">Indicator 7: Appointments per 1,000 Registered Patients per Week</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Available | </w:t>
      </w:r>
      <w:r>
        <w:rPr>
          <w:rFonts w:ascii="Arial" w:cs="Arial" w:eastAsia="Arial" w:hAnsi="Arial"/>
          <w:b/>
          <w:bCs/>
          <w:sz w:val="22"/>
          <w:szCs w:val="22"/>
        </w:rPr>
        <w:t xml:space="preserve">Difficulty:</w:t>
      </w:r>
      <w:r>
        <w:rPr>
          <w:rFonts w:ascii="Arial" w:cs="Arial" w:eastAsia="Arial" w:hAnsi="Arial"/>
          <w:sz w:val="22"/>
          <w:szCs w:val="22"/>
        </w:rPr>
        <w:t xml:space="preserve"> Low | </w:t>
      </w:r>
      <w:r>
        <w:rPr>
          <w:rFonts w:ascii="Arial" w:cs="Arial" w:eastAsia="Arial" w:hAnsi="Arial"/>
          <w:b/>
          <w:bCs/>
          <w:sz w:val="22"/>
          <w:szCs w:val="22"/>
        </w:rPr>
        <w:t xml:space="preserve">Timeline:</w:t>
      </w:r>
      <w:r>
        <w:rPr>
          <w:rFonts w:ascii="Arial" w:cs="Arial" w:eastAsia="Arial" w:hAnsi="Arial"/>
          <w:sz w:val="22"/>
          <w:szCs w:val="22"/>
        </w:rPr>
        <w:t xml:space="preserve"> Available now</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w:t>
      </w:r>
      <w:r>
        <w:rPr>
          <w:rFonts w:ascii="Arial" w:cs="Arial" w:eastAsia="Arial" w:hAnsi="Arial"/>
          <w:b/>
          <w:bCs/>
          <w:sz w:val="22"/>
          <w:szCs w:val="22"/>
        </w:rPr>
        <w:t xml:space="preserve">129.4 appointments per 1,000 patients per week</w:t>
      </w:r>
      <w:r>
        <w:rPr>
          <w:rFonts w:ascii="Arial" w:cs="Arial" w:eastAsia="Arial" w:hAnsi="Arial"/>
          <w:sz w:val="22"/>
          <w:szCs w:val="22"/>
        </w:rPr>
        <w:t xml:space="preserve"> (all contacts, all roles, 89,584 registered patients across the PCN). The national target for GP-specific appointments is 70 per 1,000. Available at practice level in the dashboard.</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w:t>
      </w:r>
      <w:r>
        <w:rPr>
          <w:rFonts w:ascii="Arial" w:cs="Arial" w:eastAsia="Arial" w:hAnsi="Arial"/>
          <w:sz w:val="22"/>
          <w:szCs w:val="22"/>
        </w:rPr>
        <w:t xml:space="preserve"> Individual practice registered list sizes for accurate per-practice rates. Currently using the PCN aggregate figure (89,584).</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w:t>
      </w:r>
      <w:r>
        <w:rPr>
          <w:rFonts w:ascii="Arial" w:cs="Arial" w:eastAsia="Arial" w:hAnsi="Arial"/>
          <w:b/>
          <w:bCs/>
          <w:sz w:val="22"/>
          <w:szCs w:val="22"/>
        </w:rPr>
        <w:t xml:space="preserve">NHSD</w:t>
      </w:r>
      <w:r>
        <w:rPr>
          <w:rFonts w:ascii="Arial" w:cs="Arial" w:eastAsia="Arial" w:hAnsi="Arial"/>
          <w:sz w:val="22"/>
          <w:szCs w:val="22"/>
        </w:rPr>
        <w:t xml:space="preserve"> (NHS Digital) or practice returns for individual list sizes. Publicly available via NHS Digital's Patients Registered at a GP Practice dataset.</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Download practice list sizes from NHS Digital (published quarterly) and add to dashboard calculations. Trivial effort.</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Very low.</w:t>
      </w:r>
    </w:p>
    <w:p>
      <w:r>
        <w:br w:type="page"/>
      </w:r>
    </w:p>
    <w:p>
      <w:pPr>
        <w:pStyle w:val="Heading2"/>
      </w:pPr>
      <w:r>
        <w:t xml:space="preserve">3.2 Operational &amp; System Metrics</w:t>
      </w:r>
    </w:p>
    <w:p>
      <w:pPr>
        <w:pStyle w:val="Heading3"/>
      </w:pPr>
      <w:r>
        <w:t xml:space="preserve">Indicator 8: Integration with Community Urgent Care / Shared Workforce</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Not Available | </w:t>
      </w:r>
      <w:r>
        <w:rPr>
          <w:rFonts w:ascii="Arial" w:cs="Arial" w:eastAsia="Arial" w:hAnsi="Arial"/>
          <w:b/>
          <w:bCs/>
          <w:sz w:val="22"/>
          <w:szCs w:val="22"/>
        </w:rPr>
        <w:t xml:space="preserve">Difficulty:</w:t>
      </w:r>
      <w:r>
        <w:rPr>
          <w:rFonts w:ascii="Arial" w:cs="Arial" w:eastAsia="Arial" w:hAnsi="Arial"/>
          <w:sz w:val="22"/>
          <w:szCs w:val="22"/>
        </w:rPr>
        <w:t xml:space="preserve"> Medium | </w:t>
      </w:r>
      <w:r>
        <w:rPr>
          <w:rFonts w:ascii="Arial" w:cs="Arial" w:eastAsia="Arial" w:hAnsi="Arial"/>
          <w:b/>
          <w:bCs/>
          <w:sz w:val="22"/>
          <w:szCs w:val="22"/>
        </w:rPr>
        <w:t xml:space="preserve">Timeline:</w:t>
      </w:r>
      <w:r>
        <w:rPr>
          <w:rFonts w:ascii="Arial" w:cs="Arial" w:eastAsia="Arial" w:hAnsi="Arial"/>
          <w:sz w:val="22"/>
          <w:szCs w:val="22"/>
        </w:rPr>
        <w:t xml:space="preserve"> Go-live + 3–6 months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No data on referrals to/from VCSEs, Local Authority services, or community partners.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w:t>
      </w:r>
      <w:r>
        <w:rPr>
          <w:rFonts w:ascii="Arial" w:cs="Arial" w:eastAsia="Arial" w:hAnsi="Arial"/>
          <w:sz w:val="22"/>
          <w:szCs w:val="22"/>
        </w:rPr>
        <w:t xml:space="preserve"> Cross-organisational referral flows, shared workforce utilisation, integrated triage rates.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No single system covers this. Requires either: (a) </w:t>
      </w:r>
      <w:r>
        <w:rPr>
          <w:rFonts w:ascii="Arial" w:cs="Arial" w:eastAsia="Arial" w:hAnsi="Arial"/>
          <w:b/>
          <w:bCs/>
          <w:sz w:val="22"/>
          <w:szCs w:val="22"/>
        </w:rPr>
        <w:t xml:space="preserve">SystmOne</w:t>
      </w:r>
      <w:r>
        <w:rPr>
          <w:rFonts w:ascii="Arial" w:cs="Arial" w:eastAsia="Arial" w:hAnsi="Arial"/>
          <w:sz w:val="22"/>
          <w:szCs w:val="22"/>
        </w:rPr>
        <w:t xml:space="preserve"> referral/task codes for NAS-to-VCSE pathways, or (b) a shared tracking mechanism (e.g. monthly returns from VCSE partners, a shared spreadsheet or simple database). Workforce data (WTE, skill mix, vacancies) via NRES quarterly HR return.</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Start simple: establish a monthly VCSE referral count via manual tracking or a SystmOne referral code. Workforce metrics can be captured via the existing NRES rota management workbook (Excel V3.1). More sophisticated integration tracking (shared caseloads, integrated triage rates) is a longer-term ambition.</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Medium. Depends on VCSE partner engagement and willingness to provide data.</w:t>
      </w:r>
    </w:p>
    <w:p>
      <w:pPr>
        <w:pStyle w:val="Heading3"/>
      </w:pPr>
      <w:r>
        <w:t xml:space="preserve">Indicator 9: Winter Surge Capacity</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Available | </w:t>
      </w:r>
      <w:r>
        <w:rPr>
          <w:rFonts w:ascii="Arial" w:cs="Arial" w:eastAsia="Arial" w:hAnsi="Arial"/>
          <w:b/>
          <w:bCs/>
          <w:sz w:val="22"/>
          <w:szCs w:val="22"/>
        </w:rPr>
        <w:t xml:space="preserve">Difficulty:</w:t>
      </w:r>
      <w:r>
        <w:rPr>
          <w:rFonts w:ascii="Arial" w:cs="Arial" w:eastAsia="Arial" w:hAnsi="Arial"/>
          <w:sz w:val="22"/>
          <w:szCs w:val="22"/>
        </w:rPr>
        <w:t xml:space="preserve"> Low | </w:t>
      </w:r>
      <w:r>
        <w:rPr>
          <w:rFonts w:ascii="Arial" w:cs="Arial" w:eastAsia="Arial" w:hAnsi="Arial"/>
          <w:b/>
          <w:bCs/>
          <w:sz w:val="22"/>
          <w:szCs w:val="22"/>
        </w:rPr>
        <w:t xml:space="preserve">Timeline:</w:t>
      </w:r>
      <w:r>
        <w:rPr>
          <w:rFonts w:ascii="Arial" w:cs="Arial" w:eastAsia="Arial" w:hAnsi="Arial"/>
          <w:sz w:val="22"/>
          <w:szCs w:val="22"/>
        </w:rPr>
        <w:t xml:space="preserve"> Available now</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Fully captured. October–December 2025 shows sustained 12,000–15,000 appointments per week across the 7 practices. October peak of 15,356/week (driven by flu vaccination clinics). Volume maintained through December despite bank holidays. Practice-level seasonal patterns clearly visible in the dashboard monthly/quarterly view.</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None additional. GPAD provides this.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Post-pilot comparison (Winter 2026/27) will demonstrate whether the NAS model sustains or improves winter surge capacity.</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Very low.</w:t>
      </w:r>
    </w:p>
    <w:p>
      <w:pPr>
        <w:pStyle w:val="Heading2"/>
      </w:pPr>
      <w:r>
        <w:t xml:space="preserve">3.3 Outcomes for Patients</w:t>
      </w:r>
    </w:p>
    <w:p>
      <w:pPr>
        <w:pStyle w:val="Heading3"/>
      </w:pPr>
      <w:r>
        <w:t xml:space="preserve">Indicator 10: Patient Satisfaction / Friends &amp; Family Test</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Not Available | </w:t>
      </w:r>
      <w:r>
        <w:rPr>
          <w:rFonts w:ascii="Arial" w:cs="Arial" w:eastAsia="Arial" w:hAnsi="Arial"/>
          <w:b/>
          <w:bCs/>
          <w:sz w:val="22"/>
          <w:szCs w:val="22"/>
        </w:rPr>
        <w:t xml:space="preserve">Difficulty:</w:t>
      </w:r>
      <w:r>
        <w:rPr>
          <w:rFonts w:ascii="Arial" w:cs="Arial" w:eastAsia="Arial" w:hAnsi="Arial"/>
          <w:sz w:val="22"/>
          <w:szCs w:val="22"/>
        </w:rPr>
        <w:t xml:space="preserve"> Medium | </w:t>
      </w:r>
      <w:r>
        <w:rPr>
          <w:rFonts w:ascii="Arial" w:cs="Arial" w:eastAsia="Arial" w:hAnsi="Arial"/>
          <w:b/>
          <w:bCs/>
          <w:sz w:val="22"/>
          <w:szCs w:val="22"/>
        </w:rPr>
        <w:t xml:space="preserve">Timeline:</w:t>
      </w:r>
      <w:r>
        <w:rPr>
          <w:rFonts w:ascii="Arial" w:cs="Arial" w:eastAsia="Arial" w:hAnsi="Arial"/>
          <w:sz w:val="22"/>
          <w:szCs w:val="22"/>
        </w:rPr>
        <w:t xml:space="preserve"> Go-live + 2 months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No patient satisfaction data in GPAD. FFT is not currently collected specifically for same-day access contacts.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w:t>
      </w:r>
      <w:r>
        <w:rPr>
          <w:rFonts w:ascii="Arial" w:cs="Arial" w:eastAsia="Arial" w:hAnsi="Arial"/>
          <w:sz w:val="22"/>
          <w:szCs w:val="22"/>
        </w:rPr>
        <w:t xml:space="preserve"> A baseline patient experience measure. Michael's note emphasises the importance of collecting "real patient stories/outcomes" more frequently. Lucy Hibberd (Bugbrooke, Comms lead) is currently developing a questionnaire.</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w:t>
      </w:r>
      <w:r>
        <w:rPr>
          <w:rFonts w:ascii="Arial" w:cs="Arial" w:eastAsia="Arial" w:hAnsi="Arial"/>
          <w:b/>
          <w:bCs/>
          <w:sz w:val="22"/>
          <w:szCs w:val="22"/>
        </w:rPr>
        <w:t xml:space="preserve">Survey platform</w:t>
      </w:r>
      <w:r>
        <w:rPr>
          <w:rFonts w:ascii="Arial" w:cs="Arial" w:eastAsia="Arial" w:hAnsi="Arial"/>
          <w:sz w:val="22"/>
          <w:szCs w:val="22"/>
        </w:rPr>
        <w:t xml:space="preserve"> — either NHS FFT infrastructure (AccuRx patient messaging for SMS surveys, or Mjog), or a standalone tool (e.g. the Notewell AI Survey Manager module). </w:t>
      </w:r>
      <w:r>
        <w:rPr>
          <w:rFonts w:ascii="Arial" w:cs="Arial" w:eastAsia="Arial" w:hAnsi="Arial"/>
          <w:b/>
          <w:bCs/>
          <w:sz w:val="22"/>
          <w:szCs w:val="22"/>
        </w:rPr>
        <w:t xml:space="preserve">SystmOne</w:t>
      </w:r>
      <w:r>
        <w:rPr>
          <w:rFonts w:ascii="Arial" w:cs="Arial" w:eastAsia="Arial" w:hAnsi="Arial"/>
          <w:sz w:val="22"/>
          <w:szCs w:val="22"/>
        </w:rPr>
        <w:t xml:space="preserve"> for patient contact details to send surveys.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Deploy a short SMS-based FFT survey to NAS patients within 48 hours of their appointment. Run a pre-pilot baseline survey in March 2026 (200+ responses target) then monthly post-launch. Include 2–3 qualitative questions for patient stories alongside the standard FFT question.</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Medium. Response rates for SMS surveys in primary care typically run 10–20%. Need sufficient volume to be statistically meaningful.</w:t>
      </w:r>
    </w:p>
    <w:p>
      <w:pPr>
        <w:pStyle w:val="Heading3"/>
      </w:pPr>
      <w:r>
        <w:t xml:space="preserve">Indicators 11 &amp; 12: Community Pathway Access Rates / A&amp;E Attendance Comparison</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Not Available | </w:t>
      </w:r>
      <w:r>
        <w:rPr>
          <w:rFonts w:ascii="Arial" w:cs="Arial" w:eastAsia="Arial" w:hAnsi="Arial"/>
          <w:b/>
          <w:bCs/>
          <w:sz w:val="22"/>
          <w:szCs w:val="22"/>
        </w:rPr>
        <w:t xml:space="preserve">Difficulty:</w:t>
      </w:r>
      <w:r>
        <w:rPr>
          <w:rFonts w:ascii="Arial" w:cs="Arial" w:eastAsia="Arial" w:hAnsi="Arial"/>
          <w:sz w:val="22"/>
          <w:szCs w:val="22"/>
        </w:rPr>
        <w:t xml:space="preserve"> High | </w:t>
      </w:r>
      <w:r>
        <w:rPr>
          <w:rFonts w:ascii="Arial" w:cs="Arial" w:eastAsia="Arial" w:hAnsi="Arial"/>
          <w:b/>
          <w:bCs/>
          <w:sz w:val="22"/>
          <w:szCs w:val="22"/>
        </w:rPr>
        <w:t xml:space="preserve">Timeline:</w:t>
      </w:r>
      <w:r>
        <w:rPr>
          <w:rFonts w:ascii="Arial" w:cs="Arial" w:eastAsia="Arial" w:hAnsi="Arial"/>
          <w:sz w:val="22"/>
          <w:szCs w:val="22"/>
        </w:rPr>
        <w:t xml:space="preserve"> Go-live + 6–12 months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No community services or A&amp;E data available to NRES.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w:t>
      </w:r>
      <w:r>
        <w:rPr>
          <w:rFonts w:ascii="Arial" w:cs="Arial" w:eastAsia="Arial" w:hAnsi="Arial"/>
          <w:sz w:val="22"/>
          <w:szCs w:val="22"/>
        </w:rPr>
        <w:t xml:space="preserve"> Community diagnostic centre (CDC) referral volumes, community service pathway utilisation (MSK, cardiology, respiratory), A&amp;E attendance pre/post comparison by specialty.</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w:t>
      </w:r>
      <w:r>
        <w:rPr>
          <w:rFonts w:ascii="Arial" w:cs="Arial" w:eastAsia="Arial" w:hAnsi="Arial"/>
          <w:b/>
          <w:bCs/>
          <w:sz w:val="22"/>
          <w:szCs w:val="22"/>
        </w:rPr>
        <w:t xml:space="preserve">NARP</w:t>
      </w:r>
      <w:r>
        <w:rPr>
          <w:rFonts w:ascii="Arial" w:cs="Arial" w:eastAsia="Arial" w:hAnsi="Arial"/>
          <w:sz w:val="22"/>
          <w:szCs w:val="22"/>
        </w:rPr>
        <w:t xml:space="preserve"> already has hospital activity data including A&amp;E attendances and elective/non-elective admissions at neighbourhood level, plus the Population Health Workbench (currently in testing) which could surface community pathway utilisation once data feeds are established. </w:t>
      </w:r>
      <w:r>
        <w:rPr>
          <w:rFonts w:ascii="Arial" w:cs="Arial" w:eastAsia="Arial" w:hAnsi="Arial"/>
          <w:b/>
          <w:bCs/>
          <w:sz w:val="22"/>
          <w:szCs w:val="22"/>
        </w:rPr>
        <w:t xml:space="preserve">NCR</w:t>
      </w:r>
      <w:r>
        <w:rPr>
          <w:rFonts w:ascii="Arial" w:cs="Arial" w:eastAsia="Arial" w:hAnsi="Arial"/>
          <w:sz w:val="22"/>
          <w:szCs w:val="22"/>
        </w:rPr>
        <w:t xml:space="preserve"> provides cross-organisational patient record access (885,924 records to date) and could support tracking of patients across primary/secondary/community settings. </w:t>
      </w:r>
      <w:r>
        <w:rPr>
          <w:rFonts w:ascii="Arial" w:cs="Arial" w:eastAsia="Arial" w:hAnsi="Arial"/>
          <w:b/>
          <w:bCs/>
          <w:sz w:val="22"/>
          <w:szCs w:val="22"/>
        </w:rPr>
        <w:t xml:space="preserve">SUS/HES/ECDS</w:t>
      </w:r>
      <w:r>
        <w:rPr>
          <w:rFonts w:ascii="Arial" w:cs="Arial" w:eastAsia="Arial" w:hAnsi="Arial"/>
          <w:sz w:val="22"/>
          <w:szCs w:val="22"/>
        </w:rPr>
        <w:t xml:space="preserve"> via ICB BI for formal extracts. For Oxford/MK patients, requires </w:t>
      </w:r>
      <w:r>
        <w:rPr>
          <w:rFonts w:ascii="Arial" w:cs="Arial" w:eastAsia="Arial" w:hAnsi="Arial"/>
          <w:b/>
          <w:bCs/>
          <w:sz w:val="22"/>
          <w:szCs w:val="22"/>
        </w:rPr>
        <w:t xml:space="preserve">BOB ICB</w:t>
      </w:r>
      <w:r>
        <w:rPr>
          <w:rFonts w:ascii="Arial" w:cs="Arial" w:eastAsia="Arial" w:hAnsi="Arial"/>
          <w:sz w:val="22"/>
          <w:szCs w:val="22"/>
        </w:rPr>
        <w:t xml:space="preserve"> and </w:t>
      </w:r>
      <w:r>
        <w:rPr>
          <w:rFonts w:ascii="Arial" w:cs="Arial" w:eastAsia="Arial" w:hAnsi="Arial"/>
          <w:b/>
          <w:bCs/>
          <w:sz w:val="22"/>
          <w:szCs w:val="22"/>
        </w:rPr>
        <w:t xml:space="preserve">BLMK ICB</w:t>
      </w:r>
      <w:r>
        <w:rPr>
          <w:rFonts w:ascii="Arial" w:cs="Arial" w:eastAsia="Arial" w:hAnsi="Arial"/>
          <w:sz w:val="22"/>
          <w:szCs w:val="22"/>
        </w:rPr>
        <w:t xml:space="preserve"> data. </w:t>
      </w:r>
      <w:r>
        <w:rPr>
          <w:rFonts w:ascii="Arial" w:cs="Arial" w:eastAsia="Arial" w:hAnsi="Arial"/>
          <w:b/>
          <w:bCs/>
          <w:sz w:val="22"/>
          <w:szCs w:val="22"/>
        </w:rPr>
        <w:t xml:space="preserve">OHID Fingertips</w:t>
      </w:r>
      <w:r>
        <w:rPr>
          <w:rFonts w:ascii="Arial" w:cs="Arial" w:eastAsia="Arial" w:hAnsi="Arial"/>
          <w:sz w:val="22"/>
          <w:szCs w:val="22"/>
        </w:rPr>
        <w:t xml:space="preserve"> provides publicly available emergency admission data at practice level but with 12–18 month lag. Note: NCR is actively pursuing NHFT diagnostic data sharing which could support community pathway tracking.</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Treat these as Phase 2 metrics. Focus pilot Year 1 on primary care activity metrics (which NRES controls) and request ICB BI team to commission the secondary care baseline extract in parallel. Realistic expectation: first meaningful A&amp;E comparison data available at the 6-month formal review (October 2026), covering only the first 3–4 months of pilot data due to SUS publication lag.</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High. Multi-provider data, cross-ICB boundaries, standard NHS data lag. The ICB should not expect a robust A&amp;E impact assessment before April 2027 (12 months post go-live).</w:t>
      </w:r>
    </w:p>
    <w:p>
      <w:r>
        <w:br w:type="page"/>
      </w:r>
    </w:p>
    <w:p>
      <w:pPr>
        <w:pStyle w:val="Heading2"/>
      </w:pPr>
      <w:r>
        <w:t xml:space="preserve">3.4 Financial &amp; Efficiency</w:t>
      </w:r>
    </w:p>
    <w:p>
      <w:pPr>
        <w:pStyle w:val="Heading3"/>
      </w:pPr>
      <w:r>
        <w:t xml:space="preserve">Indicator 13: Cost per Appointment vs Baseline GP Provision</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Partial | </w:t>
      </w:r>
      <w:r>
        <w:rPr>
          <w:rFonts w:ascii="Arial" w:cs="Arial" w:eastAsia="Arial" w:hAnsi="Arial"/>
          <w:b/>
          <w:bCs/>
          <w:sz w:val="22"/>
          <w:szCs w:val="22"/>
        </w:rPr>
        <w:t xml:space="preserve">Difficulty:</w:t>
      </w:r>
      <w:r>
        <w:rPr>
          <w:rFonts w:ascii="Arial" w:cs="Arial" w:eastAsia="Arial" w:hAnsi="Arial"/>
          <w:sz w:val="22"/>
          <w:szCs w:val="22"/>
        </w:rPr>
        <w:t xml:space="preserve"> Medium | </w:t>
      </w:r>
      <w:r>
        <w:rPr>
          <w:rFonts w:ascii="Arial" w:cs="Arial" w:eastAsia="Arial" w:hAnsi="Arial"/>
          <w:b/>
          <w:bCs/>
          <w:sz w:val="22"/>
          <w:szCs w:val="22"/>
        </w:rPr>
        <w:t xml:space="preserve">Timeline:</w:t>
      </w:r>
      <w:r>
        <w:rPr>
          <w:rFonts w:ascii="Arial" w:cs="Arial" w:eastAsia="Arial" w:hAnsi="Arial"/>
          <w:sz w:val="22"/>
          <w:szCs w:val="22"/>
        </w:rPr>
        <w:t xml:space="preserve"> Go-live + 3 months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Appointment volumes fully available by practice, role, mode, and duration. The NRES programme budget is £2.34M. The Locum Services Agreement (NRES-LOC-001 v1.2) with Profdoc Healthcare provides locum session costs.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w:t>
      </w:r>
      <w:r>
        <w:rPr>
          <w:rFonts w:ascii="Arial" w:cs="Arial" w:eastAsia="Arial" w:hAnsi="Arial"/>
          <w:sz w:val="22"/>
          <w:szCs w:val="22"/>
        </w:rPr>
        <w:t xml:space="preserve"> A standardised cost-per-appointment calculation. Needs: NAS staffing costs (sessional rates by role), baseline GP cost per appointment (national benchmarks available from PSSRU Unit Costs of Health and Social Care), overhead allocation methodology.</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w:t>
      </w:r>
      <w:r>
        <w:rPr>
          <w:rFonts w:ascii="Arial" w:cs="Arial" w:eastAsia="Arial" w:hAnsi="Arial"/>
          <w:b/>
          <w:bCs/>
          <w:sz w:val="22"/>
          <w:szCs w:val="22"/>
        </w:rPr>
        <w:t xml:space="preserve">NRES finance / PCN Services Ltd</w:t>
      </w:r>
      <w:r>
        <w:rPr>
          <w:rFonts w:ascii="Arial" w:cs="Arial" w:eastAsia="Arial" w:hAnsi="Arial"/>
          <w:sz w:val="22"/>
          <w:szCs w:val="22"/>
        </w:rPr>
        <w:t xml:space="preserve"> for NAS operational costs. </w:t>
      </w:r>
      <w:r>
        <w:rPr>
          <w:rFonts w:ascii="Arial" w:cs="Arial" w:eastAsia="Arial" w:hAnsi="Arial"/>
          <w:b/>
          <w:bCs/>
          <w:sz w:val="22"/>
          <w:szCs w:val="22"/>
        </w:rPr>
        <w:t xml:space="preserve">PSSRU / Curtis &amp; Burns</w:t>
      </w:r>
      <w:r>
        <w:rPr>
          <w:rFonts w:ascii="Arial" w:cs="Arial" w:eastAsia="Arial" w:hAnsi="Arial"/>
          <w:sz w:val="22"/>
          <w:szCs w:val="22"/>
        </w:rPr>
        <w:t xml:space="preserve"> national reference costs for benchmarking. No additional NHS system interfaces required — this is a finance exercise.</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Calculate NAS cost per appointment from Month 1 (total NAS staffing cost / NAS appointments delivered). Compare against published GP appointment cost benchmarks (£39–45 per GP consultation, PSSRU 2024). Report monthly from go-live + 2 months.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Medium. Methodology needs agreeing with ICB finance. The comparison is sensitive to how overheads are allocated.</w:t>
      </w:r>
    </w:p>
    <w:p>
      <w:pPr>
        <w:pStyle w:val="Heading3"/>
      </w:pPr>
      <w:r>
        <w:t xml:space="preserve">Indicator 14: Estimated Cost Avoidance</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Not Available | </w:t>
      </w:r>
      <w:r>
        <w:rPr>
          <w:rFonts w:ascii="Arial" w:cs="Arial" w:eastAsia="Arial" w:hAnsi="Arial"/>
          <w:b/>
          <w:bCs/>
          <w:sz w:val="22"/>
          <w:szCs w:val="22"/>
        </w:rPr>
        <w:t xml:space="preserve">Difficulty:</w:t>
      </w:r>
      <w:r>
        <w:rPr>
          <w:rFonts w:ascii="Arial" w:cs="Arial" w:eastAsia="Arial" w:hAnsi="Arial"/>
          <w:sz w:val="22"/>
          <w:szCs w:val="22"/>
        </w:rPr>
        <w:t xml:space="preserve"> High | </w:t>
      </w:r>
      <w:r>
        <w:rPr>
          <w:rFonts w:ascii="Arial" w:cs="Arial" w:eastAsia="Arial" w:hAnsi="Arial"/>
          <w:b/>
          <w:bCs/>
          <w:sz w:val="22"/>
          <w:szCs w:val="22"/>
        </w:rPr>
        <w:t xml:space="preserve">Timeline:</w:t>
      </w:r>
      <w:r>
        <w:rPr>
          <w:rFonts w:ascii="Arial" w:cs="Arial" w:eastAsia="Arial" w:hAnsi="Arial"/>
          <w:sz w:val="22"/>
          <w:szCs w:val="22"/>
        </w:rPr>
        <w:t xml:space="preserve"> Go-live + 12 months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No secondary care cost data. Entirely dependent on indicators #6 and #12 being resolved.</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w:t>
      </w:r>
      <w:r>
        <w:rPr>
          <w:rFonts w:ascii="Arial" w:cs="Arial" w:eastAsia="Arial" w:hAnsi="Arial"/>
          <w:sz w:val="22"/>
          <w:szCs w:val="22"/>
        </w:rPr>
        <w:t xml:space="preserve"> Quantified reduction in A&amp;E attendances and non-elective admissions attributable to the NAS model.</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Same as #6 and #12 plus </w:t>
      </w:r>
      <w:r>
        <w:rPr>
          <w:rFonts w:ascii="Arial" w:cs="Arial" w:eastAsia="Arial" w:hAnsi="Arial"/>
          <w:b/>
          <w:bCs/>
          <w:sz w:val="22"/>
          <w:szCs w:val="22"/>
        </w:rPr>
        <w:t xml:space="preserve">NHS Reference Costs</w:t>
      </w:r>
      <w:r>
        <w:rPr>
          <w:rFonts w:ascii="Arial" w:cs="Arial" w:eastAsia="Arial" w:hAnsi="Arial"/>
          <w:sz w:val="22"/>
          <w:szCs w:val="22"/>
        </w:rPr>
        <w:t xml:space="preserve"> (published annually by NHS England) for unit costs: A&amp;E attendance ≈ £180, non-elective admission ≈ £2,500, ambulance conveyance ≈ £280.</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Cannot be calculated until secondary care baseline is established and post-pilot comparison is possible. Earliest credible estimate: April 2027 (12 months of pilot vs 12 months baseline). Any earlier estimate will be based on modelled assumptions, not measured data.</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High. </w:t>
      </w:r>
      <w:r>
        <w:rPr>
          <w:rFonts w:ascii="Arial" w:cs="Arial" w:eastAsia="Arial" w:hAnsi="Arial"/>
          <w:b/>
          <w:bCs/>
          <w:sz w:val="22"/>
          <w:szCs w:val="22"/>
        </w:rPr>
        <w:t xml:space="preserve">Attribution challenge</w:t>
      </w:r>
      <w:r>
        <w:rPr>
          <w:rFonts w:ascii="Arial" w:cs="Arial" w:eastAsia="Arial" w:hAnsi="Arial"/>
          <w:sz w:val="22"/>
          <w:szCs w:val="22"/>
        </w:rPr>
        <w:t xml:space="preserve"> — even with the data, proving that the NAS model caused a reduction in A&amp;E attendances (rather than other factors) requires careful methodology. Recommend the ICB accept this as a Year 2 metric.</w:t>
      </w:r>
    </w:p>
    <w:p>
      <w:r>
        <w:br w:type="page"/>
      </w:r>
    </w:p>
    <w:p>
      <w:pPr>
        <w:pStyle w:val="Heading2"/>
      </w:pPr>
      <w:r>
        <w:t xml:space="preserve">3.5 Complex Care / Long-Term Conditions</w:t>
      </w:r>
    </w:p>
    <w:p>
      <w:pPr>
        <w:spacing w:before="0" w:after="120"/>
      </w:pPr>
      <w:r>
        <w:rPr>
          <w:rFonts w:ascii="Arial" w:cs="Arial" w:eastAsia="Arial" w:hAnsi="Arial"/>
          <w:i/>
          <w:iCs/>
          <w:sz w:val="20"/>
          <w:szCs w:val="20"/>
        </w:rPr>
        <w:t xml:space="preserve">Michael Chapman's email specifically highlights the LTC workstream: "</w:t>
      </w:r>
      <w:r>
        <w:rPr>
          <w:rFonts w:ascii="Arial" w:cs="Arial" w:eastAsia="Arial" w:hAnsi="Arial"/>
          <w:b/>
          <w:bCs/>
          <w:sz w:val="20"/>
          <w:szCs w:val="20"/>
        </w:rPr>
        <w:t xml:space="preserve">it would be helpful to develop a clearer understanding of the planned approach and what data will be monitored. We want to ensure that equity across all patient groups is factored in from the outset, and that the outcomes we report aren’t disproportionately influenced by a small subset of patients. We would need to see that the number of unique patients are increasing rather than more work being done with the patients already being seen.</w:t>
      </w:r>
      <w:r>
        <w:rPr>
          <w:rFonts w:ascii="Arial" w:cs="Arial" w:eastAsia="Arial" w:hAnsi="Arial"/>
          <w:i/>
          <w:iCs/>
          <w:sz w:val="20"/>
          <w:szCs w:val="20"/>
        </w:rPr>
        <w:t xml:space="preserve">"</w:t>
      </w:r>
    </w:p>
    <w:p>
      <w:pPr>
        <w:spacing w:before="0" w:after="120"/>
      </w:pPr>
      <w:r>
        <w:rPr>
          <w:rFonts w:ascii="Arial" w:cs="Arial" w:eastAsia="Arial" w:hAnsi="Arial"/>
          <w:sz w:val="22"/>
          <w:szCs w:val="22"/>
        </w:rPr>
        <w:t xml:space="preserve">This is a reasonable and important requirement. It is also the </w:t>
      </w:r>
      <w:r>
        <w:rPr>
          <w:rFonts w:ascii="Arial" w:cs="Arial" w:eastAsia="Arial" w:hAnsi="Arial"/>
          <w:b/>
          <w:bCs/>
          <w:sz w:val="22"/>
          <w:szCs w:val="22"/>
        </w:rPr>
        <w:t xml:space="preserve">hardest to deliver</w:t>
      </w:r>
      <w:r>
        <w:rPr>
          <w:rFonts w:ascii="Arial" w:cs="Arial" w:eastAsia="Arial" w:hAnsi="Arial"/>
          <w:sz w:val="22"/>
          <w:szCs w:val="22"/>
        </w:rPr>
        <w:t xml:space="preserve"> because it requires patient-level longitudinal data, agreed cohort definitions, consistent clinical coding, and practice-by-practice implementation — none of which exist today.</w:t>
      </w:r>
    </w:p>
    <w:p>
      <w:pPr>
        <w:pStyle w:val="Heading3"/>
      </w:pPr>
      <w:r>
        <w:t xml:space="preserve">Indicators 15–18: LTC Contact Types, Proactive Care, Admissions, Cohort Activity</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Partial to Not Available | </w:t>
      </w:r>
      <w:r>
        <w:rPr>
          <w:rFonts w:ascii="Arial" w:cs="Arial" w:eastAsia="Arial" w:hAnsi="Arial"/>
          <w:b/>
          <w:bCs/>
          <w:sz w:val="22"/>
          <w:szCs w:val="22"/>
        </w:rPr>
        <w:t xml:space="preserve">Difficulty:</w:t>
      </w:r>
      <w:r>
        <w:rPr>
          <w:rFonts w:ascii="Arial" w:cs="Arial" w:eastAsia="Arial" w:hAnsi="Arial"/>
          <w:sz w:val="22"/>
          <w:szCs w:val="22"/>
        </w:rPr>
        <w:t xml:space="preserve"> High | </w:t>
      </w:r>
      <w:r>
        <w:rPr>
          <w:rFonts w:ascii="Arial" w:cs="Arial" w:eastAsia="Arial" w:hAnsi="Arial"/>
          <w:b/>
          <w:bCs/>
          <w:sz w:val="22"/>
          <w:szCs w:val="22"/>
        </w:rPr>
        <w:t xml:space="preserve">Timeline:</w:t>
      </w:r>
      <w:r>
        <w:rPr>
          <w:rFonts w:ascii="Arial" w:cs="Arial" w:eastAsia="Arial" w:hAnsi="Arial"/>
          <w:sz w:val="22"/>
          <w:szCs w:val="22"/>
        </w:rPr>
        <w:t xml:space="preserve"> Go-live + 6–12 months for initial metrics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Total F2F contacts: 267,723. Total telephone: 112,492. Total video: 59,090. All available by practice and role. GP 30+ minute LTC-coded appointments: 482 (baseline). Planned Clinics: 57,600. Structured Medication Reviews: 1,264. Care Home contacts: 2,981.</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 across all four indicators:</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0"/>
          <w:szCs w:val="20"/>
        </w:rPr>
        <w:t xml:space="preserve">No first vs follow-up contact distinction — GPAD counts all contacts equally</w:t>
      </w:r>
    </w:p>
    <w:p>
      <w:pPr>
        <w:pStyle w:val="ListParagraph"/>
        <w:numPr>
          <w:ilvl w:val="0"/>
          <w:numId w:val="2"/>
        </w:numPr>
        <w:spacing w:after="60"/>
      </w:pPr>
      <w:r>
        <w:rPr>
          <w:rFonts w:ascii="Arial" w:cs="Arial" w:eastAsia="Arial" w:hAnsi="Arial"/>
          <w:sz w:val="20"/>
          <w:szCs w:val="20"/>
        </w:rPr>
        <w:t xml:space="preserve">No “proactive” tag — cannot distinguish practice-initiated recall from patient-initiated contact</w:t>
      </w:r>
    </w:p>
    <w:p>
      <w:pPr>
        <w:pStyle w:val="ListParagraph"/>
        <w:numPr>
          <w:ilvl w:val="0"/>
          <w:numId w:val="2"/>
        </w:numPr>
        <w:spacing w:after="60"/>
      </w:pPr>
      <w:r>
        <w:rPr>
          <w:rFonts w:ascii="Arial" w:cs="Arial" w:eastAsia="Arial" w:hAnsi="Arial"/>
          <w:sz w:val="20"/>
          <w:szCs w:val="20"/>
        </w:rPr>
        <w:t xml:space="preserve">No unique patient count — aggregated GPAD data counts appointments, not patients</w:t>
      </w:r>
    </w:p>
    <w:p>
      <w:pPr>
        <w:pStyle w:val="ListParagraph"/>
        <w:numPr>
          <w:ilvl w:val="0"/>
          <w:numId w:val="2"/>
        </w:numPr>
        <w:spacing w:after="60"/>
      </w:pPr>
      <w:r>
        <w:rPr>
          <w:rFonts w:ascii="Arial" w:cs="Arial" w:eastAsia="Arial" w:hAnsi="Arial"/>
          <w:sz w:val="20"/>
          <w:szCs w:val="20"/>
        </w:rPr>
        <w:t xml:space="preserve">No cohort definitions agreed — Pre-Diabetes, End of Life, Post-Hospital Discharge, COPD with Remote Monitoring are named but not clinically defined with inclusion/exclusion criteria</w:t>
      </w:r>
    </w:p>
    <w:p>
      <w:pPr>
        <w:pStyle w:val="ListParagraph"/>
        <w:numPr>
          <w:ilvl w:val="0"/>
          <w:numId w:val="2"/>
        </w:numPr>
        <w:spacing w:after="60"/>
      </w:pPr>
      <w:r>
        <w:rPr>
          <w:rFonts w:ascii="Arial" w:cs="Arial" w:eastAsia="Arial" w:hAnsi="Arial"/>
          <w:sz w:val="20"/>
          <w:szCs w:val="20"/>
        </w:rPr>
        <w:t xml:space="preserve">No linked secondary care data for LTC-specific admissions</w:t>
      </w:r>
    </w:p>
    <w:p>
      <w:pPr>
        <w:pStyle w:val="ListParagraph"/>
        <w:numPr>
          <w:ilvl w:val="0"/>
          <w:numId w:val="2"/>
        </w:numPr>
        <w:spacing w:after="120"/>
      </w:pPr>
      <w:r>
        <w:rPr>
          <w:rFonts w:ascii="Arial" w:cs="Arial" w:eastAsia="Arial" w:hAnsi="Arial"/>
          <w:sz w:val="20"/>
          <w:szCs w:val="20"/>
        </w:rPr>
        <w:t xml:space="preserve">No deprivation or demographic breakdown for equity analysis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w:t>
      </w:r>
      <w:r>
        <w:rPr>
          <w:rFonts w:ascii="Arial" w:cs="Arial" w:eastAsia="Arial" w:hAnsi="Arial"/>
          <w:b/>
          <w:bCs/>
          <w:sz w:val="22"/>
          <w:szCs w:val="22"/>
        </w:rPr>
        <w:t xml:space="preserve">NARP Cohort Identification</w:t>
      </w:r>
      <w:r>
        <w:rPr>
          <w:rFonts w:ascii="Arial" w:cs="Arial" w:eastAsia="Arial" w:hAnsi="Arial"/>
          <w:sz w:val="22"/>
          <w:szCs w:val="22"/>
        </w:rPr>
        <w:t xml:space="preserve"> — already capable of identifying patients by LTC condition, deprivation, risk score, and Patient Need Group. The Remote Monitoring Cohort Finder (pre-launch, awaiting IG) will identify high-risk LTC patients across the neighbourhood. 548 high-risk patients already identified for remote monitoring in the current NARP model. </w:t>
      </w:r>
      <w:r>
        <w:rPr>
          <w:rFonts w:ascii="Arial" w:cs="Arial" w:eastAsia="Arial" w:hAnsi="Arial"/>
          <w:b/>
          <w:bCs/>
          <w:sz w:val="22"/>
          <w:szCs w:val="22"/>
        </w:rPr>
        <w:t xml:space="preserve">NCR</w:t>
      </w:r>
      <w:r>
        <w:rPr>
          <w:rFonts w:ascii="Arial" w:cs="Arial" w:eastAsia="Arial" w:hAnsi="Arial"/>
          <w:sz w:val="22"/>
          <w:szCs w:val="22"/>
        </w:rPr>
        <w:t xml:space="preserve"> — ReSPECT forms (900+ created across the system) directly relevant to End of Life cohort identification and could track whether NRES EoL patients have care plans in place. </w:t>
      </w:r>
      <w:r>
        <w:rPr>
          <w:rFonts w:ascii="Arial" w:cs="Arial" w:eastAsia="Arial" w:hAnsi="Arial"/>
          <w:b/>
          <w:bCs/>
          <w:sz w:val="22"/>
          <w:szCs w:val="22"/>
        </w:rPr>
        <w:t xml:space="preserve">TPP SystmOne</w:t>
      </w:r>
      <w:r>
        <w:rPr>
          <w:rFonts w:ascii="Arial" w:cs="Arial" w:eastAsia="Arial" w:hAnsi="Arial"/>
          <w:sz w:val="22"/>
          <w:szCs w:val="22"/>
        </w:rPr>
        <w:t xml:space="preserve"> — clinical templates for each pathway. </w:t>
      </w:r>
      <w:r>
        <w:rPr>
          <w:rFonts w:ascii="Arial" w:cs="Arial" w:eastAsia="Arial" w:hAnsi="Arial"/>
          <w:b/>
          <w:bCs/>
          <w:sz w:val="22"/>
          <w:szCs w:val="22"/>
        </w:rPr>
        <w:t xml:space="preserve">Ardens</w:t>
      </w:r>
      <w:r>
        <w:rPr>
          <w:rFonts w:ascii="Arial" w:cs="Arial" w:eastAsia="Arial" w:hAnsi="Arial"/>
          <w:sz w:val="22"/>
          <w:szCs w:val="22"/>
        </w:rPr>
        <w:t xml:space="preserve"> — recall searches (QOF-based, adaptable). </w:t>
      </w:r>
      <w:r>
        <w:rPr>
          <w:rFonts w:ascii="Arial" w:cs="Arial" w:eastAsia="Arial" w:hAnsi="Arial"/>
          <w:b/>
          <w:bCs/>
          <w:sz w:val="22"/>
          <w:szCs w:val="22"/>
        </w:rPr>
        <w:t xml:space="preserve">SystmOne Strategic Reporting</w:t>
      </w:r>
      <w:r>
        <w:rPr>
          <w:rFonts w:ascii="Arial" w:cs="Arial" w:eastAsia="Arial" w:hAnsi="Arial"/>
          <w:sz w:val="22"/>
          <w:szCs w:val="22"/>
        </w:rPr>
        <w:t xml:space="preserve"> — unique patient counts. </w:t>
      </w:r>
      <w:r>
        <w:rPr>
          <w:rFonts w:ascii="Arial" w:cs="Arial" w:eastAsia="Arial" w:hAnsi="Arial"/>
          <w:b/>
          <w:bCs/>
          <w:sz w:val="22"/>
          <w:szCs w:val="22"/>
        </w:rPr>
        <w:t xml:space="preserve">SUS/HES</w:t>
      </w:r>
      <w:r>
        <w:rPr>
          <w:rFonts w:ascii="Arial" w:cs="Arial" w:eastAsia="Arial" w:hAnsi="Arial"/>
          <w:sz w:val="22"/>
          <w:szCs w:val="22"/>
        </w:rPr>
        <w:t xml:space="preserve"> via ICB BI for LTC-specific admissions. </w:t>
      </w:r>
      <w:r>
        <w:rPr>
          <w:rFonts w:ascii="Arial" w:cs="Arial" w:eastAsia="Arial" w:hAnsi="Arial"/>
          <w:b/>
          <w:bCs/>
          <w:sz w:val="22"/>
          <w:szCs w:val="22"/>
        </w:rPr>
        <w:t xml:space="preserve">OHID Fingertips</w:t>
      </w:r>
      <w:r>
        <w:rPr>
          <w:rFonts w:ascii="Arial" w:cs="Arial" w:eastAsia="Arial" w:hAnsi="Arial"/>
          <w:sz w:val="22"/>
          <w:szCs w:val="22"/>
        </w:rPr>
        <w:t xml:space="preserve"> for prevalence benchmarks and deprivation (IMD 2019 by LSOA). Note: NARP is working on feeding Patient Need Groups back into SystmOne, which would directly support practice-level cohort identification for NRES.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 — phased:</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0"/>
          <w:szCs w:val="20"/>
        </w:rPr>
        <w:t xml:space="preserve">Phase 1 (Apr–Jun 2026): Clinical directors agree cohort definitions for 2 priority conditions (suggest Pre-Diabetes + COPD). Ardens searches built to identify cohort sizes at each practice.</w:t>
      </w:r>
    </w:p>
    <w:p>
      <w:pPr>
        <w:pStyle w:val="ListParagraph"/>
        <w:numPr>
          <w:ilvl w:val="0"/>
          <w:numId w:val="3"/>
        </w:numPr>
        <w:spacing w:after="60"/>
      </w:pPr>
      <w:r>
        <w:rPr>
          <w:rFonts w:ascii="Arial" w:cs="Arial" w:eastAsia="Arial" w:hAnsi="Arial"/>
          <w:sz w:val="20"/>
          <w:szCs w:val="20"/>
        </w:rPr>
        <w:t xml:space="preserve">Phase 2 (Jul–Sep 2026): SystmOne templates deployed. Practices begin coding proactive LTC contacts. First unique patient counts extracted.</w:t>
      </w:r>
    </w:p>
    <w:p>
      <w:pPr>
        <w:pStyle w:val="ListParagraph"/>
        <w:numPr>
          <w:ilvl w:val="0"/>
          <w:numId w:val="3"/>
        </w:numPr>
        <w:spacing w:after="60"/>
      </w:pPr>
      <w:r>
        <w:rPr>
          <w:rFonts w:ascii="Arial" w:cs="Arial" w:eastAsia="Arial" w:hAnsi="Arial"/>
          <w:sz w:val="20"/>
          <w:szCs w:val="20"/>
        </w:rPr>
        <w:t xml:space="preserve">Phase 3 (Oct 2026): First LTC metrics reported at formal review. Expect partial data only (3–4 months of coded contacts).</w:t>
      </w:r>
    </w:p>
    <w:p>
      <w:pPr>
        <w:pStyle w:val="ListParagraph"/>
        <w:numPr>
          <w:ilvl w:val="0"/>
          <w:numId w:val="3"/>
        </w:numPr>
        <w:spacing w:after="120"/>
      </w:pPr>
      <w:r>
        <w:rPr>
          <w:rFonts w:ascii="Arial" w:cs="Arial" w:eastAsia="Arial" w:hAnsi="Arial"/>
          <w:sz w:val="20"/>
          <w:szCs w:val="20"/>
        </w:rPr>
        <w:t xml:space="preserve">Phase 4 (Apr 2027): Full 12-month comparison possible for priority cohorts. Remaining cohorts (EoL, Post-Hospital Discharge) added.</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High. This is the largest single workstream. Key risks: clinical leadership engagement, coding consistency across 7 practices, IG/DPIA requirements for patient-level data sharing between NRES practices and ICB BI team. The existing NRES DPIA (v1.1) and DSA (v1.1) may need updating to cover cohort-level patient data extraction.</w:t>
      </w:r>
    </w:p>
    <w:p>
      <w:r>
        <w:br w:type="page"/>
      </w:r>
    </w:p>
    <w:p>
      <w:pPr>
        <w:pStyle w:val="Heading1"/>
      </w:pPr>
      <w:r>
        <w:t xml:space="preserve">4. Achievability Matrix</w:t>
      </w:r>
    </w:p>
    <w:p>
      <w:pPr>
        <w:spacing w:before="0" w:after="120"/>
      </w:pPr>
      <w:r>
        <w:rPr>
          <w:rFonts w:ascii="Arial" w:cs="Arial" w:eastAsia="Arial" w:hAnsi="Arial"/>
          <w:sz w:val="22"/>
          <w:szCs w:val="22"/>
        </w:rPr>
        <w:t xml:space="preserve">The following table provides a single-page summary of what is realistically achievable and when. This should set expectations for the Programme Board and ICB.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100"/>
        <w:gridCol w:w="1100"/>
        <w:gridCol w:w="1100"/>
        <w:gridCol w:w="1100"/>
        <w:gridCol w:w="1626"/>
      </w:tblGrid>
      <w:tr>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Indicator</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Pre
Go-Live</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Go-Live
+3m</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Go-Live
+6m</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Go-Live
+12m</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Owner</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1</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 same-day outside GP</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NRES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2</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Urgent vs LTC breakdown</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NRES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3</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Avg wait time (minutes)</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NRES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4</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 proactive LTC</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NRES + CDs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5</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Referral % specialty/hub</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NARP + ICB BI</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6</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Unplanned admissions</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NARP + ICB BI</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7</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Appts per 1,000/wk</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NRES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8</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Integration / workforce</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NRES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9</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Winter surge capacity</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NRES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10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Patient satisfaction</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NRES Comms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11</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Community pathways</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NARP/NCR + BI</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12</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A&amp;E comparison</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NARP + ICB BI</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13</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Cost per appointment</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NRES Finance</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14</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Cost avoidance</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ICB BI + Fin</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15</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LTC F2F first/follow-up</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NRES + CDs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16</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Proactive contacts</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NRES + CDs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17</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LTC admissions</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NARP + ICB BI</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18</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Cohort activity</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NRES + CDs</w:t>
            </w:r>
          </w:p>
        </w:tc>
      </w:tr>
    </w:tbl>
    <w:p>
      <w:pPr>
        <w:spacing w:before="120"/>
      </w:pPr>
      <w:r>
        <w:rPr>
          <w:rFonts w:ascii="Arial" w:cs="Arial" w:eastAsia="Arial" w:hAnsi="Arial"/>
          <w:color w:val="666666"/>
          <w:sz w:val="18"/>
          <w:szCs w:val="18"/>
        </w:rPr>
        <w:t xml:space="preserve">✓ = Fully reportable    ○ = Partial / first data available    Empty = Not yet achievable</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CDs</w:t>
      </w:r>
      <w:r>
        <w:rPr>
          <w:rFonts w:ascii="Arial" w:cs="Arial" w:eastAsia="Arial" w:hAnsi="Arial"/>
          <w:sz w:val="22"/>
          <w:szCs w:val="22"/>
        </w:rPr>
        <w:t xml:space="preserve"> = Clinical Directors (Dr Simon Ellis)</w:t>
      </w:r>
    </w:p>
    <w:p>
      <w:r>
        <w:br w:type="page"/>
      </w:r>
    </w:p>
    <w:p>
      <w:pPr>
        <w:pStyle w:val="Heading1"/>
      </w:pPr>
      <w:r>
        <w:t xml:space="preserve">5. Managing ICB Expectations</w:t>
      </w:r>
    </w:p>
    <w:p>
      <w:pPr>
        <w:spacing w:before="0" w:after="120"/>
      </w:pPr>
      <w:r>
        <w:rPr>
          <w:rFonts w:ascii="Arial" w:cs="Arial" w:eastAsia="Arial" w:hAnsi="Arial"/>
          <w:sz w:val="22"/>
          <w:szCs w:val="22"/>
        </w:rPr>
        <w:t xml:space="preserve">The following points are critical for setting appropriate expectations with the ICB Programme Board:</w:t>
      </w:r>
    </w:p>
    <w:p>
      <w:pPr>
        <w:pStyle w:val="Heading2"/>
      </w:pPr>
      <w:r>
        <w:t xml:space="preserve">5.1 The First 3 Months Will Show Limited Impact Data</w:t>
      </w:r>
    </w:p>
    <w:p>
      <w:pPr>
        <w:spacing w:before="0" w:after="120"/>
      </w:pPr>
      <w:r>
        <w:rPr>
          <w:rFonts w:ascii="Arial" w:cs="Arial" w:eastAsia="Arial" w:hAnsi="Arial"/>
          <w:sz w:val="22"/>
          <w:szCs w:val="22"/>
        </w:rPr>
        <w:t xml:space="preserve">The NAS service goes live on 1 April 2026. The first 3 months (April–June) will be an </w:t>
      </w:r>
      <w:r>
        <w:rPr>
          <w:rFonts w:ascii="Arial" w:cs="Arial" w:eastAsia="Arial" w:hAnsi="Arial"/>
          <w:b/>
          <w:bCs/>
          <w:sz w:val="22"/>
          <w:szCs w:val="22"/>
        </w:rPr>
        <w:t xml:space="preserve">embedding period</w:t>
      </w:r>
      <w:r>
        <w:rPr>
          <w:rFonts w:ascii="Arial" w:cs="Arial" w:eastAsia="Arial" w:hAnsi="Arial"/>
          <w:sz w:val="22"/>
          <w:szCs w:val="22"/>
        </w:rPr>
        <w:t xml:space="preserve"> where practices adjust to the new model, staff become familiar with new processes, and coding practices stabilise. During this period, NRES can report on </w:t>
      </w:r>
      <w:r>
        <w:rPr>
          <w:rFonts w:ascii="Arial" w:cs="Arial" w:eastAsia="Arial" w:hAnsi="Arial"/>
          <w:b/>
          <w:bCs/>
          <w:sz w:val="22"/>
          <w:szCs w:val="22"/>
        </w:rPr>
        <w:t xml:space="preserve">operational volumes</w:t>
      </w:r>
      <w:r>
        <w:rPr>
          <w:rFonts w:ascii="Arial" w:cs="Arial" w:eastAsia="Arial" w:hAnsi="Arial"/>
          <w:sz w:val="22"/>
          <w:szCs w:val="22"/>
        </w:rPr>
        <w:t xml:space="preserve"> (appointments delivered, DNA rates, workforce deployment) but </w:t>
      </w:r>
      <w:r>
        <w:rPr>
          <w:rFonts w:ascii="Arial" w:cs="Arial" w:eastAsia="Arial" w:hAnsi="Arial"/>
          <w:b/>
          <w:bCs/>
          <w:sz w:val="22"/>
          <w:szCs w:val="22"/>
        </w:rPr>
        <w:t xml:space="preserve">not on outcomes</w:t>
      </w:r>
      <w:r>
        <w:rPr>
          <w:rFonts w:ascii="Arial" w:cs="Arial" w:eastAsia="Arial" w:hAnsi="Arial"/>
          <w:sz w:val="22"/>
          <w:szCs w:val="22"/>
        </w:rPr>
        <w:t xml:space="preserve"> (patient satisfaction, A&amp;E impact, cost avoidance). The ICB should expect operational dashboards from Month 1 and outcome metrics from Month 6 at the earliest.</w:t>
      </w:r>
    </w:p>
    <w:p>
      <w:pPr>
        <w:pStyle w:val="Heading2"/>
      </w:pPr>
      <w:r>
        <w:t xml:space="preserve">5.2 Secondary Care Data Has a Built-In Lag</w:t>
      </w:r>
    </w:p>
    <w:p>
      <w:pPr>
        <w:spacing w:before="0" w:after="120"/>
      </w:pPr>
      <w:r>
        <w:rPr>
          <w:rFonts w:ascii="Arial" w:cs="Arial" w:eastAsia="Arial" w:hAnsi="Arial"/>
          <w:sz w:val="22"/>
          <w:szCs w:val="22"/>
        </w:rPr>
        <w:t xml:space="preserve">SUS/HES data — the source for A&amp;E attendances and hospital admissions — is published with a </w:t>
      </w:r>
      <w:r>
        <w:rPr>
          <w:rFonts w:ascii="Arial" w:cs="Arial" w:eastAsia="Arial" w:hAnsi="Arial"/>
          <w:b/>
          <w:bCs/>
          <w:sz w:val="22"/>
          <w:szCs w:val="22"/>
        </w:rPr>
        <w:t xml:space="preserve">2–3 month lag</w:t>
      </w:r>
      <w:r>
        <w:rPr>
          <w:rFonts w:ascii="Arial" w:cs="Arial" w:eastAsia="Arial" w:hAnsi="Arial"/>
          <w:sz w:val="22"/>
          <w:szCs w:val="22"/>
        </w:rPr>
        <w:t xml:space="preserve">. This means that at the 6-month review (October 2026), the most recent secondary care data available will cover up to approximately July 2026 — only 4 months of pilot data. A robust pre/post comparison requires 12 months of pilot data, meaning the earliest credible impact assessment is </w:t>
      </w:r>
      <w:r>
        <w:rPr>
          <w:rFonts w:ascii="Arial" w:cs="Arial" w:eastAsia="Arial" w:hAnsi="Arial"/>
          <w:b/>
          <w:bCs/>
          <w:sz w:val="22"/>
          <w:szCs w:val="22"/>
        </w:rPr>
        <w:t xml:space="preserve">April 2027</w:t>
      </w:r>
      <w:r>
        <w:rPr>
          <w:rFonts w:ascii="Arial" w:cs="Arial" w:eastAsia="Arial" w:hAnsi="Arial"/>
          <w:sz w:val="22"/>
          <w:szCs w:val="22"/>
        </w:rPr>
        <w:t xml:space="preserve">.</w:t>
      </w:r>
    </w:p>
    <w:p>
      <w:pPr>
        <w:pStyle w:val="Heading2"/>
      </w:pPr>
      <w:r>
        <w:t xml:space="preserve">5.3 Cross-ICB Data Is the Hardest Challenge</w:t>
      </w:r>
    </w:p>
    <w:p>
      <w:pPr>
        <w:spacing w:before="0" w:after="120"/>
      </w:pPr>
      <w:r>
        <w:rPr>
          <w:rFonts w:ascii="Arial" w:cs="Arial" w:eastAsia="Arial" w:hAnsi="Arial"/>
          <w:sz w:val="22"/>
          <w:szCs w:val="22"/>
        </w:rPr>
        <w:t xml:space="preserve">A significant proportion of NRES patients — particularly from Brackley (127,651 appointments, the largest practice) and Towcester (73,396) — access secondary care at </w:t>
      </w:r>
      <w:r>
        <w:rPr>
          <w:rFonts w:ascii="Arial" w:cs="Arial" w:eastAsia="Arial" w:hAnsi="Arial"/>
          <w:b/>
          <w:bCs/>
          <w:sz w:val="22"/>
          <w:szCs w:val="22"/>
        </w:rPr>
        <w:t xml:space="preserve">Oxford University Hospitals</w:t>
      </w:r>
      <w:r>
        <w:rPr>
          <w:rFonts w:ascii="Arial" w:cs="Arial" w:eastAsia="Arial" w:hAnsi="Arial"/>
          <w:sz w:val="22"/>
          <w:szCs w:val="22"/>
        </w:rPr>
        <w:t xml:space="preserve"> (via BOB ICB) and </w:t>
      </w:r>
      <w:r>
        <w:rPr>
          <w:rFonts w:ascii="Arial" w:cs="Arial" w:eastAsia="Arial" w:hAnsi="Arial"/>
          <w:b/>
          <w:bCs/>
          <w:sz w:val="22"/>
          <w:szCs w:val="22"/>
        </w:rPr>
        <w:t xml:space="preserve">Milton Keynes University Hospital</w:t>
      </w:r>
      <w:r>
        <w:rPr>
          <w:rFonts w:ascii="Arial" w:cs="Arial" w:eastAsia="Arial" w:hAnsi="Arial"/>
          <w:sz w:val="22"/>
          <w:szCs w:val="22"/>
        </w:rPr>
        <w:t xml:space="preserve"> (via BLMK ICB). Obtaining A&amp;E and admission data for these patients requires </w:t>
      </w:r>
      <w:r>
        <w:rPr>
          <w:rFonts w:ascii="Arial" w:cs="Arial" w:eastAsia="Arial" w:hAnsi="Arial"/>
          <w:b/>
          <w:bCs/>
          <w:sz w:val="22"/>
          <w:szCs w:val="22"/>
        </w:rPr>
        <w:t xml:space="preserve">cross-ICB data sharing agreements</w:t>
      </w:r>
      <w:r>
        <w:rPr>
          <w:rFonts w:ascii="Arial" w:cs="Arial" w:eastAsia="Arial" w:hAnsi="Arial"/>
          <w:sz w:val="22"/>
          <w:szCs w:val="22"/>
        </w:rPr>
        <w:t xml:space="preserve"> which typically take 6–18 months to negotiate. NRES and the Northamptonshire ICB cannot unilaterally access this data. This means any A&amp;E impact analysis will initially cover only NGH and KGH patients, with a significant cohort (estimated 20–30% of the neighbourhood population) excluded.</w:t>
      </w:r>
    </w:p>
    <w:p>
      <w:pPr>
        <w:pStyle w:val="Heading2"/>
      </w:pPr>
      <w:r>
        <w:t xml:space="preserve">5.4 LTC Metrics Require Service Design Before Data Can Flow</w:t>
      </w:r>
    </w:p>
    <w:p>
      <w:pPr>
        <w:spacing w:before="0" w:after="120"/>
      </w:pPr>
      <w:r>
        <w:rPr>
          <w:rFonts w:ascii="Arial" w:cs="Arial" w:eastAsia="Arial" w:hAnsi="Arial"/>
          <w:sz w:val="22"/>
          <w:szCs w:val="22"/>
        </w:rPr>
        <w:t xml:space="preserve">Unlike SDA metrics (which can be measured from existing appointment data), the LTC/Complex Care metrics require </w:t>
      </w:r>
      <w:r>
        <w:rPr>
          <w:rFonts w:ascii="Arial" w:cs="Arial" w:eastAsia="Arial" w:hAnsi="Arial"/>
          <w:b/>
          <w:bCs/>
          <w:sz w:val="22"/>
          <w:szCs w:val="22"/>
        </w:rPr>
        <w:t xml:space="preserve">new clinical processes to be designed and implemented before any data exists</w:t>
      </w:r>
      <w:r>
        <w:rPr>
          <w:rFonts w:ascii="Arial" w:cs="Arial" w:eastAsia="Arial" w:hAnsi="Arial"/>
          <w:sz w:val="22"/>
          <w:szCs w:val="22"/>
        </w:rPr>
        <w:t xml:space="preserve">. Cohort definitions, clinical templates, coding standards, and recall workflows all need to be agreed, built, deployed, and embedded across 7 practices. This is a service design and change management challenge, not a data extraction challenge. The ICB should frame LTC metrics as a </w:t>
      </w:r>
      <w:r>
        <w:rPr>
          <w:rFonts w:ascii="Arial" w:cs="Arial" w:eastAsia="Arial" w:hAnsi="Arial"/>
          <w:b/>
          <w:bCs/>
          <w:sz w:val="22"/>
          <w:szCs w:val="22"/>
        </w:rPr>
        <w:t xml:space="preserve">Year 1 development objective</w:t>
      </w:r>
      <w:r>
        <w:rPr>
          <w:rFonts w:ascii="Arial" w:cs="Arial" w:eastAsia="Arial" w:hAnsi="Arial"/>
          <w:sz w:val="22"/>
          <w:szCs w:val="22"/>
        </w:rPr>
        <w:t xml:space="preserve"> rather than a go-live requirement.</w:t>
      </w:r>
    </w:p>
    <w:p>
      <w:pPr>
        <w:pStyle w:val="Heading2"/>
      </w:pPr>
      <w:r>
        <w:t xml:space="preserve">5.5 What NRES Can Confidently Deliver From Day One</w:t>
      </w:r>
    </w:p>
    <w:p>
      <w:pPr>
        <w:spacing w:before="0" w:after="120"/>
      </w:pPr>
      <w:r>
        <w:rPr>
          <w:rFonts w:ascii="Arial" w:cs="Arial" w:eastAsia="Arial" w:hAnsi="Arial"/>
          <w:sz w:val="22"/>
          <w:szCs w:val="22"/>
        </w:rPr>
        <w:t xml:space="preserve">Despite the gaps above, NRES enters the pilot with a </w:t>
      </w:r>
      <w:r>
        <w:rPr>
          <w:rFonts w:ascii="Arial" w:cs="Arial" w:eastAsia="Arial" w:hAnsi="Arial"/>
          <w:b/>
          <w:bCs/>
          <w:sz w:val="22"/>
          <w:szCs w:val="22"/>
        </w:rPr>
        <w:t xml:space="preserve">stronger data position than most new models of care programmes at this stage</w:t>
      </w:r>
      <w:r>
        <w:rPr>
          <w:rFonts w:ascii="Arial" w:cs="Arial" w:eastAsia="Arial" w:hAnsi="Arial"/>
          <w:sz w:val="22"/>
          <w:szCs w:val="22"/>
        </w:rPr>
        <w:t xml:space="preserve">. The practice-level baseline dashboard provides:</w:t>
      </w:r>
    </w:p>
    <w:p>
      <w:pPr>
        <w:pStyle w:val="ListParagraph"/>
        <w:numPr>
          <w:ilvl w:val="0"/>
          <w:numId w:val="2"/>
        </w:numPr>
        <w:spacing w:after="60"/>
      </w:pPr>
      <w:r>
        <w:rPr>
          <w:rFonts w:ascii="Arial" w:cs="Arial" w:eastAsia="Arial" w:hAnsi="Arial"/>
          <w:sz w:val="20"/>
          <w:szCs w:val="20"/>
        </w:rPr>
        <w:t xml:space="preserve">48 weeks of baseline appointment data across all 7 practices (561,294 contacts)</w:t>
      </w:r>
    </w:p>
    <w:p>
      <w:pPr>
        <w:pStyle w:val="ListParagraph"/>
        <w:numPr>
          <w:ilvl w:val="0"/>
          <w:numId w:val="2"/>
        </w:numPr>
        <w:spacing w:after="60"/>
      </w:pPr>
      <w:r>
        <w:rPr>
          <w:rFonts w:ascii="Arial" w:cs="Arial" w:eastAsia="Arial" w:hAnsi="Arial"/>
          <w:sz w:val="20"/>
          <w:szCs w:val="20"/>
        </w:rPr>
        <w:t xml:space="preserve">Practice-level breakdowns with role filtering (GP, Nurses, Other DPC)</w:t>
      </w:r>
    </w:p>
    <w:p>
      <w:pPr>
        <w:pStyle w:val="ListParagraph"/>
        <w:numPr>
          <w:ilvl w:val="0"/>
          <w:numId w:val="2"/>
        </w:numPr>
        <w:spacing w:after="60"/>
      </w:pPr>
      <w:r>
        <w:rPr>
          <w:rFonts w:ascii="Arial" w:cs="Arial" w:eastAsia="Arial" w:hAnsi="Arial"/>
          <w:sz w:val="20"/>
          <w:szCs w:val="20"/>
        </w:rPr>
        <w:t xml:space="preserve">Weekly, monthly, and quarterly trend analysis</w:t>
      </w:r>
    </w:p>
    <w:p>
      <w:pPr>
        <w:pStyle w:val="ListParagraph"/>
        <w:numPr>
          <w:ilvl w:val="0"/>
          <w:numId w:val="2"/>
        </w:numPr>
        <w:spacing w:after="60"/>
      </w:pPr>
      <w:r>
        <w:rPr>
          <w:rFonts w:ascii="Arial" w:cs="Arial" w:eastAsia="Arial" w:hAnsi="Arial"/>
          <w:sz w:val="20"/>
          <w:szCs w:val="20"/>
        </w:rPr>
        <w:t xml:space="preserve">Honest 30+ minute LTC baseline with three-tier reporting (conservative, mid-range, upper bound)</w:t>
      </w:r>
    </w:p>
    <w:p>
      <w:pPr>
        <w:pStyle w:val="ListParagraph"/>
        <w:numPr>
          <w:ilvl w:val="0"/>
          <w:numId w:val="2"/>
        </w:numPr>
        <w:spacing w:after="60"/>
      </w:pPr>
      <w:r>
        <w:rPr>
          <w:rFonts w:ascii="Arial" w:cs="Arial" w:eastAsia="Arial" w:hAnsi="Arial"/>
          <w:sz w:val="20"/>
          <w:szCs w:val="20"/>
        </w:rPr>
        <w:t xml:space="preserve">Same-day access rates, DNA rates, appointment mode splits, wait time distributions</w:t>
      </w:r>
    </w:p>
    <w:p>
      <w:pPr>
        <w:pStyle w:val="ListParagraph"/>
        <w:numPr>
          <w:ilvl w:val="0"/>
          <w:numId w:val="2"/>
        </w:numPr>
        <w:spacing w:after="120"/>
      </w:pPr>
      <w:r>
        <w:rPr>
          <w:rFonts w:ascii="Arial" w:cs="Arial" w:eastAsia="Arial" w:hAnsi="Arial"/>
          <w:sz w:val="20"/>
          <w:szCs w:val="20"/>
        </w:rPr>
        <w:t xml:space="preserve">A clear ICB metrics gap analysis with named owners, timelines, and risk assessments</w:t>
      </w:r>
    </w:p>
    <w:p>
      <w:pPr>
        <w:spacing w:before="0" w:after="120"/>
      </w:pPr>
      <w:r>
        <w:rPr>
          <w:rFonts w:ascii="Arial" w:cs="Arial" w:eastAsia="Arial" w:hAnsi="Arial"/>
          <w:sz w:val="22"/>
          <w:szCs w:val="22"/>
        </w:rPr>
        <w:t xml:space="preserve">This provides a solid operational reporting foundation from which the more complex outcome and impact metrics can be built progressively.</w:t>
      </w:r>
    </w:p>
    <w:p>
      <w:r>
        <w:br w:type="page"/>
      </w:r>
    </w:p>
    <w:p>
      <w:pPr>
        <w:pStyle w:val="Heading1"/>
      </w:pPr>
      <w:r>
        <w:t xml:space="preserve">6. Key Risks to Metrics Delivery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900"/>
        <w:gridCol w:w="900"/>
        <w:gridCol w:w="4226"/>
      </w:tblGrid>
      <w:tr>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Ref</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Risk Description</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Likelihood</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Mitigation</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R1</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LTC cohort definitions not agreed, blocking indicators #4, #15–18</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A291C"/>
                <w:sz w:val="18"/>
                <w:szCs w:val="18"/>
              </w:rPr>
              <w:t xml:space="preserve">High</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D8B00"/>
                <w:sz w:val="18"/>
                <w:szCs w:val="18"/>
              </w:rPr>
              <w:t xml:space="preserve">Medium</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Escalate to Programme Board. Dr Simon Ellis to lead. Phased approach: 2 cohorts first.</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R2</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ICB BI team lacks capacity for secondary care baseline extracts (#6, #11, #12)</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A291C"/>
                <w:sz w:val="18"/>
                <w:szCs w:val="18"/>
              </w:rPr>
              <w:t xml:space="preserve">High</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D8B00"/>
                <w:sz w:val="18"/>
                <w:szCs w:val="18"/>
              </w:rPr>
              <w:t xml:space="preserve">Medium</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Early engagement with Paul Birch. Formal data request submitted April 2026. Agree SLA for monthly refresh.</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R3</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Cross-ICB data sharing (BOB, BLMK) delays Oxford and MK hospital data (#5, #6, #12)</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A291C"/>
                <w:sz w:val="18"/>
                <w:szCs w:val="18"/>
              </w:rPr>
              <w:t xml:space="preserve">High</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A291C"/>
                <w:sz w:val="18"/>
                <w:szCs w:val="18"/>
              </w:rPr>
              <w:t xml:space="preserve">High</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Accept Northamptonshire-only data initially. Flag cross-boundary as known gap. Pursue data sharing agreements in parallel but do not block pilot reporting on this.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R4</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Inconsistent clinical coding across 7 practices undermines LTC/proactive metrics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D8B00"/>
                <w:sz w:val="18"/>
                <w:szCs w:val="18"/>
              </w:rPr>
              <w:t xml:space="preserve">Medium</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A291C"/>
                <w:sz w:val="18"/>
                <w:szCs w:val="18"/>
              </w:rPr>
              <w:t xml:space="preserve">High</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Standardised coding guidance in NRES SOP pack covering both SystmOne and EMIS workflows. Monthly data quality audit. Practice manager training pre go-live. Ardens templates (available for both EPRs) enforce consistent coding where possible. Dual-system neighbourhood increases this risk.</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R5</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IG/DPIA barriers to patient-level data sharing for cohort tracking</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D8B00"/>
                <w:sz w:val="18"/>
                <w:szCs w:val="18"/>
              </w:rPr>
              <w:t xml:space="preserve">Medium</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D8B00"/>
                <w:sz w:val="18"/>
                <w:szCs w:val="18"/>
              </w:rPr>
              <w:t xml:space="preserve">Medium</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NRES DPIA v1.1 and DSA v1.1 already in place. Review scope to confirm cohort data sharing is covered. Update before go-live if needed.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R6</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SUS/HES publication lag means insufficient post-pilot data at 6-month review</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D8B00"/>
                <w:sz w:val="18"/>
                <w:szCs w:val="18"/>
              </w:rPr>
              <w:t xml:space="preserve">Medium</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A291C"/>
                <w:sz w:val="18"/>
                <w:szCs w:val="18"/>
              </w:rPr>
              <w:t xml:space="preserve">High</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Set expectations now: 6-month review will show operational metrics + 3–4 months of secondary care data. Full impact assessment at 12 months.</w:t>
            </w:r>
          </w:p>
        </w:tc>
      </w:tr>
    </w:tbl>
    <w:p>
      <w:pPr>
        <w:pStyle w:val="Heading1"/>
        <w:spacing w:before="400"/>
      </w:pPr>
      <w:r>
        <w:t xml:space="preserve">7. Recommendations</w:t>
      </w:r>
    </w:p>
    <w:p>
      <w:pPr>
        <w:pStyle w:val="ListParagraph"/>
        <w:numPr>
          <w:ilvl w:val="0"/>
          <w:numId w:val="4"/>
        </w:numPr>
        <w:spacing w:after="120"/>
      </w:pPr>
      <w:r>
        <w:rPr>
          <w:rFonts w:ascii="Arial" w:cs="Arial" w:eastAsia="Arial" w:hAnsi="Arial"/>
          <w:sz w:val="20"/>
          <w:szCs w:val="20"/>
        </w:rPr>
        <w:t xml:space="preserve">Accept a phased metrics approach. Operational metrics from Month 1, outcome metrics from Month 6, impact assessment at Month 12. Do not expect comprehensive reporting from day one.</w:t>
      </w:r>
    </w:p>
    <w:p>
      <w:pPr>
        <w:pStyle w:val="ListParagraph"/>
        <w:numPr>
          <w:ilvl w:val="0"/>
          <w:numId w:val="4"/>
        </w:numPr>
        <w:spacing w:after="120"/>
      </w:pPr>
      <w:r>
        <w:rPr>
          <w:rFonts w:ascii="Arial" w:cs="Arial" w:eastAsia="Arial" w:hAnsi="Arial"/>
          <w:sz w:val="20"/>
          <w:szCs w:val="20"/>
        </w:rPr>
        <w:t xml:space="preserve">Commission secondary care baseline data from the ICB BI team in April 2026. This is time-critical — delay risks losing the pre-pilot baseline window.</w:t>
      </w:r>
    </w:p>
    <w:p>
      <w:pPr>
        <w:pStyle w:val="ListParagraph"/>
        <w:numPr>
          <w:ilvl w:val="0"/>
          <w:numId w:val="4"/>
        </w:numPr>
        <w:spacing w:after="120"/>
      </w:pPr>
      <w:r>
        <w:rPr>
          <w:rFonts w:ascii="Arial" w:cs="Arial" w:eastAsia="Arial" w:hAnsi="Arial"/>
          <w:sz w:val="20"/>
          <w:szCs w:val="20"/>
        </w:rPr>
        <w:t xml:space="preserve">Prioritise LTC cohort definitions as the single most important pre-requisite for the complex care metrics. Without agreed definitions, no meaningful LTC data can be collected.</w:t>
      </w:r>
    </w:p>
    <w:p>
      <w:pPr>
        <w:pStyle w:val="ListParagraph"/>
        <w:numPr>
          <w:ilvl w:val="0"/>
          <w:numId w:val="4"/>
        </w:numPr>
        <w:spacing w:after="120"/>
      </w:pPr>
      <w:r>
        <w:rPr>
          <w:rFonts w:ascii="Arial" w:cs="Arial" w:eastAsia="Arial" w:hAnsi="Arial"/>
          <w:sz w:val="20"/>
          <w:szCs w:val="20"/>
        </w:rPr>
        <w:t xml:space="preserve">Accept cross-ICB secondary care data (Oxford, MK) as a known gap and do not block pilot evaluation on it. Report Northamptonshire trust data first; add cross-boundary data when available.</w:t>
      </w:r>
    </w:p>
    <w:p>
      <w:pPr>
        <w:pStyle w:val="ListParagraph"/>
        <w:numPr>
          <w:ilvl w:val="0"/>
          <w:numId w:val="4"/>
        </w:numPr>
        <w:spacing w:after="120"/>
      </w:pPr>
      <w:r>
        <w:rPr>
          <w:rFonts w:ascii="Arial" w:cs="Arial" w:eastAsia="Arial" w:hAnsi="Arial"/>
          <w:sz w:val="20"/>
          <w:szCs w:val="20"/>
        </w:rPr>
        <w:t xml:space="preserve">Use the NRES Baseline Dashboard as the primary reporting tool for operational metrics, updated monthly. This is available now and provides practice-level, role-level, and period-level analysis.</w:t>
      </w:r>
    </w:p>
    <w:p>
      <w:pPr>
        <w:pStyle w:val="ListParagraph"/>
        <w:numPr>
          <w:ilvl w:val="0"/>
          <w:numId w:val="4"/>
        </w:numPr>
        <w:spacing w:after="120"/>
      </w:pPr>
      <w:r>
        <w:rPr>
          <w:rFonts w:ascii="Arial" w:cs="Arial" w:eastAsia="Arial" w:hAnsi="Arial"/>
          <w:sz w:val="20"/>
          <w:szCs w:val="20"/>
        </w:rPr>
        <w:t xml:space="preserve">Establish a joint NRES-ICB reporting working group (Malcolm Railson, Michael Chapman, Paul Birch, Tunde Adediran) meeting monthly from April 2026 to track metrics development. Leverage the existing ICB DDaT Delivery Group (chaired by Kirstie Watson, Digital Director) for escalation of cross-system dependencies and IG blockers.</w:t>
      </w:r>
    </w:p>
    <w:p>
      <w:pPr>
        <w:pStyle w:val="ListParagraph"/>
        <w:numPr>
          <w:ilvl w:val="0"/>
          <w:numId w:val="4"/>
        </w:numPr>
        <w:spacing w:after="120"/>
      </w:pPr>
      <w:r>
        <w:rPr>
          <w:rFonts w:ascii="Arial" w:cs="Arial" w:eastAsia="Arial" w:hAnsi="Arial"/>
          <w:sz w:val="20"/>
          <w:szCs w:val="20"/>
        </w:rPr>
        <w:t xml:space="preserve">Request NARP neighbourhood-level views for the NRES population as an immediate priority. NARP already holds A&amp;E admission data, Patient Need Groups, cohort identification tools, and hospital activity that could accelerate delivery of indicators #4, #6, #11, #12, and #15–18. The NARP Remote Monitoring Cohort Finder (pre-launch) and Population Health Workbench (in testing) are directly relevant to NRES LTC workstream requirements.</w:t>
      </w:r>
    </w:p>
    <w:p>
      <w:pPr>
        <w:spacing w:before="400"/>
      </w:pPr>
      <w:r>
        <w:rPr>
          <w:rFonts w:ascii="Arial" w:cs="Arial" w:eastAsia="Arial" w:hAnsi="Arial"/>
          <w:i/>
          <w:iCs/>
          <w:color w:val="888888"/>
          <w:sz w:val="20"/>
          <w:szCs w:val="20"/>
        </w:rPr>
        <w:t xml:space="preserve">— End of Report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4"/>
        <w:szCs w:val="14"/>
      </w:rPr>
      <w:t xml:space="preserve">NRES ICB Metrics Requirements Report</w:t>
    </w:r>
    <w:r>
      <w:t xml:space="preserve">	Page </w:t>
    </w:r>
    <w:r>
      <w:rPr>
        <w:color w:val="888888"/>
        <w:sz w:val="14"/>
        <w:szCs w:val="14"/>
      </w:rPr>
      <w:fldChar w:fldCharType="begin"/>
      <w:instrText xml:space="preserve">PAGE</w:instrText>
      <w:fldChar w:fldCharType="separate"/>
      <w:fldChar w:fldCharType="end"/>
    </w:r>
    <w: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EB8" w:sz="6" w:space="1"/>
      </w:pBdr>
      <w:tabs>
        <w:tab w:val="right" w:pos="9026"/>
      </w:tabs>
    </w:pPr>
    <w:r>
      <w:rPr>
        <w:rFonts w:ascii="Arial" w:cs="Arial" w:eastAsia="Arial" w:hAnsi="Arial"/>
        <w:color w:val="005EB8"/>
        <w:sz w:val="16"/>
        <w:szCs w:val="16"/>
      </w:rPr>
      <w:t xml:space="preserve">NHS Northamptonshire ICB</w:t>
    </w:r>
    <w:r>
      <w:t xml:space="preserve">	</w:t>
    </w:r>
    <w:r>
      <w:rPr>
        <w:rFonts w:ascii="Arial" w:cs="Arial" w:eastAsia="Arial" w:hAnsi="Arial"/>
        <w:b/>
        <w:bCs/>
        <w:color w:val="DA291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308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05EB8"/>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7C28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2026-03-16T11:18:07.118Z</dcterms:created>
  <dcterms:modified xsi:type="dcterms:W3CDTF">2026-03-16T11:18:07.119Z</dcterms:modified>
</cp:coreProperties>
</file>

<file path=docProps/custom.xml><?xml version="1.0" encoding="utf-8"?>
<Properties xmlns="http://schemas.openxmlformats.org/officeDocument/2006/custom-properties" xmlns:vt="http://schemas.openxmlformats.org/officeDocument/2006/docPropsVTypes"/>
</file>