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Telephony Benchmarking Report</w:t>
      </w:r>
    </w:p>
    <w:p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 xml:space="preserve">NHS Northamptonshire ICB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Saxon Spires Practice vs All ICB Practices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NHSE Cloud Based Telephony Data - October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Saxon Spires Practice ranks </w:t>
      </w:r>
      <w:r>
        <w:rPr>
          <w:b/>
          <w:bCs/>
        </w:rPr>
        <w:t xml:space="preserve">14th out of 51 practices</w:t>
      </w:r>
      <w:r>
        <w:t xml:space="preserve"> in NHS Northamptonshire ICB for answered call rate, placing it in the </w:t>
      </w:r>
      <w:r>
        <w:rPr>
          <w:b/>
          <w:bCs/>
        </w:rPr>
        <w:t xml:space="preserve">top 27%</w:t>
      </w:r>
      <w:r>
        <w:t xml:space="preserve"> of practices. With an answered rate of 65.6% (vs ICB average 56.5%), the practice performs significantly above average on the key access metric.</w:t>
      </w:r>
    </w:p>
    <w:p>
      <w:pPr>
        <w:pStyle w:val="Heading1"/>
      </w:pPr>
      <w:r>
        <w:t xml:space="preserve">Saxon Spires Performance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Saxon Spires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ICB Average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ICB Rank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Answered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65.6%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56.5%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14th of 51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Missed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24th of 51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Answer (&lt;1 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38.5%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37.9%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21st of 51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Long Wait (&gt;5 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27.8%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19th of 51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Inbound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14,322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7,376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4th highest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Insight: </w:t>
      </w:r>
      <w:r>
        <w:t xml:space="preserve">Saxon Spires handles nearly </w:t>
      </w:r>
      <w:r>
        <w:rPr>
          <w:b/>
          <w:bCs/>
        </w:rPr>
        <w:t xml:space="preserve">double the call volume</w:t>
      </w:r>
      <w:r>
        <w:t xml:space="preserve"> of the average practice (14,322 vs 7,376) while maintaining above-average performance on answered rate. This is a significant achievement given the scale of operations.</w:t>
      </w:r>
    </w:p>
    <w:p>
      <w:r>
        <w:br w:type="page"/>
      </w:r>
    </w:p>
    <w:p>
      <w:pPr>
        <w:pStyle w:val="Heading1"/>
      </w:pPr>
      <w:r>
        <w:t xml:space="preserve">Full ICB Rankings - All 51 Practices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Sorted by Answered Rate (highest to lowest). Saxon Spires highlighted in yellow.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9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&lt;1m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&gt;5m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Kingsthorpe Medical Ctr.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M-WEB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3,978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82.9%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69.3%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4.3%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Nene Valley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East Northants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3,180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76.9%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8.0%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54.8%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8.0%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Brackley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Brackley &amp; Towcester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7,265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74.6%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70.8%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4.8%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Dryland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Kettering &amp; SW Rural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6,593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74.2%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9.8%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54.7%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12.4%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Woodview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M-WEB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5,634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73.6%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73.1%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2.9%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Harborough Field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East Northants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6,222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71.4%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10.8%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Marshalls Road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East Northants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2,073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70.1%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72.7%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5.0%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Danetre Medical Practice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Daventry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7,718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68.5%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45.8%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16.0%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Mayfield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MMWF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3,757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68.2%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38.0%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26.5%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County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Blue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2,775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67.7%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8.5%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40.9%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22.2%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Higham Ferrers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East Northants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2,260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67.5%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51.4%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7.1%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Abington Park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Grand Union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5,722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67.1%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28.4%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32.8%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Crick Medical Practice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Northamptonshire Rural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4,944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66.1%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47.7%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7.9%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The Saxon Spires Practice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Northamptonshire Rural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14,322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65.6%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38.5%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20.7%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Great Oakley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Triangle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65.6%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80.7%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4.2%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Eskdaill Medical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Red Kite Healthcare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10,100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65.3%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54.8%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13.3%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The Long Buckby Practice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Northamptonshire Rural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6,546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64.1%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64.4%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9.3%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Springfield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Brackley &amp; Towcester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4,687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63.9%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9.8%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28.0%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30.7%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King Edward Road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Grand Union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6,601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62.2%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10.6%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31.6%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33.5%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Abbey Medical Practice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Wellingborough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11,972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61.8%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8.0%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43.1%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16.2%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Rothwell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Triangle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9,600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60.3%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10.1%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42.6%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15.5%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Towcester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Brackley &amp; Towcester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4,662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59.8%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22.9%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46.8%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Danes Camp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Parkwood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10,365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59.2%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12.5%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50.7%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16.1%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Queensview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Royal Parks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5,919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59.0%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17.9%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29.7%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34.5%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The Parks Medical Practice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Parkwood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19,016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58.0%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33.0%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31.5%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Brook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Blue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3,004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57.0%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18.4%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34.0%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29.1%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Dr Abbas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MMWF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5,445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56.8%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19.4%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45.6%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Rushden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Blue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4,295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56.0%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11.0%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22.4%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39.6%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The Brook Health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Brackley &amp; Towcester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3,986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55.9%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17.7%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27.2%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38.7%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The Meadows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East Northants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4,925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54.7%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9.9%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25.0%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36.4%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Park Ave &amp; Kings Heath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Blue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9,646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54.1%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9.3%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37.5%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30.1%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The Cottons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East Northants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5,226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53.8%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18.6%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35.6%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29.4%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Moulton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M-WEB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8,784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53.2%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13.2%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14.6%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53.2%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Bugbrooke Medical Practice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Blue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6,119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51.5%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42.6%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15.9%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Linden Medical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Red Kite Healthcare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6,924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51.4%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19.8%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29.7%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37.1%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The Pines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Royal Parks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9,348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50.3%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22.5%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47.5%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The Crescent Medical Ctr.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Blue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5,378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50.2%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36.6%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27.4%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Abbey House Medical Practice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Daventry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11,555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50.1%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11.6%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47.6%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17.4%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Langham Place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Royal Parks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7,729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48.1%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10.0%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18.4%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39.6%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Weavers Medical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Red Kite Healthcare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19,249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48.0%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18.7%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48.0%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Dr Spencer &amp; Partners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Kettering &amp; SW Rural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6,335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45.6%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19.4%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30.0%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31.6%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Abington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Grand Union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7,807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45.1%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28.9%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Maple Access Partnership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MMWF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8,761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44.7%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13.0%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46.7%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Greenview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Grand Union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6,578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43.6%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14.3%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18.4%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45.0%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Spinney Brook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East Northants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9,262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41.1%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23.8%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32.9%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33.8%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Earls Barton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Parkwood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6,314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38.8%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11.1%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40.1%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Leicester Tce Healthcare Ctr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Grand Union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12,781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36.5%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20.5%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23.4%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48.8%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The Mounts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MMWF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6,363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35.1%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12.1%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54.3%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Parklands Medical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East Northants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11,404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34.1%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51.0%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8"/>
                <w:szCs w:val="18"/>
              </w:rPr>
              <w:t xml:space="preserve">Greens Norton &amp; Weedon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000000"/>
                <w:sz w:val="16"/>
                <w:szCs w:val="16"/>
              </w:rPr>
              <w:t xml:space="preserve">Northamptonshire Rural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10,430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32.6%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9.7%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29.4%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31.6%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St Lukes Primary Care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000000"/>
                <w:sz w:val="16"/>
                <w:szCs w:val="16"/>
              </w:rPr>
              <w:t xml:space="preserve">The Arc Hub PCN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29,936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19.8%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52.4%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27.0%</w:t>
            </w:r>
          </w:p>
        </w:tc>
      </w:tr>
    </w:tbl>
    <w:p>
      <w:pPr>
        <w:spacing w:before="100"/>
      </w:pPr>
      <w:r>
        <w:rPr>
          <w:b/>
          <w:bCs/>
          <w:sz w:val="18"/>
          <w:szCs w:val="18"/>
        </w:rPr>
        <w:t xml:space="preserve">Legend: </w:t>
      </w:r>
      <w:r>
        <w:rPr>
          <w:sz w:val="18"/>
          <w:szCs w:val="18"/>
        </w:rPr>
        <w:t xml:space="preserve">Green = Good performance | Yellow = Average | Red = Below average</w:t>
      </w:r>
    </w:p>
    <w:p>
      <w:r>
        <w:br w:type="page"/>
      </w:r>
    </w:p>
    <w:p>
      <w:pPr>
        <w:pStyle w:val="Heading1"/>
      </w:pPr>
      <w:r>
        <w:t xml:space="preserve">Key Observations</w:t>
      </w:r>
    </w:p>
    <w:p>
      <w:pPr>
        <w:pStyle w:val="Heading2"/>
      </w:pPr>
      <w:r>
        <w:t xml:space="preserve">PCN Comparison - Northamptonshire Rural PCN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15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Practice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ICB 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Answered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Crick Medical Practice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66.1%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3.8%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4,944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Saxon Spires Practice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65.6%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14,322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Long Buckby Practice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17th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64.1%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7.0%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6,546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Greens Norton &amp; Weedon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t xml:space="preserve">32.6%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10,430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Saxon Spires is the 2nd best performer in its PCN, just behind Crick. However, it handles nearly 3x the call volume of Crick.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Answered Rate 9.1% above ICB average </w:t>
      </w:r>
      <w:r>
        <w:t xml:space="preserve">(65.6% vs 56.5%)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Long wait rate 7.1% better than average </w:t>
      </w:r>
      <w:r>
        <w:t xml:space="preserve">(20.7% vs 27.8%)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Handles 4th highest call volume in ICB </w:t>
      </w:r>
      <w:r>
        <w:t xml:space="preserve">while maintaining above-average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Missed rate below ICB average </w:t>
      </w:r>
      <w:r>
        <w:t xml:space="preserve">(10.2% vs 12.1%)</w:t>
      </w:r>
    </w:p>
    <w:p>
      <w:pPr>
        <w:pStyle w:val="Heading2"/>
      </w:pPr>
      <w:r>
        <w:t xml:space="preserve">Areas for Improvement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answer rate close to average </w:t>
      </w:r>
      <w:r>
        <w:t xml:space="preserve">(38.5% vs 37.9%) - room to improve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callback utilisation </w:t>
      </w:r>
      <w:r>
        <w:t xml:space="preserve">(1.9% vs 5.5% national) - could reduce queue pressure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Missed rate higher than PCN peers </w:t>
      </w:r>
      <w:r>
        <w:t xml:space="preserve">Crick (3.8%) and Long Buckby (7.0%)</w:t>
      </w:r>
    </w:p>
    <w:p>
      <w:pPr>
        <w:pStyle w:val="Heading2"/>
      </w:pPr>
      <w:r>
        <w:t xml:space="preserve">Notable Outliers</w:t>
      </w:r>
    </w:p>
    <w:p>
      <w:pPr>
        <w:spacing w:after="100"/>
      </w:pPr>
      <w:r>
        <w:rPr>
          <w:b/>
          <w:bCs/>
        </w:rPr>
        <w:t xml:space="preserve">St Lukes Primary Care Centre </w:t>
      </w:r>
      <w:r>
        <w:t xml:space="preserve">(ranked 51st) shows 19.8% answered rate but operates a fundamentally different IVR-heavy model with 66.3% IVR resolution. Traditional metrics may not accurately reflect their patient access model.</w:t>
      </w:r>
    </w:p>
    <w:p>
      <w:pPr>
        <w:spacing w:after="200"/>
      </w:pPr>
      <w:r>
        <w:rPr>
          <w:b/>
          <w:bCs/>
        </w:rPr>
        <w:t xml:space="preserve">Greens Norton &amp; Weedon </w:t>
      </w:r>
      <w:r>
        <w:t xml:space="preserve">(ranked 50th, same PCN as Saxon Spires) shows 32.6% answered rate with high callback usage (26.9%). This practice may benefit from PCN-level support.</w:t>
      </w:r>
    </w:p>
    <w:p>
      <w:pPr>
        <w:shd w:fill="F2F2F2" w:val="clear"/>
        <w:spacing w:before="400"/>
      </w:pPr>
      <w:r>
        <w:rPr>
          <w:b/>
          <w:bCs/>
          <w:sz w:val="18"/>
          <w:szCs w:val="18"/>
        </w:rPr>
        <w:t xml:space="preserve">Data Source: </w:t>
      </w:r>
      <w:r>
        <w:rPr>
          <w:sz w:val="18"/>
          <w:szCs w:val="18"/>
        </w:rPr>
        <w:t xml:space="preserve">NHSE Cloud Based Telephony Publication October 2025. 51 practices in NHS Northamptonshire ICB (78H).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NHS Northamptonshire ICB Telephony Benchmarking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2025-11-27T20:08:20.501Z</dcterms:created>
  <dcterms:modified xsi:type="dcterms:W3CDTF">2025-11-27T20:08:20.502Z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