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D29B" w14:textId="77777777" w:rsidR="00634F6B" w:rsidRDefault="00AD2D15">
      <w:pPr>
        <w:spacing w:after="100"/>
        <w:jc w:val="center"/>
      </w:pPr>
      <w:r>
        <w:rPr>
          <w:b/>
          <w:bCs/>
          <w:color w:val="003366"/>
          <w:sz w:val="36"/>
          <w:szCs w:val="36"/>
        </w:rPr>
        <w:t>NRES PROGRAMME BOARD</w:t>
      </w:r>
    </w:p>
    <w:p w14:paraId="6E303AEE" w14:textId="77777777" w:rsidR="00634F6B" w:rsidRDefault="00AD2D15">
      <w:pPr>
        <w:spacing w:after="100"/>
        <w:jc w:val="center"/>
      </w:pPr>
      <w:r>
        <w:rPr>
          <w:b/>
          <w:bCs/>
          <w:color w:val="003366"/>
          <w:sz w:val="28"/>
          <w:szCs w:val="28"/>
        </w:rPr>
        <w:t>Briefing Paper: Salaried GP Redundancy Liability</w:t>
      </w:r>
    </w:p>
    <w:p w14:paraId="4B51A642" w14:textId="77777777" w:rsidR="00634F6B" w:rsidRDefault="00AD2D15">
      <w:pPr>
        <w:spacing w:after="100"/>
        <w:jc w:val="center"/>
      </w:pPr>
      <w:r>
        <w:rPr>
          <w:color w:val="555555"/>
          <w:sz w:val="24"/>
          <w:szCs w:val="24"/>
        </w:rPr>
        <w:t>Impact of Continuous NHS Service on Redundancy Costs</w:t>
      </w:r>
    </w:p>
    <w:p w14:paraId="16641E1A" w14:textId="77777777" w:rsidR="00634F6B" w:rsidRDefault="00AD2D15">
      <w:pPr>
        <w:spacing w:after="100"/>
        <w:jc w:val="center"/>
      </w:pPr>
      <w:r>
        <w:rPr>
          <w:color w:val="555555"/>
          <w:sz w:val="24"/>
          <w:szCs w:val="24"/>
        </w:rPr>
        <w:t>Including ICB Commissioner Redundancy Guarantee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13"/>
        <w:gridCol w:w="2200"/>
        <w:gridCol w:w="2313"/>
      </w:tblGrid>
      <w:tr w:rsidR="00634F6B" w14:paraId="2B2E26A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19E3830B" w14:textId="77777777" w:rsidR="00634F6B" w:rsidRDefault="00AD2D15">
            <w:r>
              <w:rPr>
                <w:b/>
                <w:bCs/>
                <w:color w:val="000000"/>
                <w:sz w:val="20"/>
                <w:szCs w:val="20"/>
              </w:rPr>
              <w:t>Date:</w:t>
            </w:r>
          </w:p>
        </w:tc>
        <w:tc>
          <w:tcPr>
            <w:tcW w:w="23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270E4B" w14:textId="77777777" w:rsidR="00634F6B" w:rsidRDefault="00AD2D15">
            <w:r>
              <w:rPr>
                <w:color w:val="000000"/>
                <w:sz w:val="20"/>
                <w:szCs w:val="20"/>
              </w:rPr>
              <w:t>9 February 2026</w:t>
            </w:r>
          </w:p>
        </w:tc>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1D5C3029" w14:textId="77777777" w:rsidR="00634F6B" w:rsidRDefault="00AD2D15">
            <w:r>
              <w:rPr>
                <w:b/>
                <w:bCs/>
                <w:color w:val="000000"/>
                <w:sz w:val="20"/>
                <w:szCs w:val="20"/>
              </w:rPr>
              <w:t>Author:</w:t>
            </w:r>
          </w:p>
        </w:tc>
        <w:tc>
          <w:tcPr>
            <w:tcW w:w="23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B0515C" w14:textId="77777777" w:rsidR="00634F6B" w:rsidRDefault="00AD2D15">
            <w:r>
              <w:rPr>
                <w:color w:val="000000"/>
                <w:sz w:val="20"/>
                <w:szCs w:val="20"/>
              </w:rPr>
              <w:t>Malcolm Railson</w:t>
            </w:r>
          </w:p>
        </w:tc>
      </w:tr>
      <w:tr w:rsidR="00634F6B" w14:paraId="5830EAB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248E257F" w14:textId="77777777" w:rsidR="00634F6B" w:rsidRDefault="00AD2D15">
            <w:r>
              <w:rPr>
                <w:b/>
                <w:bCs/>
                <w:color w:val="000000"/>
                <w:sz w:val="20"/>
                <w:szCs w:val="20"/>
              </w:rPr>
              <w:t>Classification:</w:t>
            </w:r>
          </w:p>
        </w:tc>
        <w:tc>
          <w:tcPr>
            <w:tcW w:w="23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413587" w14:textId="77777777" w:rsidR="00634F6B" w:rsidRDefault="00AD2D15">
            <w:r>
              <w:rPr>
                <w:color w:val="000000"/>
                <w:sz w:val="20"/>
                <w:szCs w:val="20"/>
              </w:rPr>
              <w:t>Confidential</w:t>
            </w:r>
          </w:p>
        </w:tc>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6CAF6551" w14:textId="77777777" w:rsidR="00634F6B" w:rsidRDefault="00AD2D15">
            <w:r>
              <w:rPr>
                <w:b/>
                <w:bCs/>
                <w:color w:val="000000"/>
                <w:sz w:val="20"/>
                <w:szCs w:val="20"/>
              </w:rPr>
              <w:t>Status:</w:t>
            </w:r>
          </w:p>
        </w:tc>
        <w:tc>
          <w:tcPr>
            <w:tcW w:w="23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FCEB636" w14:textId="77777777" w:rsidR="00634F6B" w:rsidRDefault="00AD2D15">
            <w:r>
              <w:rPr>
                <w:color w:val="000000"/>
                <w:sz w:val="20"/>
                <w:szCs w:val="20"/>
              </w:rPr>
              <w:t>For Discussion &amp; Decision</w:t>
            </w:r>
          </w:p>
        </w:tc>
      </w:tr>
      <w:tr w:rsidR="00634F6B" w14:paraId="2CEB202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67AA4C8B" w14:textId="77777777" w:rsidR="00634F6B" w:rsidRDefault="00AD2D15">
            <w:r>
              <w:rPr>
                <w:b/>
                <w:bCs/>
                <w:color w:val="000000"/>
                <w:sz w:val="20"/>
                <w:szCs w:val="20"/>
              </w:rPr>
              <w:t>Programme:</w:t>
            </w:r>
          </w:p>
        </w:tc>
        <w:tc>
          <w:tcPr>
            <w:tcW w:w="23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B476251" w14:textId="77777777" w:rsidR="00634F6B" w:rsidRDefault="00AD2D15">
            <w:r>
              <w:rPr>
                <w:color w:val="000000"/>
                <w:sz w:val="20"/>
                <w:szCs w:val="20"/>
              </w:rPr>
              <w:t>NRES Neighbourhood Access Service</w:t>
            </w:r>
          </w:p>
        </w:tc>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4C936D88" w14:textId="77777777" w:rsidR="00634F6B" w:rsidRDefault="00AD2D15">
            <w:r>
              <w:rPr>
                <w:b/>
                <w:bCs/>
                <w:color w:val="000000"/>
                <w:sz w:val="20"/>
                <w:szCs w:val="20"/>
              </w:rPr>
              <w:t>Source:</w:t>
            </w:r>
          </w:p>
        </w:tc>
        <w:tc>
          <w:tcPr>
            <w:tcW w:w="23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DDC569" w14:textId="77777777" w:rsidR="00634F6B" w:rsidRDefault="00AD2D15">
            <w:r>
              <w:rPr>
                <w:color w:val="000000"/>
                <w:sz w:val="20"/>
                <w:szCs w:val="20"/>
              </w:rPr>
              <w:t>BMA / Northants LMC / ICB</w:t>
            </w:r>
          </w:p>
        </w:tc>
      </w:tr>
    </w:tbl>
    <w:p w14:paraId="533DCEFD" w14:textId="77777777" w:rsidR="00634F6B" w:rsidRDefault="00634F6B">
      <w:pPr>
        <w:spacing w:before="300"/>
      </w:pPr>
    </w:p>
    <w:p w14:paraId="053A90B0" w14:textId="77777777" w:rsidR="00634F6B" w:rsidRDefault="00AD2D15">
      <w:pPr>
        <w:pStyle w:val="Heading1"/>
      </w:pPr>
      <w:r>
        <w:t>1. Executive Summary</w:t>
      </w:r>
    </w:p>
    <w:p w14:paraId="32CD5C12" w14:textId="77777777" w:rsidR="00634F6B" w:rsidRDefault="00AD2D15">
      <w:pPr>
        <w:spacing w:after="120"/>
      </w:pPr>
      <w:r>
        <w:t xml:space="preserve">Following guidance received from the BMA’s Employed Doctors team via the Northants LMC on 9 February 2026, this paper sets out the implications for GP practices employing salaried GPs for the NRES Neighbourhood Access Service. The BMA has confirmed that under the model salaried GP contract, </w:t>
      </w:r>
      <w:r>
        <w:rPr>
          <w:b/>
          <w:bCs/>
        </w:rPr>
        <w:t>continuous NHS service</w:t>
      </w:r>
      <w:r>
        <w:t xml:space="preserve"> (not just service with the employing practice) is used to calculate contractual redundancy pay. This means a GP with 10 years’ prior NHS service who is employed by a practice for 2 years could attract </w:t>
      </w:r>
      <w:r>
        <w:rPr>
          <w:b/>
          <w:bCs/>
        </w:rPr>
        <w:t>12 years’ worth of redundancy liability</w:t>
      </w:r>
      <w:r>
        <w:t>, not 2.</w:t>
      </w:r>
    </w:p>
    <w:p w14:paraId="0B51F7DB" w14:textId="77777777" w:rsidR="00634F6B" w:rsidRDefault="00AD2D15">
      <w:pPr>
        <w:spacing w:after="120"/>
      </w:pPr>
      <w:r>
        <w:t xml:space="preserve">Critically, </w:t>
      </w:r>
      <w:r>
        <w:rPr>
          <w:b/>
          <w:bCs/>
        </w:rPr>
        <w:t>NHS Northamptonshire ICB has agreed an exceptional one-time provision of £305,219 as a Confidential Redundancy Fund</w:t>
      </w:r>
      <w:r>
        <w:t xml:space="preserve"> (Phase 1 Risk Mitigation Fund) to mitigate potential redundancy exposure for the pioneering Phase 1 neighbourhood sites. This significantly de-risks the position for participating practices.</w:t>
      </w:r>
    </w:p>
    <w:p w14:paraId="629E53D0" w14:textId="77777777" w:rsidR="00634F6B" w:rsidRDefault="00AD2D15">
      <w:pPr>
        <w:spacing w:after="120"/>
      </w:pPr>
      <w:r>
        <w:t>This paper explores the legal basis for the model contract requirement, whether GP practices can offer alternative terms, the available options, associated risks, and how the ICB guarantee changes the risk calculus.</w:t>
      </w:r>
    </w:p>
    <w:p w14:paraId="6F0248CC" w14:textId="77777777" w:rsidR="00634F6B" w:rsidRDefault="00AD2D15">
      <w:pPr>
        <w:pStyle w:val="Heading1"/>
      </w:pPr>
      <w:r>
        <w:t>2. Background – The BMA Position</w:t>
      </w:r>
    </w:p>
    <w:p w14:paraId="45AFAC13" w14:textId="77777777" w:rsidR="00634F6B" w:rsidRDefault="00AD2D15">
      <w:pPr>
        <w:spacing w:after="120"/>
      </w:pPr>
      <w:r>
        <w:t xml:space="preserve">The original question was posed by Colin Smith, CEO of Northants LMC, on behalf of a practice considering employing a GP for a short-term project. The scenario: a GP with 10 years’ existing NHS service is employed for 2 years and then made redundant – would the practice be liable for </w:t>
      </w:r>
      <w:proofErr w:type="gramStart"/>
      <w:r>
        <w:t>2 or 12 years’</w:t>
      </w:r>
      <w:proofErr w:type="gramEnd"/>
      <w:r>
        <w:t xml:space="preserve"> redundancy?</w:t>
      </w:r>
    </w:p>
    <w:p w14:paraId="7F693961" w14:textId="77777777" w:rsidR="00634F6B" w:rsidRDefault="00AD2D15">
      <w:pPr>
        <w:spacing w:after="120"/>
      </w:pPr>
      <w:r>
        <w:t xml:space="preserve">The BMA’s Catharina Öhman (Senior Policy Advisor, GPC) confirmed via their Employed Doctors team that under the model contract, paragraph 1.7 defines ‘NHS service’ as including all previous NHS hospital work, NHS GP work, salaried GP, and locum GP work where the GP was performing primary medical services. Provided there has not been a break of over 12 months, continuity of service is preserved, and </w:t>
      </w:r>
      <w:r>
        <w:rPr>
          <w:b/>
          <w:bCs/>
        </w:rPr>
        <w:t>contractual redundancy pay is calculated on the full continuous NHS service period</w:t>
      </w:r>
      <w:r>
        <w:t>.</w:t>
      </w:r>
    </w:p>
    <w:p w14:paraId="02CB2E56" w14:textId="77777777" w:rsidR="00634F6B" w:rsidRDefault="00AD2D15">
      <w:pPr>
        <w:spacing w:after="120"/>
      </w:pPr>
      <w:r>
        <w:t xml:space="preserve">Critically, this is a </w:t>
      </w:r>
      <w:r>
        <w:rPr>
          <w:b/>
          <w:bCs/>
        </w:rPr>
        <w:t>contractual</w:t>
      </w:r>
      <w:r>
        <w:t xml:space="preserve"> entitlement under the model contract, not a </w:t>
      </w:r>
      <w:r>
        <w:rPr>
          <w:b/>
          <w:bCs/>
        </w:rPr>
        <w:t>statutory</w:t>
      </w:r>
      <w:r>
        <w:t xml:space="preserve"> one. Statutory redundancy pay is calculated only on service with the current employer (the practice). However, the model contract provides enhanced terms that go beyond the statutory minimum.</w:t>
      </w:r>
    </w:p>
    <w:p w14:paraId="47BD4287" w14:textId="77777777" w:rsidR="00634F6B" w:rsidRDefault="00AD2D15">
      <w:pPr>
        <w:pStyle w:val="Heading1"/>
      </w:pPr>
      <w:r>
        <w:lastRenderedPageBreak/>
        <w:t>3. ICB Commissioner Redundancy Guarantee</w:t>
      </w:r>
    </w:p>
    <w:p w14:paraId="42AE121B" w14:textId="77777777" w:rsidR="00634F6B" w:rsidRDefault="00AD2D15">
      <w:pPr>
        <w:spacing w:after="120"/>
      </w:pPr>
      <w:r>
        <w:t>In recognition of the financial risk that redundancy liability poses to participating practices – and as a condition of securing practice participation in this pioneering programme – NHS Northamptonshire ICB has agreed an exceptional one-time budget guarantee to underwrite potential redundancy costs for Phase 1 sites.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4F6B" w14:paraId="0719377E" w14:textId="77777777">
        <w:tblPrEx>
          <w:tblCellMar>
            <w:top w:w="0" w:type="dxa"/>
            <w:bottom w:w="0" w:type="dxa"/>
          </w:tblCellMar>
        </w:tblPrEx>
        <w:tc>
          <w:tcPr>
            <w:tcW w:w="9026" w:type="dxa"/>
            <w:tcBorders>
              <w:top w:val="single" w:sz="3" w:space="0" w:color="003366"/>
              <w:left w:val="single" w:sz="3" w:space="0" w:color="003366"/>
              <w:bottom w:val="single" w:sz="3" w:space="0" w:color="003366"/>
              <w:right w:val="single" w:sz="3" w:space="0" w:color="003366"/>
            </w:tcBorders>
            <w:shd w:val="clear" w:color="auto" w:fill="E0F0FF"/>
            <w:tcMar>
              <w:top w:w="200" w:type="dxa"/>
              <w:left w:w="300" w:type="dxa"/>
              <w:bottom w:w="200" w:type="dxa"/>
              <w:right w:w="300" w:type="dxa"/>
            </w:tcMar>
          </w:tcPr>
          <w:p w14:paraId="2AF97738" w14:textId="77777777" w:rsidR="00634F6B" w:rsidRDefault="00AD2D15">
            <w:pPr>
              <w:spacing w:after="120"/>
              <w:jc w:val="center"/>
            </w:pPr>
            <w:r>
              <w:rPr>
                <w:b/>
                <w:bCs/>
                <w:color w:val="003366"/>
                <w:sz w:val="28"/>
                <w:szCs w:val="28"/>
              </w:rPr>
              <w:t>CONFIDENTIAL REDUNDANCY FUND</w:t>
            </w:r>
          </w:p>
          <w:p w14:paraId="3F5F57EA" w14:textId="77777777" w:rsidR="00634F6B" w:rsidRDefault="00AD2D15">
            <w:pPr>
              <w:spacing w:after="120"/>
              <w:jc w:val="center"/>
            </w:pPr>
            <w:r>
              <w:rPr>
                <w:b/>
                <w:bCs/>
                <w:color w:val="003366"/>
                <w:sz w:val="40"/>
                <w:szCs w:val="40"/>
              </w:rPr>
              <w:t>£305,219</w:t>
            </w:r>
          </w:p>
          <w:p w14:paraId="47BC8B2B" w14:textId="77777777" w:rsidR="00634F6B" w:rsidRDefault="00AD2D15">
            <w:pPr>
              <w:spacing w:after="120"/>
              <w:jc w:val="center"/>
            </w:pPr>
            <w:r>
              <w:rPr>
                <w:color w:val="333333"/>
              </w:rPr>
              <w:t>Phase 1 Risk Mitigation Fund</w:t>
            </w:r>
          </w:p>
          <w:p w14:paraId="2733BE53" w14:textId="77777777" w:rsidR="00634F6B" w:rsidRDefault="00AD2D15">
            <w:pPr>
              <w:jc w:val="center"/>
            </w:pPr>
            <w:r>
              <w:rPr>
                <w:b/>
                <w:bCs/>
                <w:sz w:val="20"/>
                <w:szCs w:val="20"/>
              </w:rPr>
              <w:t xml:space="preserve">Strictly Confidential to Phase 1 Sites. </w:t>
            </w:r>
            <w:r>
              <w:rPr>
                <w:sz w:val="20"/>
                <w:szCs w:val="20"/>
              </w:rPr>
              <w:t>The ICB has agreed this exceptional provision to mitigate potential redundancy exposure for pioneering neighbourhoods.</w:t>
            </w:r>
          </w:p>
        </w:tc>
      </w:tr>
    </w:tbl>
    <w:p w14:paraId="6D729F3B" w14:textId="77777777" w:rsidR="00634F6B" w:rsidRDefault="00634F6B">
      <w:pPr>
        <w:spacing w:before="200"/>
      </w:pPr>
    </w:p>
    <w:p w14:paraId="61539F0E" w14:textId="77777777" w:rsidR="00634F6B" w:rsidRDefault="00AD2D15">
      <w:pPr>
        <w:pStyle w:val="Heading2"/>
      </w:pPr>
      <w:r>
        <w:t>3.1 Key Features of the ICB Guarantee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34F6B" w14:paraId="451AE88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6009C968" w14:textId="77777777" w:rsidR="00634F6B" w:rsidRDefault="00AD2D15">
            <w:r>
              <w:rPr>
                <w:b/>
                <w:bCs/>
                <w:color w:val="FFFFFF"/>
                <w:sz w:val="20"/>
                <w:szCs w:val="20"/>
              </w:rPr>
              <w:t>Feature</w:t>
            </w:r>
          </w:p>
        </w:tc>
        <w:tc>
          <w:tcPr>
            <w:tcW w:w="6026"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72807524" w14:textId="77777777" w:rsidR="00634F6B" w:rsidRDefault="00AD2D15">
            <w:r>
              <w:rPr>
                <w:b/>
                <w:bCs/>
                <w:color w:val="FFFFFF"/>
                <w:sz w:val="20"/>
                <w:szCs w:val="20"/>
              </w:rPr>
              <w:t>Detail</w:t>
            </w:r>
          </w:p>
        </w:tc>
      </w:tr>
      <w:tr w:rsidR="00634F6B" w14:paraId="322BCAF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34576606" w14:textId="77777777" w:rsidR="00634F6B" w:rsidRDefault="00AD2D15">
            <w:r>
              <w:rPr>
                <w:b/>
                <w:bCs/>
                <w:color w:val="000000"/>
                <w:sz w:val="20"/>
                <w:szCs w:val="20"/>
              </w:rPr>
              <w:t>Fund Value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F1CC00" w14:textId="77777777" w:rsidR="00634F6B" w:rsidRDefault="00AD2D15">
            <w:r>
              <w:rPr>
                <w:color w:val="000000"/>
                <w:sz w:val="20"/>
                <w:szCs w:val="20"/>
              </w:rPr>
              <w:t>£305,219 ring-fenced within the NRES programme budget</w:t>
            </w:r>
          </w:p>
        </w:tc>
      </w:tr>
      <w:tr w:rsidR="00634F6B" w14:paraId="7ECACCD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5516D4C0" w14:textId="77777777" w:rsidR="00634F6B" w:rsidRDefault="00AD2D15">
            <w:r>
              <w:rPr>
                <w:b/>
                <w:bCs/>
                <w:color w:val="000000"/>
                <w:sz w:val="20"/>
                <w:szCs w:val="20"/>
              </w:rPr>
              <w:t>Purpose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7ECB439" w14:textId="77777777" w:rsidR="00634F6B" w:rsidRDefault="00AD2D15">
            <w:r>
              <w:rPr>
                <w:color w:val="000000"/>
                <w:sz w:val="20"/>
                <w:szCs w:val="20"/>
              </w:rPr>
              <w:t>One-time provision to mitigate potential redundancy exposure for GP practices participating in NRES Phase 1 neighbourhood sites</w:t>
            </w:r>
          </w:p>
        </w:tc>
      </w:tr>
      <w:tr w:rsidR="00634F6B" w14:paraId="543541C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45204D29" w14:textId="77777777" w:rsidR="00634F6B" w:rsidRDefault="00AD2D15">
            <w:r>
              <w:rPr>
                <w:b/>
                <w:bCs/>
                <w:color w:val="000000"/>
                <w:sz w:val="20"/>
                <w:szCs w:val="20"/>
              </w:rPr>
              <w:t>Scope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33CF2A4" w14:textId="77777777" w:rsidR="00634F6B" w:rsidRDefault="00AD2D15">
            <w:r>
              <w:rPr>
                <w:color w:val="000000"/>
                <w:sz w:val="20"/>
                <w:szCs w:val="20"/>
              </w:rPr>
              <w:t>Phase 1 sites only – strictly confidential to participating practices</w:t>
            </w:r>
          </w:p>
        </w:tc>
      </w:tr>
      <w:tr w:rsidR="00634F6B" w14:paraId="0300766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1A28BAEC" w14:textId="77777777" w:rsidR="00634F6B" w:rsidRDefault="00AD2D15">
            <w:r>
              <w:rPr>
                <w:b/>
                <w:bCs/>
                <w:color w:val="000000"/>
                <w:sz w:val="20"/>
                <w:szCs w:val="20"/>
              </w:rPr>
              <w:t>Commissioner</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97BB7D" w14:textId="77777777" w:rsidR="00634F6B" w:rsidRDefault="00AD2D15">
            <w:r>
              <w:rPr>
                <w:color w:val="000000"/>
                <w:sz w:val="20"/>
                <w:szCs w:val="20"/>
              </w:rPr>
              <w:t>NHS Northamptonshire ICB – agreed as an exceptional provision for pioneering neighbourhoods</w:t>
            </w:r>
          </w:p>
        </w:tc>
      </w:tr>
      <w:tr w:rsidR="00634F6B" w14:paraId="6B1BF25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43CA94D9" w14:textId="77777777" w:rsidR="00634F6B" w:rsidRDefault="00AD2D15">
            <w:r>
              <w:rPr>
                <w:b/>
                <w:bCs/>
                <w:color w:val="000000"/>
                <w:sz w:val="20"/>
                <w:szCs w:val="20"/>
              </w:rPr>
              <w:t>Nature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DBD1D5A" w14:textId="77777777" w:rsidR="00634F6B" w:rsidRDefault="00AD2D15">
            <w:r>
              <w:rPr>
                <w:color w:val="000000"/>
                <w:sz w:val="20"/>
                <w:szCs w:val="20"/>
              </w:rPr>
              <w:t>One-time pilot budget guarantee – not a precedent for future commissioning cycles</w:t>
            </w:r>
          </w:p>
        </w:tc>
      </w:tr>
      <w:tr w:rsidR="00634F6B" w14:paraId="1A1C240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2A2CDBFB" w14:textId="77777777" w:rsidR="00634F6B" w:rsidRDefault="00AD2D15">
            <w:r>
              <w:rPr>
                <w:b/>
                <w:bCs/>
                <w:color w:val="000000"/>
                <w:sz w:val="20"/>
                <w:szCs w:val="20"/>
              </w:rPr>
              <w:t>Confidentiality</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000713" w14:textId="77777777" w:rsidR="00634F6B" w:rsidRDefault="00AD2D15">
            <w:r>
              <w:rPr>
                <w:color w:val="000000"/>
                <w:sz w:val="20"/>
                <w:szCs w:val="20"/>
              </w:rPr>
              <w:t>PRIVATE – details of the fund should not be shared beyond Phase 1 site representatives and programme board members</w:t>
            </w:r>
          </w:p>
        </w:tc>
      </w:tr>
    </w:tbl>
    <w:p w14:paraId="449F800E" w14:textId="77777777" w:rsidR="00634F6B" w:rsidRDefault="00634F6B">
      <w:pPr>
        <w:spacing w:before="200"/>
      </w:pPr>
    </w:p>
    <w:p w14:paraId="36006C8F" w14:textId="77777777" w:rsidR="00634F6B" w:rsidRDefault="00AD2D15">
      <w:pPr>
        <w:pStyle w:val="Heading2"/>
      </w:pPr>
      <w:r>
        <w:t>3.2 NRES Operating Budget Context</w:t>
      </w:r>
    </w:p>
    <w:p w14:paraId="49516AC3" w14:textId="77777777" w:rsidR="00634F6B" w:rsidRDefault="00AD2D15">
      <w:pPr>
        <w:spacing w:after="120"/>
      </w:pPr>
      <w:r>
        <w:t>The redundancy fund sits within the wider NRES operating budget. For context, the overall budget allocation includes: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1800"/>
        <w:gridCol w:w="1926"/>
      </w:tblGrid>
      <w:tr w:rsidR="00634F6B" w14:paraId="0281C40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53799940" w14:textId="77777777" w:rsidR="00634F6B" w:rsidRDefault="00AD2D15">
            <w:r>
              <w:rPr>
                <w:b/>
                <w:bCs/>
                <w:color w:val="FFFFFF"/>
                <w:sz w:val="20"/>
                <w:szCs w:val="20"/>
              </w:rPr>
              <w:t>Budget Component</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7AF900FE" w14:textId="77777777" w:rsidR="00634F6B" w:rsidRDefault="00AD2D15">
            <w:r>
              <w:rPr>
                <w:b/>
                <w:bCs/>
                <w:color w:val="FFFFFF"/>
                <w:sz w:val="20"/>
                <w:szCs w:val="20"/>
              </w:rPr>
              <w:t>% of Budget</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3DA7FAD2" w14:textId="77777777" w:rsidR="00634F6B" w:rsidRDefault="00AD2D15">
            <w:r>
              <w:rPr>
                <w:b/>
                <w:bCs/>
                <w:color w:val="FFFFFF"/>
                <w:sz w:val="20"/>
                <w:szCs w:val="20"/>
              </w:rPr>
              <w:t>Value</w:t>
            </w:r>
          </w:p>
        </w:tc>
        <w:tc>
          <w:tcPr>
            <w:tcW w:w="1926"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704E2F84" w14:textId="77777777" w:rsidR="00634F6B" w:rsidRDefault="00AD2D15">
            <w:r>
              <w:rPr>
                <w:b/>
                <w:bCs/>
                <w:color w:val="FFFFFF"/>
                <w:sz w:val="20"/>
                <w:szCs w:val="20"/>
              </w:rPr>
              <w:t>Notes</w:t>
            </w:r>
          </w:p>
        </w:tc>
      </w:tr>
      <w:tr w:rsidR="00634F6B" w14:paraId="11F9221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492751" w14:textId="77777777" w:rsidR="00634F6B" w:rsidRDefault="00AD2D15">
            <w:r>
              <w:rPr>
                <w:color w:val="000000"/>
                <w:sz w:val="20"/>
                <w:szCs w:val="20"/>
              </w:rPr>
              <w:t>Overheads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7616CF" w14:textId="77777777" w:rsidR="00634F6B" w:rsidRDefault="00AD2D15">
            <w:r>
              <w:rPr>
                <w:color w:val="000000"/>
                <w:sz w:val="20"/>
                <w:szCs w:val="20"/>
              </w:rPr>
              <w:t>14%</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55DF83" w14:textId="77777777" w:rsidR="00634F6B" w:rsidRDefault="00AD2D15">
            <w:r>
              <w:rPr>
                <w:color w:val="000000"/>
                <w:sz w:val="20"/>
                <w:szCs w:val="20"/>
              </w:rPr>
              <w:t>£327,600</w:t>
            </w:r>
          </w:p>
        </w:tc>
        <w:tc>
          <w:tcPr>
            <w:tcW w:w="1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6C760A" w14:textId="77777777" w:rsidR="00634F6B" w:rsidRDefault="00AD2D15">
            <w:r>
              <w:rPr>
                <w:color w:val="000000"/>
                <w:sz w:val="20"/>
                <w:szCs w:val="20"/>
              </w:rPr>
              <w:t>Programme management and running costs</w:t>
            </w:r>
          </w:p>
        </w:tc>
      </w:tr>
      <w:tr w:rsidR="00634F6B" w14:paraId="59398F8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9EB37D" w14:textId="77777777" w:rsidR="00634F6B" w:rsidRDefault="00AD2D15">
            <w:r>
              <w:rPr>
                <w:color w:val="000000"/>
                <w:sz w:val="20"/>
                <w:szCs w:val="20"/>
              </w:rPr>
              <w:t>Innovation Pathways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588D09" w14:textId="77777777" w:rsidR="00634F6B" w:rsidRDefault="00AD2D15">
            <w:r>
              <w:rPr>
                <w:color w:val="000000"/>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278F2D" w14:textId="77777777" w:rsidR="00634F6B" w:rsidRDefault="00AD2D15">
            <w:r>
              <w:rPr>
                <w:color w:val="000000"/>
                <w:sz w:val="20"/>
                <w:szCs w:val="20"/>
              </w:rPr>
              <w:t>£374,400</w:t>
            </w:r>
          </w:p>
        </w:tc>
        <w:tc>
          <w:tcPr>
            <w:tcW w:w="1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AC8365" w14:textId="77777777" w:rsidR="00634F6B" w:rsidRDefault="00AD2D15">
            <w:r>
              <w:rPr>
                <w:color w:val="000000"/>
                <w:sz w:val="20"/>
                <w:szCs w:val="20"/>
              </w:rPr>
              <w:t>New service models and pilots</w:t>
            </w:r>
          </w:p>
        </w:tc>
      </w:tr>
      <w:tr w:rsidR="00634F6B" w14:paraId="11458FD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vAlign w:val="center"/>
          </w:tcPr>
          <w:p w14:paraId="104540F0" w14:textId="77777777" w:rsidR="00634F6B" w:rsidRDefault="00AD2D15">
            <w:r>
              <w:rPr>
                <w:b/>
                <w:bCs/>
                <w:color w:val="000000"/>
                <w:sz w:val="20"/>
                <w:szCs w:val="20"/>
              </w:rPr>
              <w:t>Confidential Redundancy Fund</w:t>
            </w:r>
          </w:p>
        </w:tc>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vAlign w:val="center"/>
          </w:tcPr>
          <w:p w14:paraId="4BD8DE73" w14:textId="77777777" w:rsidR="00634F6B" w:rsidRDefault="00AD2D15">
            <w:r>
              <w:rPr>
                <w:color w:val="000000"/>
                <w:sz w:val="20"/>
                <w:szCs w:val="20"/>
              </w:rPr>
              <w:t>Separate</w:t>
            </w:r>
          </w:p>
        </w:tc>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vAlign w:val="center"/>
          </w:tcPr>
          <w:p w14:paraId="59DAC282" w14:textId="77777777" w:rsidR="00634F6B" w:rsidRDefault="00AD2D15">
            <w:r>
              <w:rPr>
                <w:color w:val="000000"/>
                <w:sz w:val="20"/>
                <w:szCs w:val="20"/>
              </w:rPr>
              <w:t>£305,219</w:t>
            </w:r>
          </w:p>
        </w:tc>
        <w:tc>
          <w:tcPr>
            <w:tcW w:w="1926"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vAlign w:val="center"/>
          </w:tcPr>
          <w:p w14:paraId="3864E22C" w14:textId="77777777" w:rsidR="00634F6B" w:rsidRDefault="00AD2D15">
            <w:r>
              <w:rPr>
                <w:color w:val="000000"/>
                <w:sz w:val="20"/>
                <w:szCs w:val="20"/>
              </w:rPr>
              <w:t>Phase 1 Risk Mitigation – ring-fenced</w:t>
            </w:r>
          </w:p>
        </w:tc>
      </w:tr>
    </w:tbl>
    <w:p w14:paraId="34AD2857" w14:textId="77777777" w:rsidR="00634F6B" w:rsidRDefault="00AD2D15">
      <w:pPr>
        <w:spacing w:before="120" w:after="120"/>
      </w:pPr>
      <w:r>
        <w:t xml:space="preserve">The Innovation Component (£306k) includes the “Hot Clinics” programme (Paediatric Sprains 10–14 yrs, COPD Remote Monitoring, Frailty GPwSI Strategy) and a Mobile </w:t>
      </w:r>
      <w:r>
        <w:lastRenderedPageBreak/>
        <w:t>Outreach Van following the University of Huddersfield model to support hard-to-reach rural residents in South Northamptonshire.</w:t>
      </w:r>
    </w:p>
    <w:p w14:paraId="71F172A3" w14:textId="77777777" w:rsidR="00634F6B" w:rsidRDefault="00AD2D15">
      <w:pPr>
        <w:pStyle w:val="Heading2"/>
      </w:pPr>
      <w:r>
        <w:t>3.3 Impact on Practice Risk</w:t>
      </w:r>
    </w:p>
    <w:p w14:paraId="56C7B9AB" w14:textId="77777777" w:rsidR="00634F6B" w:rsidRDefault="00AD2D15">
      <w:pPr>
        <w:spacing w:after="120"/>
      </w:pPr>
      <w:r>
        <w:t>The ICB guarantee fundamentally changes the risk profile for participating practices. With £305,219 set aside, this should cover the contractual redundancy costs of multiple salaried GPs even with significant prior NHS service. For example, using the illustrative figures in Section 7 of this paper, the fund could cover approximately 6 GPs each with £49,000 of contractual redundancy exposure, or a larger number with shorter service histories.</w:t>
      </w:r>
    </w:p>
    <w:p w14:paraId="472AC909" w14:textId="77777777" w:rsidR="00634F6B" w:rsidRDefault="00AD2D15">
      <w:pPr>
        <w:spacing w:after="120"/>
      </w:pPr>
      <w:r>
        <w:rPr>
          <w:b/>
          <w:bCs/>
        </w:rPr>
        <w:t xml:space="preserve">However, the Board should note that this is a one-time provision. </w:t>
      </w:r>
      <w:r>
        <w:t>If the NRES service extends beyond Phase 1 or additional sites are brought on board, there is no guarantee that this level of redundancy underwriting will be available in future commissioning rounds. The Board should therefore still consider the structural options outlined in Section 6 for longer-term sustainability.</w:t>
      </w:r>
    </w:p>
    <w:p w14:paraId="4F6F3808" w14:textId="77777777" w:rsidR="00634F6B" w:rsidRDefault="00AD2D15">
      <w:r>
        <w:br w:type="page"/>
      </w:r>
    </w:p>
    <w:p w14:paraId="78C57BF8" w14:textId="77777777" w:rsidR="00634F6B" w:rsidRDefault="00AD2D15">
      <w:pPr>
        <w:pStyle w:val="Heading1"/>
      </w:pPr>
      <w:r>
        <w:lastRenderedPageBreak/>
        <w:t>4. Legal Framework – Is the BMA Model Contract Mandatory?</w:t>
      </w:r>
    </w:p>
    <w:p w14:paraId="4B31DCF8" w14:textId="77777777" w:rsidR="00634F6B" w:rsidRDefault="00AD2D15">
      <w:pPr>
        <w:spacing w:after="120"/>
      </w:pPr>
      <w:r>
        <w:t xml:space="preserve">The central question: as independent contractors, </w:t>
      </w:r>
      <w:r>
        <w:rPr>
          <w:b/>
          <w:bCs/>
        </w:rPr>
        <w:t>are GP practices legally required to use the BMA model contract?</w:t>
      </w:r>
    </w:p>
    <w:p w14:paraId="52F6E3F2" w14:textId="77777777" w:rsidR="00634F6B" w:rsidRDefault="00AD2D15">
      <w:pPr>
        <w:pStyle w:val="Heading2"/>
      </w:pPr>
      <w:r>
        <w:t>4.1 GMS Practices (Most Brackley &amp; Towcester Practices)</w:t>
      </w:r>
    </w:p>
    <w:p w14:paraId="64938A30" w14:textId="77777777" w:rsidR="00634F6B" w:rsidRDefault="00AD2D15">
      <w:pPr>
        <w:spacing w:after="120"/>
      </w:pPr>
      <w:r>
        <w:t>The National Health Service (General Medical Services Contracts) Regulations 2004 (SI 2004/291), Schedule 6, Part 4, Paragraph 63 states:</w:t>
      </w:r>
    </w:p>
    <w:p w14:paraId="0B293406" w14:textId="77777777" w:rsidR="00634F6B" w:rsidRDefault="00AD2D15">
      <w:pPr>
        <w:spacing w:after="120"/>
        <w:ind w:left="720"/>
      </w:pPr>
      <w:r>
        <w:rPr>
          <w:i/>
          <w:iCs/>
        </w:rPr>
        <w:t>“The contractor shall only offer employment to a general medical practitioner on terms and conditions which are no less favourable than those contained in the ‘model terms and conditions of service for a salaried general practitioner employed by a GMS practice.’”</w:t>
      </w:r>
    </w:p>
    <w:p w14:paraId="46BD82D3" w14:textId="77777777" w:rsidR="00634F6B" w:rsidRDefault="00AD2D15">
      <w:pPr>
        <w:spacing w:after="120"/>
      </w:pPr>
      <w:r>
        <w:rPr>
          <w:b/>
          <w:bCs/>
        </w:rPr>
        <w:t>This is not BMA guidance – it is law.</w:t>
      </w:r>
      <w:r>
        <w:t xml:space="preserve"> GMS practices are legally bound by statutory instrument to offer terms no less favourable than the BMA model contract. Failure to comply risks a breach/remediation notice from NHS England, and the ultimate sanction is withdrawal of the practice’s GMS contract (Schedule 6, paragraph 115).</w:t>
      </w:r>
    </w:p>
    <w:p w14:paraId="6F50BEC7" w14:textId="77777777" w:rsidR="00634F6B" w:rsidRDefault="00AD2D15">
      <w:pPr>
        <w:pStyle w:val="Heading2"/>
      </w:pPr>
      <w:r>
        <w:t>4.2 PMS Practices</w:t>
      </w:r>
    </w:p>
    <w:p w14:paraId="07B3C83D" w14:textId="77777777" w:rsidR="00634F6B" w:rsidRDefault="00AD2D15">
      <w:pPr>
        <w:spacing w:after="120"/>
      </w:pPr>
      <w:r>
        <w:t>PMS practices that signed the NHS England Standard Personal Medical Services Agreement 2015/16 are also contractually required to offer terms no less favourable (clause 20.17). PMS practices on older agreements may have more flexibility, but only if their specific contract does not include this requirement.</w:t>
      </w:r>
    </w:p>
    <w:p w14:paraId="17158E06" w14:textId="77777777" w:rsidR="00634F6B" w:rsidRDefault="00AD2D15">
      <w:pPr>
        <w:pStyle w:val="Heading2"/>
      </w:pPr>
      <w:r>
        <w:t>4.3 APMS Practices</w:t>
      </w:r>
    </w:p>
    <w:p w14:paraId="30F6490F" w14:textId="77777777" w:rsidR="00634F6B" w:rsidRDefault="00AD2D15">
      <w:pPr>
        <w:spacing w:after="120"/>
      </w:pPr>
      <w:r>
        <w:t xml:space="preserve">APMS employers are </w:t>
      </w:r>
      <w:r>
        <w:rPr>
          <w:b/>
          <w:bCs/>
        </w:rPr>
        <w:t>not legally obligated</w:t>
      </w:r>
      <w:r>
        <w:t xml:space="preserve"> to offer the BMA model contract. The GPC recommends it, but it is not a statutory or contractual requirement for APMS. This represents a potential avenue for alternative arrangements, though it comes with significant practical risks (see Section 6).</w:t>
      </w:r>
    </w:p>
    <w:p w14:paraId="735D85DC" w14:textId="77777777" w:rsidR="00634F6B" w:rsidRDefault="00AD2D15">
      <w:pPr>
        <w:pStyle w:val="Heading1"/>
      </w:pPr>
      <w:r>
        <w:t>5. Can GP Practices Offer Lower Redundancy Terms?</w:t>
      </w:r>
    </w:p>
    <w:p w14:paraId="65E538B7" w14:textId="77777777" w:rsidR="00634F6B" w:rsidRDefault="00AD2D15">
      <w:pPr>
        <w:spacing w:after="120"/>
      </w:pPr>
      <w:r>
        <w:t>The question of whether practices, as independent contractors, can deviate from the model contract redundancy provisions requires analysis at multiple levels:</w:t>
      </w:r>
    </w:p>
    <w:p w14:paraId="25BD9E9F" w14:textId="77777777" w:rsidR="00634F6B" w:rsidRDefault="00AD2D15">
      <w:pPr>
        <w:pStyle w:val="Heading2"/>
      </w:pPr>
      <w:r>
        <w:t>5.1 The ‘No Less Favourable’ Test</w:t>
      </w:r>
    </w:p>
    <w:p w14:paraId="767B00F1" w14:textId="77777777" w:rsidR="00634F6B" w:rsidRDefault="00AD2D15">
      <w:pPr>
        <w:spacing w:after="120"/>
      </w:pPr>
      <w:r>
        <w:t xml:space="preserve">The phrase “no less favourable” means the contract can be varied and negotiated, but the overall package must not be less favourable than the model. DR Solicitors note that “it is up to the parties to decide whether they regard a change to the model as a favourable one or not.” In theory, a practice could offer enhanced pay in exchange for reduced redundancy terms – but removing the continuous NHS service redundancy provision is likely to be viewed as </w:t>
      </w:r>
      <w:r>
        <w:rPr>
          <w:b/>
          <w:bCs/>
        </w:rPr>
        <w:t>less favourable overall</w:t>
      </w:r>
      <w:r>
        <w:t>, particularly by the BMA and any employment tribunal.</w:t>
      </w:r>
    </w:p>
    <w:p w14:paraId="67E00CD1" w14:textId="77777777" w:rsidR="00634F6B" w:rsidRDefault="00AD2D15">
      <w:pPr>
        <w:pStyle w:val="Heading2"/>
      </w:pPr>
      <w:r>
        <w:t>5.2 Mutual Agreement to Vary</w:t>
      </w:r>
    </w:p>
    <w:p w14:paraId="1958A417" w14:textId="77777777" w:rsidR="00634F6B" w:rsidRDefault="00AD2D15">
      <w:pPr>
        <w:spacing w:after="120"/>
      </w:pPr>
      <w:r>
        <w:t xml:space="preserve">It is possible for both parties to mutually agree a variation to the model contract </w:t>
      </w:r>
      <w:r>
        <w:rPr>
          <w:i/>
          <w:iCs/>
        </w:rPr>
        <w:t>after</w:t>
      </w:r>
      <w:r>
        <w:t xml:space="preserve"> the model terms have been offered, because the statutory requirement is to ‘offer’ no less favourable terms. However, the Wessex LMCs guidance confirms that “any such subsequent agreement must have been entered into without threat” – a requirement to accept altered terms or face dismissal would be unacceptable.</w:t>
      </w:r>
    </w:p>
    <w:p w14:paraId="789BCAFD" w14:textId="77777777" w:rsidR="00634F6B" w:rsidRDefault="00AD2D15">
      <w:pPr>
        <w:pStyle w:val="Heading2"/>
      </w:pPr>
      <w:r>
        <w:lastRenderedPageBreak/>
        <w:t>5.3 Statutory vs Contractual Redundancy</w:t>
      </w:r>
    </w:p>
    <w:p w14:paraId="0BC73470" w14:textId="77777777" w:rsidR="00634F6B" w:rsidRDefault="00AD2D15">
      <w:pPr>
        <w:spacing w:after="120"/>
      </w:pPr>
      <w:r>
        <w:t xml:space="preserve">There is an important distinction. </w:t>
      </w:r>
      <w:r>
        <w:rPr>
          <w:b/>
          <w:bCs/>
        </w:rPr>
        <w:t>Statutory redundancy pay</w:t>
      </w:r>
      <w:r>
        <w:t xml:space="preserve"> (Employment Rights Act 1996) is calculated only on service with the current employer and is capped (currently £21,570). The BMA model contract provides </w:t>
      </w:r>
      <w:r>
        <w:rPr>
          <w:b/>
          <w:bCs/>
        </w:rPr>
        <w:t>contractual redundancy pay</w:t>
      </w:r>
      <w:r>
        <w:t xml:space="preserve"> which uses the broader NHS continuous service definition. Fixed-term employees can potentially be excluded from </w:t>
      </w:r>
      <w:r>
        <w:rPr>
          <w:i/>
          <w:iCs/>
        </w:rPr>
        <w:t>contractual</w:t>
      </w:r>
      <w:r>
        <w:t xml:space="preserve"> redundancy schemes if this is objectively justified, but they cannot be excluded from statutory redundancy.</w:t>
      </w:r>
    </w:p>
    <w:p w14:paraId="74336F25" w14:textId="77777777" w:rsidR="00634F6B" w:rsidRDefault="00AD2D15">
      <w:pPr>
        <w:pStyle w:val="Heading1"/>
      </w:pPr>
      <w:r>
        <w:t>6. Options Analysis with Risk Appraisal</w:t>
      </w:r>
    </w:p>
    <w:p w14:paraId="743BE310" w14:textId="77777777" w:rsidR="00634F6B" w:rsidRDefault="00AD2D15">
      <w:pPr>
        <w:spacing w:after="200"/>
      </w:pPr>
      <w:r>
        <w:t xml:space="preserve">The following table presents the options available to practices employing GPs under the NRES programme, with an assessment of legal, financial, operational, and reputational risk for each. </w:t>
      </w:r>
      <w:r>
        <w:rPr>
          <w:b/>
          <w:bCs/>
        </w:rPr>
        <w:t>The existence of the ICB Redundancy Fund materially reduces the financial risk under Options A and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9"/>
        <w:gridCol w:w="2285"/>
        <w:gridCol w:w="1800"/>
        <w:gridCol w:w="1326"/>
        <w:gridCol w:w="1796"/>
      </w:tblGrid>
      <w:tr w:rsidR="00634F6B" w14:paraId="47807CA7"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3882CA22" w14:textId="77777777" w:rsidR="00634F6B" w:rsidRDefault="00AD2D15">
            <w:r>
              <w:rPr>
                <w:b/>
                <w:bCs/>
                <w:color w:val="FFFFFF"/>
                <w:sz w:val="20"/>
                <w:szCs w:val="20"/>
              </w:rPr>
              <w:t>Option</w:t>
            </w:r>
          </w:p>
        </w:tc>
        <w:tc>
          <w:tcPr>
            <w:tcW w:w="2526"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0C9154CB" w14:textId="77777777" w:rsidR="00634F6B" w:rsidRDefault="00AD2D15">
            <w:r>
              <w:rPr>
                <w:b/>
                <w:bCs/>
                <w:color w:val="FFFFFF"/>
                <w:sz w:val="20"/>
                <w:szCs w:val="20"/>
              </w:rPr>
              <w:t>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3E6EAC70" w14:textId="77777777" w:rsidR="00634F6B" w:rsidRDefault="00AD2D15">
            <w:r>
              <w:rPr>
                <w:b/>
                <w:bCs/>
                <w:color w:val="FFFFFF"/>
                <w:sz w:val="20"/>
                <w:szCs w:val="20"/>
              </w:rPr>
              <w:t>Key Risks</w:t>
            </w:r>
          </w:p>
        </w:tc>
        <w:tc>
          <w:tcPr>
            <w:tcW w:w="15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36DA2379" w14:textId="77777777" w:rsidR="00634F6B" w:rsidRDefault="00AD2D15">
            <w:r>
              <w:rPr>
                <w:b/>
                <w:bCs/>
                <w:color w:val="FFFFFF"/>
                <w:sz w:val="20"/>
                <w:szCs w:val="20"/>
              </w:rPr>
              <w:t>Risk Level</w:t>
            </w:r>
          </w:p>
        </w:tc>
        <w:tc>
          <w:tcPr>
            <w:tcW w:w="15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698FAA2D" w14:textId="77777777" w:rsidR="00634F6B" w:rsidRDefault="00AD2D15">
            <w:r>
              <w:rPr>
                <w:b/>
                <w:bCs/>
                <w:color w:val="FFFFFF"/>
                <w:sz w:val="20"/>
                <w:szCs w:val="20"/>
              </w:rPr>
              <w:t>Recommended?</w:t>
            </w:r>
          </w:p>
        </w:tc>
      </w:tr>
      <w:tr w:rsidR="00634F6B" w14:paraId="34DC1E22"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273AF99F" w14:textId="77777777" w:rsidR="00634F6B" w:rsidRDefault="00AD2D15">
            <w:r>
              <w:rPr>
                <w:b/>
                <w:bCs/>
                <w:color w:val="000000"/>
                <w:sz w:val="20"/>
                <w:szCs w:val="20"/>
              </w:rPr>
              <w:t>A: BMA Model Contract + ICB Guarantee</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871245" w14:textId="77777777" w:rsidR="00634F6B" w:rsidRDefault="00AD2D15">
            <w:r>
              <w:rPr>
                <w:b/>
                <w:bCs/>
                <w:sz w:val="20"/>
                <w:szCs w:val="20"/>
              </w:rPr>
              <w:t xml:space="preserve">RECOMMENDED. </w:t>
            </w:r>
            <w:r>
              <w:rPr>
                <w:sz w:val="20"/>
                <w:szCs w:val="20"/>
              </w:rPr>
              <w:t>Employ salaried GPs on the BMA model contract with continuous NHS service recognised. Redundancy liability underwritten by the ICB’s £305,219 Confidential Redundancy Fund.</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D49BD0" w14:textId="77777777" w:rsidR="00634F6B" w:rsidRDefault="00AD2D15">
            <w:r>
              <w:rPr>
                <w:color w:val="000000"/>
                <w:sz w:val="20"/>
                <w:szCs w:val="20"/>
              </w:rPr>
              <w:t>Minimal. Financial exposure covered by ICB fund. Legal compliance assured. Fund is one-time only – future phases need separate provision.</w:t>
            </w:r>
          </w:p>
        </w:tc>
        <w:tc>
          <w:tcPr>
            <w:tcW w:w="15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6B6A3D9F" w14:textId="77777777" w:rsidR="00634F6B" w:rsidRDefault="00AD2D15">
            <w:pPr>
              <w:jc w:val="center"/>
            </w:pPr>
            <w:r>
              <w:rPr>
                <w:b/>
                <w:bCs/>
                <w:sz w:val="20"/>
                <w:szCs w:val="20"/>
              </w:rPr>
              <w:t>LOW</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CAEC67" w14:textId="77777777" w:rsidR="00634F6B" w:rsidRDefault="00AD2D15">
            <w:r>
              <w:rPr>
                <w:color w:val="000000"/>
                <w:sz w:val="20"/>
                <w:szCs w:val="20"/>
              </w:rPr>
              <w:t>YES – Preferred option for Phase 1.</w:t>
            </w:r>
          </w:p>
        </w:tc>
      </w:tr>
      <w:tr w:rsidR="00634F6B" w14:paraId="112B571F"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7B7CDBB5" w14:textId="77777777" w:rsidR="00634F6B" w:rsidRDefault="00AD2D15">
            <w:r>
              <w:rPr>
                <w:b/>
                <w:bCs/>
                <w:color w:val="000000"/>
                <w:sz w:val="20"/>
                <w:szCs w:val="20"/>
              </w:rPr>
              <w:t>B: Fixed-Term Contract (Under 2 Years)</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005BB66" w14:textId="77777777" w:rsidR="00634F6B" w:rsidRDefault="00AD2D15">
            <w:r>
              <w:rPr>
                <w:color w:val="000000"/>
                <w:sz w:val="20"/>
                <w:szCs w:val="20"/>
              </w:rPr>
              <w:t>Employ GP on a fixed-term contract of less than 2 years to avoid statutory redundancy qualification. Must still offer model contract terms.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6F2E948" w14:textId="77777777" w:rsidR="00634F6B" w:rsidRDefault="00AD2D15">
            <w:r>
              <w:rPr>
                <w:color w:val="000000"/>
                <w:sz w:val="20"/>
                <w:szCs w:val="20"/>
              </w:rPr>
              <w:t>Non-renewal is still a dismissal in law. Unfair dismissal risk after 1 year. Contractual redundancy under model contract still applies regardless of contract type. No protection from continuous NHS service liability.</w:t>
            </w:r>
          </w:p>
        </w:tc>
        <w:tc>
          <w:tcPr>
            <w:tcW w:w="15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vAlign w:val="center"/>
          </w:tcPr>
          <w:p w14:paraId="5FEC55F5" w14:textId="77777777" w:rsidR="00634F6B" w:rsidRDefault="00AD2D15">
            <w:pPr>
              <w:jc w:val="center"/>
            </w:pPr>
            <w:r>
              <w:rPr>
                <w:b/>
                <w:bCs/>
                <w:sz w:val="20"/>
                <w:szCs w:val="20"/>
              </w:rPr>
              <w:t>MEDIUM</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AA87E0" w14:textId="77777777" w:rsidR="00634F6B" w:rsidRDefault="00AD2D15">
            <w:r>
              <w:rPr>
                <w:color w:val="000000"/>
                <w:sz w:val="20"/>
                <w:szCs w:val="20"/>
              </w:rPr>
              <w:t>PARTIAL – Reduces but does not eliminate risk.</w:t>
            </w:r>
          </w:p>
        </w:tc>
      </w:tr>
      <w:tr w:rsidR="00634F6B" w14:paraId="610DC397"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46BA0353" w14:textId="77777777" w:rsidR="00634F6B" w:rsidRDefault="00AD2D15">
            <w:r>
              <w:rPr>
                <w:b/>
                <w:bCs/>
                <w:color w:val="000000"/>
                <w:sz w:val="20"/>
                <w:szCs w:val="20"/>
              </w:rPr>
              <w:t>C: Negotiate Varied Redundancy Terms</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1E506E" w14:textId="77777777" w:rsidR="00634F6B" w:rsidRDefault="00AD2D15">
            <w:r>
              <w:rPr>
                <w:color w:val="000000"/>
                <w:sz w:val="20"/>
                <w:szCs w:val="20"/>
              </w:rPr>
              <w:t>Offer the model contract but mutually agree a variation that limits redundancy pay to service with the practice only. GP must freely agree post-offer.</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B007E87" w14:textId="77777777" w:rsidR="00634F6B" w:rsidRDefault="00AD2D15">
            <w:r>
              <w:rPr>
                <w:color w:val="000000"/>
                <w:sz w:val="20"/>
                <w:szCs w:val="20"/>
              </w:rPr>
              <w:t>BMA likely to advise GP to reject. Difficult to prove ‘free agreement’. Could still be challenged as ‘less favourable’. Risk of BMA complaint to NHS England.</w:t>
            </w:r>
          </w:p>
        </w:tc>
        <w:tc>
          <w:tcPr>
            <w:tcW w:w="1500" w:type="dxa"/>
            <w:tcBorders>
              <w:top w:val="single" w:sz="1" w:space="0" w:color="999999"/>
              <w:left w:val="single" w:sz="1" w:space="0" w:color="999999"/>
              <w:bottom w:val="single" w:sz="1" w:space="0" w:color="999999"/>
              <w:right w:val="single" w:sz="1" w:space="0" w:color="999999"/>
            </w:tcBorders>
            <w:shd w:val="clear" w:color="auto" w:fill="F4CCCC"/>
            <w:tcMar>
              <w:top w:w="80" w:type="dxa"/>
              <w:left w:w="120" w:type="dxa"/>
              <w:bottom w:w="80" w:type="dxa"/>
              <w:right w:w="120" w:type="dxa"/>
            </w:tcMar>
            <w:vAlign w:val="center"/>
          </w:tcPr>
          <w:p w14:paraId="6D02D077" w14:textId="77777777" w:rsidR="00634F6B" w:rsidRDefault="00AD2D15">
            <w:pPr>
              <w:jc w:val="center"/>
            </w:pPr>
            <w:r>
              <w:rPr>
                <w:b/>
                <w:bCs/>
                <w:sz w:val="20"/>
                <w:szCs w:val="20"/>
              </w:rPr>
              <w:t>HIGH</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0453C1" w14:textId="77777777" w:rsidR="00634F6B" w:rsidRDefault="00AD2D15">
            <w:r>
              <w:rPr>
                <w:color w:val="000000"/>
                <w:sz w:val="20"/>
                <w:szCs w:val="20"/>
              </w:rPr>
              <w:t>NO – Very difficult to execute safely.</w:t>
            </w:r>
          </w:p>
        </w:tc>
      </w:tr>
      <w:tr w:rsidR="00634F6B" w14:paraId="1CBB16D1"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681565B3" w14:textId="77777777" w:rsidR="00634F6B" w:rsidRDefault="00AD2D15">
            <w:r>
              <w:rPr>
                <w:b/>
                <w:bCs/>
                <w:color w:val="000000"/>
                <w:sz w:val="20"/>
                <w:szCs w:val="20"/>
              </w:rPr>
              <w:lastRenderedPageBreak/>
              <w:t>D: Non-Model Contract (Statutory Only)</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EB68CF" w14:textId="77777777" w:rsidR="00634F6B" w:rsidRDefault="00AD2D15">
            <w:r>
              <w:rPr>
                <w:color w:val="000000"/>
                <w:sz w:val="20"/>
                <w:szCs w:val="20"/>
              </w:rPr>
              <w:t>Draft a bespoke contract offering only statutory redundancy (2 years’ service with practice only, capped at £21,570). Do not use BMA model.</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208C70" w14:textId="77777777" w:rsidR="00634F6B" w:rsidRDefault="00AD2D15">
            <w:r>
              <w:rPr>
                <w:color w:val="000000"/>
                <w:sz w:val="20"/>
                <w:szCs w:val="20"/>
              </w:rPr>
              <w:t>GMS/PMS practices: direct breach of SI 2004/291 and GMS contract. Could lead to remediation notice and potential loss of GMS contract. Recruitment difficulties.</w:t>
            </w:r>
          </w:p>
        </w:tc>
        <w:tc>
          <w:tcPr>
            <w:tcW w:w="1500" w:type="dxa"/>
            <w:tcBorders>
              <w:top w:val="single" w:sz="1" w:space="0" w:color="999999"/>
              <w:left w:val="single" w:sz="1" w:space="0" w:color="999999"/>
              <w:bottom w:val="single" w:sz="1" w:space="0" w:color="999999"/>
              <w:right w:val="single" w:sz="1" w:space="0" w:color="999999"/>
            </w:tcBorders>
            <w:shd w:val="clear" w:color="auto" w:fill="F4CCCC"/>
            <w:tcMar>
              <w:top w:w="80" w:type="dxa"/>
              <w:left w:w="120" w:type="dxa"/>
              <w:bottom w:w="80" w:type="dxa"/>
              <w:right w:w="120" w:type="dxa"/>
            </w:tcMar>
            <w:vAlign w:val="center"/>
          </w:tcPr>
          <w:p w14:paraId="24B88A38" w14:textId="77777777" w:rsidR="00634F6B" w:rsidRDefault="00AD2D15">
            <w:pPr>
              <w:jc w:val="center"/>
            </w:pPr>
            <w:r>
              <w:rPr>
                <w:b/>
                <w:bCs/>
                <w:sz w:val="20"/>
                <w:szCs w:val="20"/>
              </w:rPr>
              <w:t>HIGH</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9B3E8A" w14:textId="77777777" w:rsidR="00634F6B" w:rsidRDefault="00AD2D15">
            <w:r>
              <w:rPr>
                <w:color w:val="000000"/>
                <w:sz w:val="20"/>
                <w:szCs w:val="20"/>
              </w:rPr>
              <w:t>NO – For GMS/PMS practices. Potentially viable for APMS only (see E).</w:t>
            </w:r>
          </w:p>
        </w:tc>
      </w:tr>
      <w:tr w:rsidR="00634F6B" w14:paraId="5F5F47C9"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50670BDE" w14:textId="77777777" w:rsidR="00634F6B" w:rsidRDefault="00AD2D15">
            <w:r>
              <w:rPr>
                <w:b/>
                <w:bCs/>
                <w:color w:val="000000"/>
                <w:sz w:val="20"/>
                <w:szCs w:val="20"/>
              </w:rPr>
              <w:t>E: Employment via APMS Entity</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3F297A" w14:textId="77777777" w:rsidR="00634F6B" w:rsidRDefault="00AD2D15">
            <w:r>
              <w:rPr>
                <w:color w:val="000000"/>
                <w:sz w:val="20"/>
                <w:szCs w:val="20"/>
              </w:rPr>
              <w:t>Employ the GP through a separate APMS contract-holding entity (e.g., PCN Services Ltd) rather than the GMS practice directly. APMS employers are not legally required to use the BMA model contract.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270164" w14:textId="77777777" w:rsidR="00634F6B" w:rsidRDefault="00AD2D15">
            <w:r>
              <w:rPr>
                <w:color w:val="000000"/>
                <w:sz w:val="20"/>
                <w:szCs w:val="20"/>
              </w:rPr>
              <w:t>Structural complexity. APMS contract must be in place. GPC still recommends model contract. Recruitment disadvantage. Potential TUPE implications.</w:t>
            </w:r>
          </w:p>
        </w:tc>
        <w:tc>
          <w:tcPr>
            <w:tcW w:w="15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vAlign w:val="center"/>
          </w:tcPr>
          <w:p w14:paraId="796D2B85" w14:textId="77777777" w:rsidR="00634F6B" w:rsidRDefault="00AD2D15">
            <w:pPr>
              <w:jc w:val="center"/>
            </w:pPr>
            <w:r>
              <w:rPr>
                <w:b/>
                <w:bCs/>
                <w:sz w:val="20"/>
                <w:szCs w:val="20"/>
              </w:rPr>
              <w:t>MEDIUM</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2B977B" w14:textId="77777777" w:rsidR="00634F6B" w:rsidRDefault="00AD2D15">
            <w:r>
              <w:rPr>
                <w:color w:val="000000"/>
                <w:sz w:val="20"/>
                <w:szCs w:val="20"/>
              </w:rPr>
              <w:t>POSSIBLE – Requires legal advice. Most viable alternative route.</w:t>
            </w:r>
          </w:p>
        </w:tc>
      </w:tr>
      <w:tr w:rsidR="00634F6B" w14:paraId="0139EE00"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6551DED5" w14:textId="77777777" w:rsidR="00634F6B" w:rsidRDefault="00AD2D15">
            <w:r>
              <w:rPr>
                <w:b/>
                <w:bCs/>
                <w:color w:val="000000"/>
                <w:sz w:val="20"/>
                <w:szCs w:val="20"/>
              </w:rPr>
              <w:t>F: Use Locum / Freelance GPs</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DE720A" w14:textId="77777777" w:rsidR="00634F6B" w:rsidRDefault="00AD2D15">
            <w:r>
              <w:rPr>
                <w:color w:val="000000"/>
                <w:sz w:val="20"/>
                <w:szCs w:val="20"/>
              </w:rPr>
              <w:t>Avoid employing salaried GPs altogether. Use locum GPs on a self-employed (contract for services) basis. No employment relationship = no redundancy liability.</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C9A93F" w14:textId="77777777" w:rsidR="00634F6B" w:rsidRDefault="00AD2D15">
            <w:r>
              <w:rPr>
                <w:color w:val="000000"/>
                <w:sz w:val="20"/>
                <w:szCs w:val="20"/>
              </w:rPr>
              <w:t>Higher session costs. IR35 / employment status risk. Less workforce continuity. May not meet NRES service specification.</w:t>
            </w:r>
          </w:p>
        </w:tc>
        <w:tc>
          <w:tcPr>
            <w:tcW w:w="15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vAlign w:val="center"/>
          </w:tcPr>
          <w:p w14:paraId="136EB7E5" w14:textId="77777777" w:rsidR="00634F6B" w:rsidRDefault="00AD2D15">
            <w:pPr>
              <w:jc w:val="center"/>
            </w:pPr>
            <w:r>
              <w:rPr>
                <w:b/>
                <w:bCs/>
                <w:sz w:val="20"/>
                <w:szCs w:val="20"/>
              </w:rPr>
              <w:t>MEDIUM</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919626" w14:textId="77777777" w:rsidR="00634F6B" w:rsidRDefault="00AD2D15">
            <w:r>
              <w:rPr>
                <w:color w:val="000000"/>
                <w:sz w:val="20"/>
                <w:szCs w:val="20"/>
              </w:rPr>
              <w:t>PARTIAL – Supplement only, unlikely to meet full NRES requirements.</w:t>
            </w:r>
          </w:p>
        </w:tc>
      </w:tr>
      <w:tr w:rsidR="00634F6B" w14:paraId="4266279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266C2056" w14:textId="77777777" w:rsidR="00634F6B" w:rsidRDefault="00AD2D15">
            <w:r>
              <w:rPr>
                <w:b/>
                <w:bCs/>
                <w:color w:val="000000"/>
                <w:sz w:val="20"/>
                <w:szCs w:val="20"/>
              </w:rPr>
              <w:t>G: Practice-Level Redundancy Reserve (Supplementary)</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214EC6" w14:textId="77777777" w:rsidR="00634F6B" w:rsidRDefault="00AD2D15">
            <w:r>
              <w:rPr>
                <w:b/>
                <w:bCs/>
                <w:sz w:val="20"/>
                <w:szCs w:val="20"/>
              </w:rPr>
              <w:t xml:space="preserve">RECOMMENDED AS SUPPLEMENT. </w:t>
            </w:r>
            <w:r>
              <w:rPr>
                <w:sz w:val="20"/>
                <w:szCs w:val="20"/>
              </w:rPr>
              <w:t>Accept liability under Option A, with ICB fund as primary cover. Practices additionally set aside a small contingency from NRES operational budgets in case costs exceed the ICB fund.</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D7C481" w14:textId="77777777" w:rsidR="00634F6B" w:rsidRDefault="00AD2D15">
            <w:r>
              <w:rPr>
                <w:color w:val="000000"/>
                <w:sz w:val="20"/>
                <w:szCs w:val="20"/>
              </w:rPr>
              <w:t>Requires practice agreement. Amounts may be modest. Provides a second layer of protection beyond the ICB guarantee.</w:t>
            </w:r>
          </w:p>
        </w:tc>
        <w:tc>
          <w:tcPr>
            <w:tcW w:w="15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6D9A5E64" w14:textId="77777777" w:rsidR="00634F6B" w:rsidRDefault="00AD2D15">
            <w:pPr>
              <w:jc w:val="center"/>
            </w:pPr>
            <w:r>
              <w:rPr>
                <w:b/>
                <w:bCs/>
                <w:sz w:val="20"/>
                <w:szCs w:val="20"/>
              </w:rPr>
              <w:t>LOW</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241C7F" w14:textId="77777777" w:rsidR="00634F6B" w:rsidRDefault="00AD2D15">
            <w:r>
              <w:rPr>
                <w:color w:val="000000"/>
                <w:sz w:val="20"/>
                <w:szCs w:val="20"/>
              </w:rPr>
              <w:t>YES – Belt-and-braces approach alongside Option A.</w:t>
            </w:r>
          </w:p>
        </w:tc>
      </w:tr>
    </w:tbl>
    <w:p w14:paraId="640A1543" w14:textId="77777777" w:rsidR="00634F6B" w:rsidRDefault="00634F6B">
      <w:pPr>
        <w:spacing w:before="300"/>
      </w:pPr>
    </w:p>
    <w:p w14:paraId="71DE8EC4" w14:textId="77777777" w:rsidR="00634F6B" w:rsidRDefault="00AD2D15">
      <w:pPr>
        <w:pStyle w:val="Heading1"/>
      </w:pPr>
      <w:r>
        <w:t>7. Financial Impact Illustration</w:t>
      </w:r>
    </w:p>
    <w:p w14:paraId="0217F6D5" w14:textId="77777777" w:rsidR="00634F6B" w:rsidRDefault="00AD2D15">
      <w:pPr>
        <w:spacing w:after="120"/>
      </w:pPr>
      <w:r>
        <w:t>The following table illustrates potential redundancy liability under different scenarios, based on a salaried GP earning £82,418 per annum (2025/26 ARRS reimbursable amount), and shows how the ICB fund covers the exposure.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926"/>
        <w:gridCol w:w="1700"/>
        <w:gridCol w:w="1800"/>
      </w:tblGrid>
      <w:tr w:rsidR="00634F6B" w14:paraId="5004307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6C650625" w14:textId="77777777" w:rsidR="00634F6B" w:rsidRDefault="00AD2D15">
            <w:r>
              <w:rPr>
                <w:b/>
                <w:bCs/>
                <w:color w:val="FFFFFF"/>
                <w:sz w:val="20"/>
                <w:szCs w:val="20"/>
              </w:rPr>
              <w:t>Scenario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7AA99F31" w14:textId="77777777" w:rsidR="00634F6B" w:rsidRDefault="00AD2D15">
            <w:r>
              <w:rPr>
                <w:b/>
                <w:bCs/>
                <w:color w:val="FFFFFF"/>
                <w:sz w:val="20"/>
                <w:szCs w:val="20"/>
              </w:rPr>
              <w:t>Statutory Redundancy</w:t>
            </w:r>
          </w:p>
        </w:tc>
        <w:tc>
          <w:tcPr>
            <w:tcW w:w="1926"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584D2558" w14:textId="77777777" w:rsidR="00634F6B" w:rsidRDefault="00AD2D15">
            <w:r>
              <w:rPr>
                <w:b/>
                <w:bCs/>
                <w:color w:val="FFFFFF"/>
                <w:sz w:val="20"/>
                <w:szCs w:val="20"/>
              </w:rPr>
              <w:t>Contractual (Model)</w:t>
            </w:r>
          </w:p>
        </w:tc>
        <w:tc>
          <w:tcPr>
            <w:tcW w:w="17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229E7544" w14:textId="77777777" w:rsidR="00634F6B" w:rsidRDefault="00AD2D15">
            <w:r>
              <w:rPr>
                <w:b/>
                <w:bCs/>
                <w:color w:val="FFFFFF"/>
                <w:sz w:val="20"/>
                <w:szCs w:val="20"/>
              </w:rPr>
              <w:t>ICB Fund Coverage</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14:paraId="34057271" w14:textId="77777777" w:rsidR="00634F6B" w:rsidRDefault="00AD2D15">
            <w:r>
              <w:rPr>
                <w:b/>
                <w:bCs/>
                <w:color w:val="FFFFFF"/>
                <w:sz w:val="20"/>
                <w:szCs w:val="20"/>
              </w:rPr>
              <w:t>Practice Residual Risk</w:t>
            </w:r>
          </w:p>
        </w:tc>
      </w:tr>
      <w:tr w:rsidR="00634F6B" w14:paraId="23713BB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BC52AA3" w14:textId="77777777" w:rsidR="00634F6B" w:rsidRDefault="00AD2D15">
            <w:r>
              <w:rPr>
                <w:color w:val="000000"/>
                <w:sz w:val="20"/>
                <w:szCs w:val="20"/>
              </w:rPr>
              <w:lastRenderedPageBreak/>
              <w:t>GP: 2 yrs service (age 35)</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019963" w14:textId="77777777" w:rsidR="00634F6B" w:rsidRDefault="00AD2D15">
            <w:r>
              <w:rPr>
                <w:color w:val="000000"/>
                <w:sz w:val="20"/>
                <w:szCs w:val="20"/>
              </w:rPr>
              <w:t>£1,584</w:t>
            </w:r>
          </w:p>
        </w:tc>
        <w:tc>
          <w:tcPr>
            <w:tcW w:w="1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665390" w14:textId="77777777" w:rsidR="00634F6B" w:rsidRDefault="00AD2D15">
            <w:r>
              <w:rPr>
                <w:color w:val="000000"/>
                <w:sz w:val="20"/>
                <w:szCs w:val="20"/>
              </w:rPr>
              <w:t>£3,168</w:t>
            </w:r>
          </w:p>
        </w:tc>
        <w:tc>
          <w:tcPr>
            <w:tcW w:w="17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7EA0AB07" w14:textId="77777777" w:rsidR="00634F6B" w:rsidRDefault="00AD2D15">
            <w:r>
              <w:rPr>
                <w:color w:val="000000"/>
                <w:sz w:val="20"/>
                <w:szCs w:val="20"/>
              </w:rPr>
              <w:t>✓</w:t>
            </w:r>
            <w:r>
              <w:rPr>
                <w:color w:val="000000"/>
                <w:sz w:val="20"/>
                <w:szCs w:val="20"/>
              </w:rPr>
              <w:t xml:space="preserve"> Fully covered</w:t>
            </w:r>
          </w:p>
        </w:tc>
        <w:tc>
          <w:tcPr>
            <w:tcW w:w="18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74CE2513" w14:textId="77777777" w:rsidR="00634F6B" w:rsidRDefault="00AD2D15">
            <w:r>
              <w:rPr>
                <w:color w:val="000000"/>
                <w:sz w:val="20"/>
                <w:szCs w:val="20"/>
              </w:rPr>
              <w:t>£0</w:t>
            </w:r>
          </w:p>
        </w:tc>
      </w:tr>
      <w:tr w:rsidR="00634F6B" w14:paraId="2AF65A2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0CD863" w14:textId="77777777" w:rsidR="00634F6B" w:rsidRDefault="00AD2D15">
            <w:r>
              <w:rPr>
                <w:color w:val="000000"/>
                <w:sz w:val="20"/>
                <w:szCs w:val="20"/>
              </w:rPr>
              <w:t>GP: 10+2 yrs service (age 40)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D61FEF" w14:textId="77777777" w:rsidR="00634F6B" w:rsidRDefault="00AD2D15">
            <w:r>
              <w:rPr>
                <w:color w:val="000000"/>
                <w:sz w:val="20"/>
                <w:szCs w:val="20"/>
              </w:rPr>
              <w:t>£14,256 (2 yrs only)</w:t>
            </w:r>
          </w:p>
        </w:tc>
        <w:tc>
          <w:tcPr>
            <w:tcW w:w="1926"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vAlign w:val="center"/>
          </w:tcPr>
          <w:p w14:paraId="56940916" w14:textId="77777777" w:rsidR="00634F6B" w:rsidRDefault="00AD2D15">
            <w:r>
              <w:rPr>
                <w:color w:val="000000"/>
                <w:sz w:val="20"/>
                <w:szCs w:val="20"/>
              </w:rPr>
              <w:t>£19,008</w:t>
            </w:r>
          </w:p>
        </w:tc>
        <w:tc>
          <w:tcPr>
            <w:tcW w:w="17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082D751A" w14:textId="77777777" w:rsidR="00634F6B" w:rsidRDefault="00AD2D15">
            <w:r>
              <w:rPr>
                <w:color w:val="000000"/>
                <w:sz w:val="20"/>
                <w:szCs w:val="20"/>
              </w:rPr>
              <w:t>✓</w:t>
            </w:r>
            <w:r>
              <w:rPr>
                <w:color w:val="000000"/>
                <w:sz w:val="20"/>
                <w:szCs w:val="20"/>
              </w:rPr>
              <w:t xml:space="preserve"> Fully covered</w:t>
            </w:r>
          </w:p>
        </w:tc>
        <w:tc>
          <w:tcPr>
            <w:tcW w:w="18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52F20D55" w14:textId="77777777" w:rsidR="00634F6B" w:rsidRDefault="00AD2D15">
            <w:r>
              <w:rPr>
                <w:color w:val="000000"/>
                <w:sz w:val="20"/>
                <w:szCs w:val="20"/>
              </w:rPr>
              <w:t>£0</w:t>
            </w:r>
          </w:p>
        </w:tc>
      </w:tr>
      <w:tr w:rsidR="00634F6B" w14:paraId="5D82A6C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ECA58A" w14:textId="77777777" w:rsidR="00634F6B" w:rsidRDefault="00AD2D15">
            <w:r>
              <w:rPr>
                <w:color w:val="000000"/>
                <w:sz w:val="20"/>
                <w:szCs w:val="20"/>
              </w:rPr>
              <w:t>GP: 20+2 yrs service (age 50)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977B25" w14:textId="77777777" w:rsidR="00634F6B" w:rsidRDefault="00AD2D15">
            <w:r>
              <w:rPr>
                <w:color w:val="000000"/>
                <w:sz w:val="20"/>
                <w:szCs w:val="20"/>
              </w:rPr>
              <w:t>£14,256 (2 yrs only)</w:t>
            </w:r>
          </w:p>
        </w:tc>
        <w:tc>
          <w:tcPr>
            <w:tcW w:w="1926" w:type="dxa"/>
            <w:tcBorders>
              <w:top w:val="single" w:sz="1" w:space="0" w:color="999999"/>
              <w:left w:val="single" w:sz="1" w:space="0" w:color="999999"/>
              <w:bottom w:val="single" w:sz="1" w:space="0" w:color="999999"/>
              <w:right w:val="single" w:sz="1" w:space="0" w:color="999999"/>
            </w:tcBorders>
            <w:shd w:val="clear" w:color="auto" w:fill="F4CCCC"/>
            <w:tcMar>
              <w:top w:w="80" w:type="dxa"/>
              <w:left w:w="120" w:type="dxa"/>
              <w:bottom w:w="80" w:type="dxa"/>
              <w:right w:w="120" w:type="dxa"/>
            </w:tcMar>
            <w:vAlign w:val="center"/>
          </w:tcPr>
          <w:p w14:paraId="3A5C1661" w14:textId="77777777" w:rsidR="00634F6B" w:rsidRDefault="00AD2D15">
            <w:r>
              <w:rPr>
                <w:color w:val="000000"/>
                <w:sz w:val="20"/>
                <w:szCs w:val="20"/>
              </w:rPr>
              <w:t>£49,451</w:t>
            </w:r>
          </w:p>
        </w:tc>
        <w:tc>
          <w:tcPr>
            <w:tcW w:w="17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79D35C34" w14:textId="77777777" w:rsidR="00634F6B" w:rsidRDefault="00AD2D15">
            <w:r>
              <w:rPr>
                <w:color w:val="000000"/>
                <w:sz w:val="20"/>
                <w:szCs w:val="20"/>
              </w:rPr>
              <w:t>✓</w:t>
            </w:r>
            <w:r>
              <w:rPr>
                <w:color w:val="000000"/>
                <w:sz w:val="20"/>
                <w:szCs w:val="20"/>
              </w:rPr>
              <w:t xml:space="preserve"> Covered from fund</w:t>
            </w:r>
          </w:p>
        </w:tc>
        <w:tc>
          <w:tcPr>
            <w:tcW w:w="1800" w:type="dxa"/>
            <w:tcBorders>
              <w:top w:val="single" w:sz="1" w:space="0" w:color="999999"/>
              <w:left w:val="single" w:sz="1" w:space="0" w:color="999999"/>
              <w:bottom w:val="single" w:sz="1" w:space="0" w:color="999999"/>
              <w:right w:val="single" w:sz="1" w:space="0" w:color="999999"/>
            </w:tcBorders>
            <w:shd w:val="clear" w:color="auto" w:fill="D9EAD3"/>
            <w:tcMar>
              <w:top w:w="80" w:type="dxa"/>
              <w:left w:w="120" w:type="dxa"/>
              <w:bottom w:w="80" w:type="dxa"/>
              <w:right w:w="120" w:type="dxa"/>
            </w:tcMar>
            <w:vAlign w:val="center"/>
          </w:tcPr>
          <w:p w14:paraId="3C853658" w14:textId="77777777" w:rsidR="00634F6B" w:rsidRDefault="00AD2D15">
            <w:r>
              <w:rPr>
                <w:color w:val="000000"/>
                <w:sz w:val="20"/>
                <w:szCs w:val="20"/>
              </w:rPr>
              <w:t>£0 (if fund available)</w:t>
            </w:r>
          </w:p>
        </w:tc>
      </w:tr>
      <w:tr w:rsidR="00634F6B" w14:paraId="4EE8D38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784443AE" w14:textId="77777777" w:rsidR="00634F6B" w:rsidRDefault="00AD2D15">
            <w:r>
              <w:rPr>
                <w:b/>
                <w:bCs/>
                <w:color w:val="000000"/>
                <w:sz w:val="20"/>
                <w:szCs w:val="20"/>
              </w:rPr>
              <w:t>Fund capacity (approx.)</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E556EE" w14:textId="77777777" w:rsidR="00634F6B" w:rsidRDefault="00634F6B"/>
        </w:tc>
        <w:tc>
          <w:tcPr>
            <w:tcW w:w="1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44D7E2" w14:textId="77777777" w:rsidR="00634F6B" w:rsidRDefault="00634F6B"/>
        </w:tc>
        <w:tc>
          <w:tcPr>
            <w:tcW w:w="1700" w:type="dxa"/>
            <w:tcBorders>
              <w:top w:val="single" w:sz="1" w:space="0" w:color="999999"/>
              <w:left w:val="single" w:sz="1" w:space="0" w:color="999999"/>
              <w:bottom w:val="single" w:sz="1" w:space="0" w:color="999999"/>
              <w:right w:val="single" w:sz="1" w:space="0" w:color="999999"/>
            </w:tcBorders>
            <w:shd w:val="clear" w:color="auto" w:fill="E0F0FF"/>
            <w:tcMar>
              <w:top w:w="80" w:type="dxa"/>
              <w:left w:w="120" w:type="dxa"/>
              <w:bottom w:w="80" w:type="dxa"/>
              <w:right w:w="120" w:type="dxa"/>
            </w:tcMar>
            <w:vAlign w:val="center"/>
          </w:tcPr>
          <w:p w14:paraId="761AB078" w14:textId="77777777" w:rsidR="00634F6B" w:rsidRDefault="00AD2D15">
            <w:r>
              <w:rPr>
                <w:b/>
                <w:bCs/>
                <w:color w:val="000000"/>
                <w:sz w:val="20"/>
                <w:szCs w:val="20"/>
              </w:rPr>
              <w:t>£305,219 total</w:t>
            </w:r>
          </w:p>
        </w:tc>
        <w:tc>
          <w:tcPr>
            <w:tcW w:w="1800" w:type="dxa"/>
            <w:tcBorders>
              <w:top w:val="single" w:sz="1" w:space="0" w:color="999999"/>
              <w:left w:val="single" w:sz="1" w:space="0" w:color="999999"/>
              <w:bottom w:val="single" w:sz="1" w:space="0" w:color="999999"/>
              <w:right w:val="single" w:sz="1" w:space="0" w:color="999999"/>
            </w:tcBorders>
            <w:shd w:val="clear" w:color="auto" w:fill="E0F0FF"/>
            <w:tcMar>
              <w:top w:w="80" w:type="dxa"/>
              <w:left w:w="120" w:type="dxa"/>
              <w:bottom w:w="80" w:type="dxa"/>
              <w:right w:w="120" w:type="dxa"/>
            </w:tcMar>
            <w:vAlign w:val="center"/>
          </w:tcPr>
          <w:p w14:paraId="78F0F4B6" w14:textId="77777777" w:rsidR="00634F6B" w:rsidRDefault="00AD2D15">
            <w:r>
              <w:rPr>
                <w:color w:val="000000"/>
                <w:sz w:val="20"/>
                <w:szCs w:val="20"/>
              </w:rPr>
              <w:t>Covers approx. 6–16 GPs depending on service length</w:t>
            </w:r>
          </w:p>
        </w:tc>
      </w:tr>
    </w:tbl>
    <w:p w14:paraId="550844DA" w14:textId="77777777" w:rsidR="00634F6B" w:rsidRDefault="00AD2D15">
      <w:pPr>
        <w:spacing w:before="120" w:after="120"/>
      </w:pPr>
      <w:r>
        <w:rPr>
          <w:b/>
          <w:bCs/>
        </w:rPr>
        <w:t xml:space="preserve">Note: </w:t>
      </w:r>
      <w:r>
        <w:t>Figures are illustrative. Actual contractual redundancy follows the General Whitley Council formula varying by age band and years of service. The key point is that the £305,219 ICB fund provides substantial headroom for Phase 1 recruitment. Expert HR advice should be sought to model exact figures for individual recruits.</w:t>
      </w:r>
    </w:p>
    <w:p w14:paraId="3946325E" w14:textId="77777777" w:rsidR="00634F6B" w:rsidRDefault="00AD2D15">
      <w:pPr>
        <w:pStyle w:val="Heading1"/>
      </w:pPr>
      <w:r>
        <w:t>8. Key Questions for the Programme Board</w:t>
      </w:r>
    </w:p>
    <w:p w14:paraId="55070B73" w14:textId="77777777" w:rsidR="00634F6B" w:rsidRDefault="00AD2D15">
      <w:pPr>
        <w:pStyle w:val="ListParagraph"/>
        <w:numPr>
          <w:ilvl w:val="0"/>
          <w:numId w:val="2"/>
        </w:numPr>
      </w:pPr>
      <w:r>
        <w:rPr>
          <w:b/>
          <w:bCs/>
        </w:rPr>
        <w:t xml:space="preserve">Fund Governance: </w:t>
      </w:r>
      <w:r>
        <w:t>What governance arrangements should be established for the £305,219 ICB Redundancy Fund? Who authorises drawdowns and under what criteria?</w:t>
      </w:r>
    </w:p>
    <w:p w14:paraId="0A4F29AD" w14:textId="77777777" w:rsidR="00634F6B" w:rsidRDefault="00AD2D15">
      <w:pPr>
        <w:pStyle w:val="ListParagraph"/>
        <w:numPr>
          <w:ilvl w:val="0"/>
          <w:numId w:val="2"/>
        </w:numPr>
      </w:pPr>
      <w:r>
        <w:rPr>
          <w:b/>
          <w:bCs/>
        </w:rPr>
        <w:t xml:space="preserve">Confidentiality: </w:t>
      </w:r>
      <w:r>
        <w:t>How do we maintain the confidential nature of the fund while ensuring participating practices are aware of the protection it affords?</w:t>
      </w:r>
    </w:p>
    <w:p w14:paraId="19FE7EBB" w14:textId="77777777" w:rsidR="00634F6B" w:rsidRDefault="00AD2D15">
      <w:pPr>
        <w:pStyle w:val="ListParagraph"/>
        <w:numPr>
          <w:ilvl w:val="0"/>
          <w:numId w:val="2"/>
        </w:numPr>
      </w:pPr>
      <w:r>
        <w:rPr>
          <w:b/>
          <w:bCs/>
        </w:rPr>
        <w:t xml:space="preserve">Future Phases: </w:t>
      </w:r>
      <w:r>
        <w:t>This is a one-time provision for Phase 1 sites. What is the plan for Phase 2 and beyond? Should the Board lobby for equivalent provision in future commissioning rounds?</w:t>
      </w:r>
    </w:p>
    <w:p w14:paraId="53509E34" w14:textId="77777777" w:rsidR="00634F6B" w:rsidRDefault="00AD2D15">
      <w:pPr>
        <w:pStyle w:val="ListParagraph"/>
        <w:numPr>
          <w:ilvl w:val="0"/>
          <w:numId w:val="2"/>
        </w:numPr>
      </w:pPr>
      <w:r>
        <w:rPr>
          <w:b/>
          <w:bCs/>
        </w:rPr>
        <w:t xml:space="preserve">Employment Structure: </w:t>
      </w:r>
      <w:r>
        <w:t xml:space="preserve">Given the ICB guarantee, should all Phase 1 GPs be employed directly by practices on the BMA model contract (Option A), or is there still a case for exploring the APMS entity route (Option E) for </w:t>
      </w:r>
      <w:proofErr w:type="gramStart"/>
      <w:r>
        <w:t>future-proofing</w:t>
      </w:r>
      <w:proofErr w:type="gramEnd"/>
      <w:r>
        <w:t>?</w:t>
      </w:r>
    </w:p>
    <w:p w14:paraId="56D21BAA" w14:textId="77777777" w:rsidR="00634F6B" w:rsidRDefault="00AD2D15">
      <w:pPr>
        <w:pStyle w:val="ListParagraph"/>
        <w:numPr>
          <w:ilvl w:val="0"/>
          <w:numId w:val="2"/>
        </w:numPr>
      </w:pPr>
      <w:r>
        <w:rPr>
          <w:b/>
          <w:bCs/>
        </w:rPr>
        <w:t xml:space="preserve">Service Continuity: </w:t>
      </w:r>
      <w:r>
        <w:t>If the NRES service becomes permanent or is extended beyond initial funding, the redundancy risk diminishes. Should contract design reflect this expectation?</w:t>
      </w:r>
    </w:p>
    <w:p w14:paraId="557C1C60" w14:textId="77777777" w:rsidR="00634F6B" w:rsidRDefault="00AD2D15">
      <w:pPr>
        <w:pStyle w:val="ListParagraph"/>
        <w:numPr>
          <w:ilvl w:val="0"/>
          <w:numId w:val="2"/>
        </w:numPr>
        <w:spacing w:after="200"/>
      </w:pPr>
      <w:r>
        <w:rPr>
          <w:b/>
          <w:bCs/>
        </w:rPr>
        <w:t xml:space="preserve">Legal Advice: </w:t>
      </w:r>
      <w:r>
        <w:t>Should the Board still commission specialist employment law advice to formalise the fund’s terms of access and the employment contract approach?</w:t>
      </w:r>
    </w:p>
    <w:p w14:paraId="155983FE" w14:textId="77777777" w:rsidR="00634F6B" w:rsidRDefault="00AD2D15">
      <w:pPr>
        <w:pStyle w:val="Heading1"/>
      </w:pPr>
      <w:r>
        <w:t>9. Recommendations</w:t>
      </w:r>
    </w:p>
    <w:p w14:paraId="26295714" w14:textId="77777777" w:rsidR="00634F6B" w:rsidRDefault="00AD2D15">
      <w:pPr>
        <w:pStyle w:val="ListParagraph"/>
        <w:numPr>
          <w:ilvl w:val="0"/>
          <w:numId w:val="3"/>
        </w:numPr>
      </w:pPr>
      <w:r>
        <w:rPr>
          <w:b/>
          <w:bCs/>
        </w:rPr>
        <w:t xml:space="preserve">Accept the legal position: </w:t>
      </w:r>
      <w:r>
        <w:t>GMS and PMS practices are legally required to offer the BMA model contract. This is embedded in statutory regulations (SI 2004/291), not just BMA guidance. The Board should not seek to circumvent this for GMS/PMS-employed GPs.</w:t>
      </w:r>
    </w:p>
    <w:p w14:paraId="1AFE6FC3" w14:textId="77777777" w:rsidR="00634F6B" w:rsidRDefault="00AD2D15">
      <w:pPr>
        <w:pStyle w:val="ListParagraph"/>
        <w:numPr>
          <w:ilvl w:val="0"/>
          <w:numId w:val="3"/>
        </w:numPr>
      </w:pPr>
      <w:r>
        <w:rPr>
          <w:b/>
          <w:bCs/>
        </w:rPr>
        <w:t xml:space="preserve">Proceed with confidence under the ICB guarantee: </w:t>
      </w:r>
      <w:r>
        <w:t>The £305,219 Confidential Redundancy Fund substantially de-risks Phase 1 recruitment. Practices should be reassured that the financial exposure of employing salaried GPs with prior NHS service is underwritten by the commissioner.</w:t>
      </w:r>
    </w:p>
    <w:p w14:paraId="2E1248FC" w14:textId="77777777" w:rsidR="00634F6B" w:rsidRDefault="00AD2D15">
      <w:pPr>
        <w:pStyle w:val="ListParagraph"/>
        <w:numPr>
          <w:ilvl w:val="0"/>
          <w:numId w:val="3"/>
        </w:numPr>
      </w:pPr>
      <w:r>
        <w:rPr>
          <w:b/>
          <w:bCs/>
        </w:rPr>
        <w:t xml:space="preserve">Establish fund governance: </w:t>
      </w:r>
      <w:r>
        <w:t>Agree clear terms of reference for the Redundancy Fund, including eligibility criteria, drawdown process, and reporting requirements. Consider whether the fund sits with the ICB, the lead PCN, or a third-party arrangement.</w:t>
      </w:r>
    </w:p>
    <w:p w14:paraId="0E86A76B" w14:textId="77777777" w:rsidR="00634F6B" w:rsidRDefault="00AD2D15">
      <w:pPr>
        <w:pStyle w:val="ListParagraph"/>
        <w:numPr>
          <w:ilvl w:val="0"/>
          <w:numId w:val="3"/>
        </w:numPr>
      </w:pPr>
      <w:r>
        <w:rPr>
          <w:b/>
          <w:bCs/>
        </w:rPr>
        <w:t xml:space="preserve">Profile recruit service length: </w:t>
      </w:r>
      <w:r>
        <w:t>While not a selection criterion, practices should model the financial exposure for each recruit to ensure the fund’s adequacy. Share aggregate (not individual) data with the programme board.</w:t>
      </w:r>
    </w:p>
    <w:p w14:paraId="5ED16C5E" w14:textId="77777777" w:rsidR="00634F6B" w:rsidRDefault="00AD2D15">
      <w:pPr>
        <w:pStyle w:val="ListParagraph"/>
        <w:numPr>
          <w:ilvl w:val="0"/>
          <w:numId w:val="3"/>
        </w:numPr>
      </w:pPr>
      <w:r>
        <w:rPr>
          <w:b/>
          <w:bCs/>
        </w:rPr>
        <w:lastRenderedPageBreak/>
        <w:t xml:space="preserve">Plan for future phases: </w:t>
      </w:r>
      <w:r>
        <w:t>Begin discussions with the ICB now about redundancy provision for Phase 2 and beyond. The one-time nature of this guarantee should not become a barrier to programme expansion.</w:t>
      </w:r>
    </w:p>
    <w:p w14:paraId="23372A57" w14:textId="77777777" w:rsidR="00634F6B" w:rsidRDefault="00AD2D15">
      <w:pPr>
        <w:pStyle w:val="ListParagraph"/>
        <w:numPr>
          <w:ilvl w:val="0"/>
          <w:numId w:val="3"/>
        </w:numPr>
        <w:spacing w:after="200"/>
      </w:pPr>
      <w:r>
        <w:rPr>
          <w:b/>
          <w:bCs/>
        </w:rPr>
        <w:t xml:space="preserve">Seek specialist legal advice: </w:t>
      </w:r>
      <w:r>
        <w:t>Commission employment law advice to formalise the fund’s terms, review the proposed employment contracts, and confirm the approach is legally sound.</w:t>
      </w:r>
    </w:p>
    <w:p w14:paraId="16601D6E" w14:textId="77777777" w:rsidR="00634F6B" w:rsidRDefault="00AD2D15">
      <w:pPr>
        <w:pStyle w:val="Heading1"/>
      </w:pPr>
      <w:r>
        <w:t>10. Sources and References</w:t>
      </w:r>
    </w:p>
    <w:p w14:paraId="0055C5EE" w14:textId="77777777" w:rsidR="00634F6B" w:rsidRDefault="00AD2D15">
      <w:pPr>
        <w:pStyle w:val="ListParagraph"/>
        <w:numPr>
          <w:ilvl w:val="0"/>
          <w:numId w:val="4"/>
        </w:numPr>
      </w:pPr>
      <w:r>
        <w:t>BMA Salaried GP Handbook (Updated 2025)</w:t>
      </w:r>
    </w:p>
    <w:p w14:paraId="7596DB14" w14:textId="77777777" w:rsidR="00634F6B" w:rsidRDefault="00AD2D15">
      <w:pPr>
        <w:pStyle w:val="ListParagraph"/>
        <w:numPr>
          <w:ilvl w:val="0"/>
          <w:numId w:val="4"/>
        </w:numPr>
      </w:pPr>
      <w:r>
        <w:t>BMA Salaried GP Model Contract and Model Offer Letter Guidance 2025</w:t>
      </w:r>
    </w:p>
    <w:p w14:paraId="375F8122" w14:textId="77777777" w:rsidR="00634F6B" w:rsidRDefault="00AD2D15">
      <w:pPr>
        <w:pStyle w:val="ListParagraph"/>
        <w:numPr>
          <w:ilvl w:val="0"/>
          <w:numId w:val="4"/>
        </w:numPr>
      </w:pPr>
      <w:r>
        <w:t>National Health Service (General Medical Services Contracts) Regulations 2004 (SI 2004/291)</w:t>
      </w:r>
    </w:p>
    <w:p w14:paraId="65E9C8BF" w14:textId="77777777" w:rsidR="00634F6B" w:rsidRDefault="00AD2D15">
      <w:pPr>
        <w:pStyle w:val="ListParagraph"/>
        <w:numPr>
          <w:ilvl w:val="0"/>
          <w:numId w:val="4"/>
        </w:numPr>
      </w:pPr>
      <w:r>
        <w:t>NHS England Standard Personal Medical Services Agreement 2015/16</w:t>
      </w:r>
    </w:p>
    <w:p w14:paraId="54C72798" w14:textId="77777777" w:rsidR="00634F6B" w:rsidRDefault="00AD2D15">
      <w:pPr>
        <w:pStyle w:val="ListParagraph"/>
        <w:numPr>
          <w:ilvl w:val="0"/>
          <w:numId w:val="4"/>
        </w:numPr>
      </w:pPr>
      <w:r>
        <w:t>Northants LMC / BMA GPC Correspondence, 5–9 February 2026</w:t>
      </w:r>
    </w:p>
    <w:p w14:paraId="7746D4BF" w14:textId="77777777" w:rsidR="00634F6B" w:rsidRDefault="00AD2D15">
      <w:pPr>
        <w:pStyle w:val="ListParagraph"/>
        <w:numPr>
          <w:ilvl w:val="0"/>
          <w:numId w:val="4"/>
        </w:numPr>
      </w:pPr>
      <w:r>
        <w:t>NRES Dashboard – Operating Budget and Confidential Redundancy Fund (gpnotewell.co.uk/NRESDashboard)</w:t>
      </w:r>
    </w:p>
    <w:p w14:paraId="735C9E1E" w14:textId="77777777" w:rsidR="00634F6B" w:rsidRDefault="00AD2D15">
      <w:pPr>
        <w:pStyle w:val="ListParagraph"/>
        <w:numPr>
          <w:ilvl w:val="0"/>
          <w:numId w:val="4"/>
        </w:numPr>
      </w:pPr>
      <w:r>
        <w:t>Wessex LMCs – Salaried GP Contracts Guidance</w:t>
      </w:r>
    </w:p>
    <w:p w14:paraId="432AD31E" w14:textId="77777777" w:rsidR="00634F6B" w:rsidRDefault="00AD2D15">
      <w:pPr>
        <w:pStyle w:val="ListParagraph"/>
        <w:numPr>
          <w:ilvl w:val="0"/>
          <w:numId w:val="4"/>
        </w:numPr>
      </w:pPr>
      <w:r>
        <w:t xml:space="preserve">DR Solicitors – ‘What is the BMA Model </w:t>
      </w:r>
      <w:proofErr w:type="gramStart"/>
      <w:r>
        <w:t>Contract</w:t>
      </w:r>
      <w:proofErr w:type="gramEnd"/>
      <w:r>
        <w:t xml:space="preserve"> and Does it Apply to Me?’</w:t>
      </w:r>
    </w:p>
    <w:p w14:paraId="5CF2073B" w14:textId="77777777" w:rsidR="00634F6B" w:rsidRDefault="00AD2D15">
      <w:pPr>
        <w:pStyle w:val="ListParagraph"/>
        <w:numPr>
          <w:ilvl w:val="0"/>
          <w:numId w:val="4"/>
        </w:numPr>
      </w:pPr>
      <w:r>
        <w:t>Fixed-Term Employees (Prevention of Less Favourable Treatment) Regulations 2002</w:t>
      </w:r>
    </w:p>
    <w:p w14:paraId="4C0C3A66" w14:textId="77777777" w:rsidR="00634F6B" w:rsidRDefault="00AD2D15">
      <w:pPr>
        <w:pStyle w:val="ListParagraph"/>
        <w:numPr>
          <w:ilvl w:val="0"/>
          <w:numId w:val="4"/>
        </w:numPr>
      </w:pPr>
      <w:r>
        <w:t>Employment Rights Act 1996</w:t>
      </w:r>
    </w:p>
    <w:p w14:paraId="0C293E57" w14:textId="77777777" w:rsidR="00634F6B" w:rsidRDefault="00634F6B">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4F6B" w14:paraId="04BF43E7" w14:textId="77777777">
        <w:tblPrEx>
          <w:tblCellMar>
            <w:top w:w="0" w:type="dxa"/>
            <w:bottom w:w="0" w:type="dxa"/>
          </w:tblCellMar>
        </w:tblPrEx>
        <w:tc>
          <w:tcPr>
            <w:tcW w:w="9026" w:type="dxa"/>
            <w:tcBorders>
              <w:top w:val="single" w:sz="1" w:space="0" w:color="999999"/>
              <w:left w:val="single" w:sz="1" w:space="0" w:color="999999"/>
              <w:bottom w:val="single" w:sz="1" w:space="0" w:color="999999"/>
              <w:right w:val="single" w:sz="1" w:space="0" w:color="999999"/>
            </w:tcBorders>
            <w:shd w:val="clear" w:color="auto" w:fill="FFF2CC"/>
            <w:tcMar>
              <w:top w:w="120" w:type="dxa"/>
              <w:left w:w="200" w:type="dxa"/>
              <w:bottom w:w="120" w:type="dxa"/>
              <w:right w:w="200" w:type="dxa"/>
            </w:tcMar>
          </w:tcPr>
          <w:p w14:paraId="25493692" w14:textId="77777777" w:rsidR="00634F6B" w:rsidRDefault="00AD2D15">
            <w:r>
              <w:rPr>
                <w:b/>
                <w:bCs/>
                <w:sz w:val="20"/>
                <w:szCs w:val="20"/>
              </w:rPr>
              <w:t xml:space="preserve">DISCLAIMER: </w:t>
            </w:r>
            <w:r>
              <w:rPr>
                <w:sz w:val="20"/>
                <w:szCs w:val="20"/>
              </w:rPr>
              <w:t>This paper is for discussion purposes and does not constitute legal or financial advice. The information is based on publicly available BMA guidance, statutory instruments, LMC correspondence, and NRES programme budget data. Practices should obtain independent employment law advice before making any decisions regarding salaried GP contracts and redundancy provisions. The Confidential Redundancy Fund details are strictly private to Phase 1 sites.</w:t>
            </w:r>
          </w:p>
        </w:tc>
      </w:tr>
    </w:tbl>
    <w:p w14:paraId="389CA59F" w14:textId="77777777" w:rsidR="00AD2D15" w:rsidRDefault="00AD2D15"/>
    <w:sectPr w:rsidR="0000000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AC465" w14:textId="77777777" w:rsidR="00AD2D15" w:rsidRDefault="00AD2D15">
      <w:r>
        <w:separator/>
      </w:r>
    </w:p>
  </w:endnote>
  <w:endnote w:type="continuationSeparator" w:id="0">
    <w:p w14:paraId="7755AD6C" w14:textId="77777777" w:rsidR="00AD2D15" w:rsidRDefault="00AD2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444A" w14:textId="77777777" w:rsidR="00634F6B" w:rsidRDefault="00AD2D15">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0739" w14:textId="77777777" w:rsidR="00AD2D15" w:rsidRDefault="00AD2D15">
      <w:r>
        <w:separator/>
      </w:r>
    </w:p>
  </w:footnote>
  <w:footnote w:type="continuationSeparator" w:id="0">
    <w:p w14:paraId="21DB4B81" w14:textId="77777777" w:rsidR="00AD2D15" w:rsidRDefault="00AD2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5E1C" w14:textId="77777777" w:rsidR="00634F6B" w:rsidRDefault="00AD2D15">
    <w:pPr>
      <w:jc w:val="right"/>
    </w:pPr>
    <w:r>
      <w:rPr>
        <w:i/>
        <w:iCs/>
        <w:color w:val="666666"/>
        <w:sz w:val="16"/>
        <w:szCs w:val="16"/>
      </w:rPr>
      <w:t>NRES Programme Board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D14C0"/>
    <w:multiLevelType w:val="hybridMultilevel"/>
    <w:tmpl w:val="65B43824"/>
    <w:lvl w:ilvl="0" w:tplc="2BA4910C">
      <w:start w:val="1"/>
      <w:numFmt w:val="decimal"/>
      <w:lvlText w:val="%1."/>
      <w:lvlJc w:val="left"/>
      <w:pPr>
        <w:ind w:left="720" w:hanging="360"/>
      </w:pPr>
    </w:lvl>
    <w:lvl w:ilvl="1" w:tplc="0A7ECAEC">
      <w:numFmt w:val="decimal"/>
      <w:lvlText w:val=""/>
      <w:lvlJc w:val="left"/>
    </w:lvl>
    <w:lvl w:ilvl="2" w:tplc="3D541C92">
      <w:numFmt w:val="decimal"/>
      <w:lvlText w:val=""/>
      <w:lvlJc w:val="left"/>
    </w:lvl>
    <w:lvl w:ilvl="3" w:tplc="8872E2C6">
      <w:numFmt w:val="decimal"/>
      <w:lvlText w:val=""/>
      <w:lvlJc w:val="left"/>
    </w:lvl>
    <w:lvl w:ilvl="4" w:tplc="81EA7EA8">
      <w:numFmt w:val="decimal"/>
      <w:lvlText w:val=""/>
      <w:lvlJc w:val="left"/>
    </w:lvl>
    <w:lvl w:ilvl="5" w:tplc="97F081D6">
      <w:numFmt w:val="decimal"/>
      <w:lvlText w:val=""/>
      <w:lvlJc w:val="left"/>
    </w:lvl>
    <w:lvl w:ilvl="6" w:tplc="94FE81A6">
      <w:numFmt w:val="decimal"/>
      <w:lvlText w:val=""/>
      <w:lvlJc w:val="left"/>
    </w:lvl>
    <w:lvl w:ilvl="7" w:tplc="5E30C27C">
      <w:numFmt w:val="decimal"/>
      <w:lvlText w:val=""/>
      <w:lvlJc w:val="left"/>
    </w:lvl>
    <w:lvl w:ilvl="8" w:tplc="AFFE30C2">
      <w:numFmt w:val="decimal"/>
      <w:lvlText w:val=""/>
      <w:lvlJc w:val="left"/>
    </w:lvl>
  </w:abstractNum>
  <w:abstractNum w:abstractNumId="1" w15:restartNumberingAfterBreak="0">
    <w:nsid w:val="2403459F"/>
    <w:multiLevelType w:val="hybridMultilevel"/>
    <w:tmpl w:val="69460A12"/>
    <w:lvl w:ilvl="0" w:tplc="B9B868C4">
      <w:start w:val="1"/>
      <w:numFmt w:val="decimal"/>
      <w:lvlText w:val="%1."/>
      <w:lvlJc w:val="left"/>
      <w:pPr>
        <w:ind w:left="720" w:hanging="360"/>
      </w:pPr>
    </w:lvl>
    <w:lvl w:ilvl="1" w:tplc="9F70F8BA">
      <w:numFmt w:val="decimal"/>
      <w:lvlText w:val=""/>
      <w:lvlJc w:val="left"/>
    </w:lvl>
    <w:lvl w:ilvl="2" w:tplc="804207DA">
      <w:numFmt w:val="decimal"/>
      <w:lvlText w:val=""/>
      <w:lvlJc w:val="left"/>
    </w:lvl>
    <w:lvl w:ilvl="3" w:tplc="9DF2D278">
      <w:numFmt w:val="decimal"/>
      <w:lvlText w:val=""/>
      <w:lvlJc w:val="left"/>
    </w:lvl>
    <w:lvl w:ilvl="4" w:tplc="DB9A3F4E">
      <w:numFmt w:val="decimal"/>
      <w:lvlText w:val=""/>
      <w:lvlJc w:val="left"/>
    </w:lvl>
    <w:lvl w:ilvl="5" w:tplc="0C1AA290">
      <w:numFmt w:val="decimal"/>
      <w:lvlText w:val=""/>
      <w:lvlJc w:val="left"/>
    </w:lvl>
    <w:lvl w:ilvl="6" w:tplc="028E4DEC">
      <w:numFmt w:val="decimal"/>
      <w:lvlText w:val=""/>
      <w:lvlJc w:val="left"/>
    </w:lvl>
    <w:lvl w:ilvl="7" w:tplc="E2AECCB8">
      <w:numFmt w:val="decimal"/>
      <w:lvlText w:val=""/>
      <w:lvlJc w:val="left"/>
    </w:lvl>
    <w:lvl w:ilvl="8" w:tplc="3580D45C">
      <w:numFmt w:val="decimal"/>
      <w:lvlText w:val=""/>
      <w:lvlJc w:val="left"/>
    </w:lvl>
  </w:abstractNum>
  <w:abstractNum w:abstractNumId="2" w15:restartNumberingAfterBreak="0">
    <w:nsid w:val="47287F13"/>
    <w:multiLevelType w:val="hybridMultilevel"/>
    <w:tmpl w:val="884A0BA0"/>
    <w:lvl w:ilvl="0" w:tplc="5582B5E4">
      <w:start w:val="1"/>
      <w:numFmt w:val="decimal"/>
      <w:lvlText w:val="%1."/>
      <w:lvlJc w:val="left"/>
      <w:pPr>
        <w:ind w:left="720" w:hanging="360"/>
      </w:pPr>
    </w:lvl>
    <w:lvl w:ilvl="1" w:tplc="734EEAEC">
      <w:numFmt w:val="decimal"/>
      <w:lvlText w:val=""/>
      <w:lvlJc w:val="left"/>
    </w:lvl>
    <w:lvl w:ilvl="2" w:tplc="1374B53C">
      <w:numFmt w:val="decimal"/>
      <w:lvlText w:val=""/>
      <w:lvlJc w:val="left"/>
    </w:lvl>
    <w:lvl w:ilvl="3" w:tplc="546AF1CC">
      <w:numFmt w:val="decimal"/>
      <w:lvlText w:val=""/>
      <w:lvlJc w:val="left"/>
    </w:lvl>
    <w:lvl w:ilvl="4" w:tplc="B9265F04">
      <w:numFmt w:val="decimal"/>
      <w:lvlText w:val=""/>
      <w:lvlJc w:val="left"/>
    </w:lvl>
    <w:lvl w:ilvl="5" w:tplc="7E2CCE54">
      <w:numFmt w:val="decimal"/>
      <w:lvlText w:val=""/>
      <w:lvlJc w:val="left"/>
    </w:lvl>
    <w:lvl w:ilvl="6" w:tplc="FE581F78">
      <w:numFmt w:val="decimal"/>
      <w:lvlText w:val=""/>
      <w:lvlJc w:val="left"/>
    </w:lvl>
    <w:lvl w:ilvl="7" w:tplc="BFF0EFB0">
      <w:numFmt w:val="decimal"/>
      <w:lvlText w:val=""/>
      <w:lvlJc w:val="left"/>
    </w:lvl>
    <w:lvl w:ilvl="8" w:tplc="FB3E14E6">
      <w:numFmt w:val="decimal"/>
      <w:lvlText w:val=""/>
      <w:lvlJc w:val="left"/>
    </w:lvl>
  </w:abstractNum>
  <w:abstractNum w:abstractNumId="3" w15:restartNumberingAfterBreak="0">
    <w:nsid w:val="6B986F58"/>
    <w:multiLevelType w:val="hybridMultilevel"/>
    <w:tmpl w:val="CB68F62A"/>
    <w:lvl w:ilvl="0" w:tplc="4F562A68">
      <w:start w:val="1"/>
      <w:numFmt w:val="bullet"/>
      <w:lvlText w:val="•"/>
      <w:lvlJc w:val="left"/>
      <w:pPr>
        <w:ind w:left="720" w:hanging="360"/>
      </w:pPr>
    </w:lvl>
    <w:lvl w:ilvl="1" w:tplc="55589572">
      <w:numFmt w:val="decimal"/>
      <w:lvlText w:val=""/>
      <w:lvlJc w:val="left"/>
    </w:lvl>
    <w:lvl w:ilvl="2" w:tplc="A98CD3B4">
      <w:numFmt w:val="decimal"/>
      <w:lvlText w:val=""/>
      <w:lvlJc w:val="left"/>
    </w:lvl>
    <w:lvl w:ilvl="3" w:tplc="2CAE75E0">
      <w:numFmt w:val="decimal"/>
      <w:lvlText w:val=""/>
      <w:lvlJc w:val="left"/>
    </w:lvl>
    <w:lvl w:ilvl="4" w:tplc="6C268598">
      <w:numFmt w:val="decimal"/>
      <w:lvlText w:val=""/>
      <w:lvlJc w:val="left"/>
    </w:lvl>
    <w:lvl w:ilvl="5" w:tplc="B96282F4">
      <w:numFmt w:val="decimal"/>
      <w:lvlText w:val=""/>
      <w:lvlJc w:val="left"/>
    </w:lvl>
    <w:lvl w:ilvl="6" w:tplc="422AD826">
      <w:numFmt w:val="decimal"/>
      <w:lvlText w:val=""/>
      <w:lvlJc w:val="left"/>
    </w:lvl>
    <w:lvl w:ilvl="7" w:tplc="CC821BD6">
      <w:numFmt w:val="decimal"/>
      <w:lvlText w:val=""/>
      <w:lvlJc w:val="left"/>
    </w:lvl>
    <w:lvl w:ilvl="8" w:tplc="5CC428A8">
      <w:numFmt w:val="decimal"/>
      <w:lvlText w:val=""/>
      <w:lvlJc w:val="left"/>
    </w:lvl>
  </w:abstractNum>
  <w:abstractNum w:abstractNumId="4" w15:restartNumberingAfterBreak="0">
    <w:nsid w:val="6F0020A1"/>
    <w:multiLevelType w:val="hybridMultilevel"/>
    <w:tmpl w:val="6732842C"/>
    <w:lvl w:ilvl="0" w:tplc="0F14C8FE">
      <w:start w:val="1"/>
      <w:numFmt w:val="bullet"/>
      <w:lvlText w:val="●"/>
      <w:lvlJc w:val="left"/>
      <w:pPr>
        <w:ind w:left="720" w:hanging="360"/>
      </w:pPr>
    </w:lvl>
    <w:lvl w:ilvl="1" w:tplc="53A4303A">
      <w:start w:val="1"/>
      <w:numFmt w:val="bullet"/>
      <w:lvlText w:val="○"/>
      <w:lvlJc w:val="left"/>
      <w:pPr>
        <w:ind w:left="1440" w:hanging="360"/>
      </w:pPr>
    </w:lvl>
    <w:lvl w:ilvl="2" w:tplc="8D685CDE">
      <w:start w:val="1"/>
      <w:numFmt w:val="bullet"/>
      <w:lvlText w:val="■"/>
      <w:lvlJc w:val="left"/>
      <w:pPr>
        <w:ind w:left="2160" w:hanging="360"/>
      </w:pPr>
    </w:lvl>
    <w:lvl w:ilvl="3" w:tplc="055E44BE">
      <w:start w:val="1"/>
      <w:numFmt w:val="bullet"/>
      <w:lvlText w:val="●"/>
      <w:lvlJc w:val="left"/>
      <w:pPr>
        <w:ind w:left="2880" w:hanging="360"/>
      </w:pPr>
    </w:lvl>
    <w:lvl w:ilvl="4" w:tplc="A9FCDA58">
      <w:start w:val="1"/>
      <w:numFmt w:val="bullet"/>
      <w:lvlText w:val="○"/>
      <w:lvlJc w:val="left"/>
      <w:pPr>
        <w:ind w:left="3600" w:hanging="360"/>
      </w:pPr>
    </w:lvl>
    <w:lvl w:ilvl="5" w:tplc="F94ED774">
      <w:start w:val="1"/>
      <w:numFmt w:val="bullet"/>
      <w:lvlText w:val="■"/>
      <w:lvlJc w:val="left"/>
      <w:pPr>
        <w:ind w:left="4320" w:hanging="360"/>
      </w:pPr>
    </w:lvl>
    <w:lvl w:ilvl="6" w:tplc="0686B562">
      <w:start w:val="1"/>
      <w:numFmt w:val="bullet"/>
      <w:lvlText w:val="●"/>
      <w:lvlJc w:val="left"/>
      <w:pPr>
        <w:ind w:left="5040" w:hanging="360"/>
      </w:pPr>
    </w:lvl>
    <w:lvl w:ilvl="7" w:tplc="FE220F3A">
      <w:start w:val="1"/>
      <w:numFmt w:val="bullet"/>
      <w:lvlText w:val="●"/>
      <w:lvlJc w:val="left"/>
      <w:pPr>
        <w:ind w:left="5760" w:hanging="360"/>
      </w:pPr>
    </w:lvl>
    <w:lvl w:ilvl="8" w:tplc="7CDEBBC0">
      <w:start w:val="1"/>
      <w:numFmt w:val="bullet"/>
      <w:lvlText w:val="●"/>
      <w:lvlJc w:val="left"/>
      <w:pPr>
        <w:ind w:left="6480" w:hanging="360"/>
      </w:pPr>
    </w:lvl>
  </w:abstractNum>
  <w:num w:numId="1" w16cid:durableId="1827747041">
    <w:abstractNumId w:val="4"/>
    <w:lvlOverride w:ilvl="0">
      <w:startOverride w:val="1"/>
    </w:lvlOverride>
  </w:num>
  <w:num w:numId="2" w16cid:durableId="1675961071">
    <w:abstractNumId w:val="1"/>
    <w:lvlOverride w:ilvl="0">
      <w:startOverride w:val="1"/>
    </w:lvlOverride>
  </w:num>
  <w:num w:numId="3" w16cid:durableId="1239051691">
    <w:abstractNumId w:val="0"/>
    <w:lvlOverride w:ilvl="0">
      <w:startOverride w:val="1"/>
    </w:lvlOverride>
  </w:num>
  <w:num w:numId="4" w16cid:durableId="15945826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F6B"/>
    <w:rsid w:val="005662DC"/>
    <w:rsid w:val="00634F6B"/>
    <w:rsid w:val="00AD2D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F167"/>
  <w15:docId w15:val="{D952D3C4-EC1A-4F6E-A3C4-E6977FF3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366"/>
      <w:sz w:val="32"/>
      <w:szCs w:val="32"/>
    </w:rPr>
  </w:style>
  <w:style w:type="paragraph" w:styleId="Heading2">
    <w:name w:val="heading 2"/>
    <w:uiPriority w:val="9"/>
    <w:unhideWhenUsed/>
    <w:qFormat/>
    <w:pPr>
      <w:spacing w:before="240" w:after="120"/>
      <w:outlineLvl w:val="1"/>
    </w:pPr>
    <w:rPr>
      <w:b/>
      <w:bCs/>
      <w:color w:val="003366"/>
      <w:sz w:val="26"/>
      <w:szCs w:val="26"/>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2491</Words>
  <Characters>14204</Characters>
  <Application>Microsoft Office Word</Application>
  <DocSecurity>0</DocSecurity>
  <Lines>118</Lines>
  <Paragraphs>33</Paragraphs>
  <ScaleCrop>false</ScaleCrop>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RAILSON, Malcolm (NHS NORTHAMPTONSHIRE ICB - 78H)</cp:lastModifiedBy>
  <cp:revision>2</cp:revision>
  <dcterms:created xsi:type="dcterms:W3CDTF">2026-02-10T12:26:00Z</dcterms:created>
  <dcterms:modified xsi:type="dcterms:W3CDTF">2026-02-10T12:26:00Z</dcterms:modified>
</cp:coreProperties>
</file>