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2"/>
          <w:szCs w:val="32"/>
        </w:rPr>
        <w:t xml:space="preserve">SDA Claims — Supporting Evidence Requirements</w:t>
      </w:r>
    </w:p>
    <w:p>
      <w:pPr>
        <w:spacing w:after="120"/>
      </w:pPr>
      <w:r>
        <w:rPr>
          <w:rFonts w:ascii="Arial" w:cs="Arial" w:eastAsia="Arial" w:hAnsi="Arial"/>
          <w:i/>
          <w:iCs/>
          <w:color w:val="595959"/>
          <w:sz w:val="22"/>
          <w:szCs w:val="22"/>
        </w:rPr>
        <w:t xml:space="preserve">Sign-off matrix — for Andrew Moore (PML / SNO)</w:t>
      </w:r>
    </w:p>
    <w:p>
      <w:pPr>
        <w:spacing w:after="240" w:before="0"/>
        <w:jc w:val="left"/>
      </w:pPr>
      <w:r>
        <w:rPr>
          <w:rFonts w:ascii="Arial" w:cs="Arial" w:eastAsia="Arial" w:hAnsi="Arial"/>
          <w:b/>
          <w:bCs/>
          <w:i w:val="false"/>
          <w:iCs w:val="false"/>
          <w:color w:val="000000"/>
          <w:sz w:val="22"/>
          <w:szCs w:val="22"/>
        </w:rPr>
        <w:t xml:space="preserve">Author: </w:t>
      </w:r>
      <w:r>
        <w:rPr>
          <w:rFonts w:ascii="Arial" w:cs="Arial" w:eastAsia="Arial" w:hAnsi="Arial"/>
          <w:b w:val="false"/>
          <w:bCs w:val="false"/>
          <w:i w:val="false"/>
          <w:iCs w:val="false"/>
          <w:color w:val="000000"/>
          <w:sz w:val="22"/>
          <w:szCs w:val="22"/>
        </w:rPr>
        <w:t xml:space="preserve">Malcolm Railson, Neighbourhood Manager NRES   </w:t>
      </w:r>
      <w:r>
        <w:rPr>
          <w:rFonts w:ascii="Arial" w:cs="Arial" w:eastAsia="Arial" w:hAnsi="Arial"/>
          <w:b/>
          <w:bCs/>
          <w:i w:val="false"/>
          <w:iCs w:val="false"/>
          <w:color w:val="000000"/>
          <w:sz w:val="22"/>
          <w:szCs w:val="22"/>
        </w:rPr>
        <w:t xml:space="preserve">Date: </w:t>
      </w:r>
      <w:r>
        <w:rPr>
          <w:rFonts w:ascii="Arial" w:cs="Arial" w:eastAsia="Arial" w:hAnsi="Arial"/>
          <w:b w:val="false"/>
          <w:bCs w:val="false"/>
          <w:i w:val="false"/>
          <w:iCs w:val="false"/>
          <w:color w:val="000000"/>
          <w:sz w:val="22"/>
          <w:szCs w:val="22"/>
        </w:rPr>
        <w:t xml:space="preserve">29 April 2026   </w:t>
      </w:r>
      <w:r>
        <w:rPr>
          <w:rFonts w:ascii="Arial" w:cs="Arial" w:eastAsia="Arial" w:hAnsi="Arial"/>
          <w:b/>
          <w:bCs/>
          <w:i w:val="false"/>
          <w:iCs w:val="false"/>
          <w:color w:val="000000"/>
          <w:sz w:val="22"/>
          <w:szCs w:val="22"/>
        </w:rPr>
        <w:t xml:space="preserve">Status: </w:t>
      </w:r>
      <w:r>
        <w:rPr>
          <w:rFonts w:ascii="Arial" w:cs="Arial" w:eastAsia="Arial" w:hAnsi="Arial"/>
          <w:b w:val="false"/>
          <w:bCs w:val="false"/>
          <w:i/>
          <w:iCs/>
          <w:color w:val="000000"/>
          <w:sz w:val="22"/>
          <w:szCs w:val="22"/>
        </w:rPr>
        <w:t xml:space="preserve">Draft for Andrew Moore review</w:t>
      </w:r>
    </w:p>
    <w:p>
      <w:pPr>
        <w:pStyle w:val="Heading2"/>
      </w:pPr>
      <w:r>
        <w:rPr>
          <w:b/>
          <w:bCs/>
        </w:rPr>
        <w:t xml:space="preserve">Purpose</w:t>
      </w:r>
    </w:p>
    <w:p>
      <w:pPr>
        <w:spacing w:after="200" w:before="0"/>
        <w:jc w:val="left"/>
      </w:pPr>
      <w:r>
        <w:rPr>
          <w:rFonts w:ascii="Arial" w:cs="Arial" w:eastAsia="Arial" w:hAnsi="Arial"/>
          <w:b w:val="false"/>
          <w:bCs w:val="false"/>
          <w:i w:val="false"/>
          <w:iCs w:val="false"/>
          <w:color w:val="000000"/>
          <w:sz w:val="22"/>
          <w:szCs w:val="22"/>
        </w:rPr>
        <w:t xml:space="preserve">This document captures the agreed evidence and invoice content requirements per claim type, following the testing session on 29 April 2026 and your subsequent reply. The Notewell system has now been extended with an NRES Verifier role that captures structured data (name, role, GL category, dates, hours and rate) at the point of claim submission, so that data is now passed straight through to the PML invoice — directly addressing the concern raised in our meeting that screenshot evidence alone would not give finance the breakdown they need for SAGE Intact.</w:t>
      </w:r>
    </w:p>
    <w:p>
      <w:pPr>
        <w:spacing w:after="240" w:before="0"/>
        <w:jc w:val="left"/>
      </w:pPr>
      <w:r>
        <w:rPr>
          <w:rFonts w:ascii="Arial" w:cs="Arial" w:eastAsia="Arial" w:hAnsi="Arial"/>
          <w:b w:val="false"/>
          <w:bCs w:val="false"/>
          <w:i w:val="false"/>
          <w:iCs w:val="false"/>
          <w:color w:val="000000"/>
          <w:sz w:val="22"/>
          <w:szCs w:val="22"/>
        </w:rPr>
        <w:t xml:space="preserve">Please mark up the matrix below and return — once agreed, I will lock the evidence configuration in Notewell and we can run a final test ahead of the April claim window opening.</w:t>
      </w:r>
    </w:p>
    <w:p>
      <w:pPr>
        <w:pStyle w:val="Heading2"/>
      </w:pPr>
      <w:r>
        <w:rPr>
          <w:b/>
          <w:bCs/>
        </w:rPr>
        <w:t xml:space="preserve">What has changed since 29 April</w:t>
      </w:r>
    </w:p>
    <w:p>
      <w:pPr>
        <w:spacing w:after="120" w:before="0"/>
        <w:jc w:val="left"/>
      </w:pPr>
      <w:r>
        <w:rPr>
          <w:rFonts w:ascii="Arial" w:cs="Arial" w:eastAsia="Arial" w:hAnsi="Arial"/>
          <w:b w:val="false"/>
          <w:bCs w:val="false"/>
          <w:i w:val="false"/>
          <w:iCs w:val="false"/>
          <w:color w:val="000000"/>
          <w:sz w:val="22"/>
          <w:szCs w:val="22"/>
        </w:rPr>
        <w:t xml:space="preserve">Following the meeting, the following has been built into Notewell:</w:t>
      </w:r>
    </w:p>
    <w:p>
      <w:pPr>
        <w:pStyle w:val="ListParagraph"/>
        <w:numPr>
          <w:ilvl w:val="0"/>
          <w:numId w:val="2"/>
        </w:numPr>
        <w:spacing w:after="80"/>
      </w:pPr>
      <w:r>
        <w:rPr>
          <w:rFonts w:ascii="Arial" w:cs="Arial" w:eastAsia="Arial" w:hAnsi="Arial"/>
          <w:sz w:val="22"/>
          <w:szCs w:val="22"/>
        </w:rPr>
        <w:t xml:space="preserve">New NRES Verifier role with structured line-entry: name, role, GL category, date(s), start/end times, hours and rate are now captured as data fields, not just as screenshot evidence.</w:t>
      </w:r>
    </w:p>
    <w:p>
      <w:pPr>
        <w:pStyle w:val="ListParagraph"/>
        <w:numPr>
          <w:ilvl w:val="0"/>
          <w:numId w:val="2"/>
        </w:numPr>
        <w:spacing w:after="80"/>
      </w:pPr>
      <w:r>
        <w:rPr>
          <w:rFonts w:ascii="Arial" w:cs="Arial" w:eastAsia="Arial" w:hAnsi="Arial"/>
          <w:sz w:val="22"/>
          <w:szCs w:val="22"/>
        </w:rPr>
        <w:t xml:space="preserve">Invoice PDF generator updated to render this line-level detail in a table on the invoice itself, in the format requested by PML and required by SAGE Intact.</w:t>
      </w:r>
    </w:p>
    <w:p>
      <w:pPr>
        <w:pStyle w:val="ListParagraph"/>
        <w:numPr>
          <w:ilvl w:val="0"/>
          <w:numId w:val="2"/>
        </w:numPr>
        <w:spacing w:after="80"/>
      </w:pPr>
      <w:r>
        <w:rPr>
          <w:rFonts w:ascii="Arial" w:cs="Arial" w:eastAsia="Arial" w:hAnsi="Arial"/>
          <w:sz w:val="22"/>
          <w:szCs w:val="22"/>
        </w:rPr>
        <w:t xml:space="preserve">Voice dictation and quick date/start/stop entry built into the Verifier interface to keep practice-side admin burden minimal.</w:t>
      </w:r>
    </w:p>
    <w:p>
      <w:pPr>
        <w:pStyle w:val="ListParagraph"/>
        <w:numPr>
          <w:ilvl w:val="0"/>
          <w:numId w:val="2"/>
        </w:numPr>
        <w:spacing w:after="80"/>
      </w:pPr>
      <w:r>
        <w:rPr>
          <w:rFonts w:ascii="Arial" w:cs="Arial" w:eastAsia="Arial" w:hAnsi="Arial"/>
          <w:sz w:val="22"/>
          <w:szCs w:val="22"/>
        </w:rPr>
        <w:t xml:space="preserve">Evidence uploads continue to sit in Notewell as the audit trail and will be attached to the finance email on approval, alongside the invoice.</w:t>
      </w:r>
    </w:p>
    <w:p>
      <w:pPr>
        <w:spacing w:after="240" w:before="0"/>
        <w:jc w:val="left"/>
      </w:pPr>
      <w:r>
        <w:rPr>
          <w:rFonts w:ascii="Arial" w:cs="Arial" w:eastAsia="Arial" w:hAnsi="Arial"/>
          <w:b w:val="false"/>
          <w:bCs w:val="false"/>
          <w:i w:val="false"/>
          <w:iCs w:val="false"/>
          <w:color w:val="000000"/>
          <w:sz w:val="22"/>
          <w:szCs w:val="22"/>
        </w:rPr>
        <w:t xml:space="preserve">This means the workflow Andrew described — line-by-line dates and hours visible on the invoice, with backing evidence available — is now achievable without requiring practices to duplicate effort.</w:t>
      </w:r>
    </w:p>
    <w:p>
      <w:pPr>
        <w:pStyle w:val="Heading2"/>
      </w:pPr>
      <w:r>
        <w:rPr>
          <w:b/>
          <w:bCs/>
        </w:rPr>
        <w:t xml:space="preserve">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00" w:before="0"/>
              <w:jc w:val="left"/>
            </w:pPr>
            <w:r>
              <w:rPr>
                <w:rFonts w:ascii="Arial" w:cs="Arial" w:eastAsia="Arial" w:hAnsi="Arial"/>
                <w:b/>
                <w:bCs/>
                <w:i w:val="false"/>
                <w:iCs w:val="false"/>
                <w:color w:val="C00000"/>
                <w:sz w:val="22"/>
                <w:szCs w:val="22"/>
              </w:rPr>
              <w:t xml:space="preserve">R</w:t>
            </w:r>
            <w:r>
              <w:rPr>
                <w:rFonts w:ascii="Arial" w:cs="Arial" w:eastAsia="Arial" w:hAnsi="Arial"/>
                <w:b w:val="false"/>
                <w:bCs w:val="false"/>
                <w:i w:val="false"/>
                <w:iCs w:val="false"/>
                <w:color w:val="000000"/>
                <w:sz w:val="20"/>
                <w:szCs w:val="20"/>
              </w:rPr>
              <w:t xml:space="preserve">  Required</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00" w:before="0"/>
              <w:jc w:val="left"/>
            </w:pPr>
            <w:r>
              <w:rPr>
                <w:rFonts w:ascii="Arial" w:cs="Arial" w:eastAsia="Arial" w:hAnsi="Arial"/>
                <w:b/>
                <w:bCs/>
                <w:i w:val="false"/>
                <w:iCs w:val="false"/>
                <w:color w:val="806000"/>
                <w:sz w:val="22"/>
                <w:szCs w:val="22"/>
              </w:rPr>
              <w:t xml:space="preserve">O</w:t>
            </w:r>
            <w:r>
              <w:rPr>
                <w:rFonts w:ascii="Arial" w:cs="Arial" w:eastAsia="Arial" w:hAnsi="Arial"/>
                <w:b w:val="false"/>
                <w:bCs w:val="false"/>
                <w:i w:val="false"/>
                <w:iCs w:val="false"/>
                <w:color w:val="000000"/>
                <w:sz w:val="20"/>
                <w:szCs w:val="20"/>
              </w:rPr>
              <w:t xml:space="preserve">  Optional</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00" w:before="0"/>
              <w:jc w:val="left"/>
            </w:pPr>
            <w:r>
              <w:rPr>
                <w:rFonts w:ascii="Arial" w:cs="Arial" w:eastAsia="Arial" w:hAnsi="Arial"/>
                <w:b/>
                <w:bCs/>
                <w:i w:val="false"/>
                <w:iCs w:val="false"/>
                <w:color w:val="808080"/>
                <w:sz w:val="22"/>
                <w:szCs w:val="22"/>
              </w:rPr>
              <w:t xml:space="preserve">–</w:t>
            </w:r>
            <w:r>
              <w:rPr>
                <w:rFonts w:ascii="Arial" w:cs="Arial" w:eastAsia="Arial" w:hAnsi="Arial"/>
                <w:b w:val="false"/>
                <w:bCs w:val="false"/>
                <w:i w:val="false"/>
                <w:iCs w:val="false"/>
                <w:color w:val="000000"/>
                <w:sz w:val="20"/>
                <w:szCs w:val="20"/>
              </w:rPr>
              <w:t xml:space="preserve">  Not applicable</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00" w:before="0"/>
              <w:jc w:val="left"/>
            </w:pPr>
            <w:r>
              <w:rPr>
                <w:rFonts w:ascii="Arial" w:cs="Arial" w:eastAsia="Arial" w:hAnsi="Arial"/>
                <w:b/>
                <w:bCs/>
                <w:i w:val="false"/>
                <w:iCs w:val="false"/>
                <w:color w:val="7030A0"/>
                <w:sz w:val="22"/>
                <w:szCs w:val="22"/>
              </w:rPr>
              <w:t xml:space="preserve">?</w:t>
            </w:r>
            <w:r>
              <w:rPr>
                <w:rFonts w:ascii="Arial" w:cs="Arial" w:eastAsia="Arial" w:hAnsi="Arial"/>
                <w:b w:val="false"/>
                <w:bCs w:val="false"/>
                <w:i w:val="false"/>
                <w:iCs w:val="false"/>
                <w:color w:val="000000"/>
                <w:sz w:val="20"/>
                <w:szCs w:val="20"/>
              </w:rPr>
              <w:t xml:space="preserve">  Decision needed</w:t>
            </w:r>
          </w:p>
        </w:tc>
        <w:tc>
          <w:tcPr>
            <w:tcW w:type="dxa" w:w="1872"/>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100" w:before="0"/>
              <w:jc w:val="left"/>
            </w:pPr>
            <w:r>
              <w:rPr>
                <w:rFonts w:ascii="Arial" w:cs="Arial" w:eastAsia="Arial" w:hAnsi="Arial"/>
                <w:b/>
                <w:bCs/>
                <w:i w:val="false"/>
                <w:iCs w:val="false"/>
                <w:color w:val="385723"/>
                <w:sz w:val="22"/>
                <w:szCs w:val="22"/>
              </w:rPr>
              <w:t xml:space="preserve">✓</w:t>
            </w:r>
            <w:r>
              <w:rPr>
                <w:rFonts w:ascii="Arial" w:cs="Arial" w:eastAsia="Arial" w:hAnsi="Arial"/>
                <w:b w:val="false"/>
                <w:bCs w:val="false"/>
                <w:i w:val="false"/>
                <w:iCs w:val="false"/>
                <w:color w:val="000000"/>
                <w:sz w:val="20"/>
                <w:szCs w:val="20"/>
              </w:rPr>
              <w:t xml:space="preserve">  System captured</w:t>
            </w:r>
          </w:p>
        </w:tc>
      </w:tr>
    </w:tbl>
    <w:p>
      <w:pPr>
        <w:spacing w:after="120" w:before="0"/>
        <w:jc w:val="left"/>
      </w:pPr>
      <w:r>
        <w:rPr>
          <w:rFonts w:ascii="Arial" w:cs="Arial" w:eastAsia="Arial" w:hAnsi="Arial"/>
          <w:b w:val="false"/>
          <w:bCs w:val="false"/>
          <w:i w:val="false"/>
          <w:iCs w:val="false"/>
          <w:color w:val="000000"/>
          <w:sz w:val="22"/>
          <w:szCs w:val="22"/>
        </w:rPr>
        <w:t xml:space="preserve"> </w:t>
      </w:r>
    </w:p>
    <w:p>
      <w:pPr>
        <w:pStyle w:val="Heading2"/>
      </w:pPr>
      <w:r>
        <w:rPr>
          <w:b/>
          <w:bCs/>
        </w:rPr>
        <w:t xml:space="preserve">Table 1 — Data items shown on the invoice</w:t>
      </w:r>
    </w:p>
    <w:p>
      <w:pPr>
        <w:spacing w:after="160" w:before="0"/>
        <w:jc w:val="left"/>
      </w:pPr>
      <w:r>
        <w:rPr>
          <w:rFonts w:ascii="Arial" w:cs="Arial" w:eastAsia="Arial" w:hAnsi="Arial"/>
          <w:b w:val="false"/>
          <w:bCs w:val="false"/>
          <w:i w:val="false"/>
          <w:iCs w:val="false"/>
          <w:color w:val="000000"/>
          <w:sz w:val="22"/>
          <w:szCs w:val="22"/>
        </w:rPr>
        <w:t xml:space="preserve">These fields are now captured by the NRES Verifier role and rendered in the invoice PDF that goes to PML finance. Please confirm completeness for each claim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Data item on invoice</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GP Locum</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New SDA</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Buy-Back</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NRES Mgmt</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Meeting Att.</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Name (or unique identifier)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GL category (GP / ANP / non-clinical etc.)</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Date(s) worked</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Hours worked (e.g. 9am–6pm, 8.5 hrs)</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Sessions claimed</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Rate being claimed</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Practice bank details</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Practice ODS code &amp; invoice sequence (auto)</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Meeting title / purpose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bl>
    <w:p>
      <w:pPr>
        <w:spacing w:after="120" w:before="0"/>
        <w:jc w:val="left"/>
      </w:pPr>
      <w:r>
        <w:rPr>
          <w:rFonts w:ascii="Arial" w:cs="Arial" w:eastAsia="Arial" w:hAnsi="Arial"/>
          <w:b w:val="false"/>
          <w:bCs w:val="false"/>
          <w:i w:val="false"/>
          <w:iCs w:val="false"/>
          <w:color w:val="000000"/>
          <w:sz w:val="22"/>
          <w:szCs w:val="22"/>
        </w:rPr>
        <w:t xml:space="preserve"> </w:t>
      </w:r>
    </w:p>
    <w:p>
      <w:pPr>
        <w:pStyle w:val="Heading2"/>
      </w:pPr>
      <w:r>
        <w:rPr>
          <w:b/>
          <w:bCs/>
        </w:rPr>
        <w:t xml:space="preserve">Table 2 — Supporting evidence uploaded to Notewell</w:t>
      </w:r>
    </w:p>
    <w:p>
      <w:pPr>
        <w:spacing w:after="160" w:before="0"/>
        <w:jc w:val="left"/>
      </w:pPr>
      <w:r>
        <w:rPr>
          <w:rFonts w:ascii="Arial" w:cs="Arial" w:eastAsia="Arial" w:hAnsi="Arial"/>
          <w:b w:val="false"/>
          <w:bCs w:val="false"/>
          <w:i w:val="false"/>
          <w:iCs w:val="false"/>
          <w:color w:val="000000"/>
          <w:sz w:val="22"/>
          <w:szCs w:val="22"/>
        </w:rPr>
        <w:t xml:space="preserve">The audit trail attached to each claim, available to you as SNO during approval and forwarded with the invoice email to PML finance for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Supporting evidence in Notewell</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GP Locum</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New SDA</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Buy-Back</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NRES Mgmt</w:t>
            </w:r>
          </w:p>
        </w:tc>
        <w:tc>
          <w:tcPr>
            <w:tcW w:type="dxa" w:w="1272"/>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Meeting Att.</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Signed timesheet / rota screenshot</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Locum invoice (locum to practice)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GMC number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6000"/>
                <w:sz w:val="22"/>
                <w:szCs w:val="22"/>
              </w:rPr>
              <w:t xml:space="preserve">O</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Indemnity confirmation</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7030A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Contract of employment</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Job description</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Start date evidence (offer letter / payroll)</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Existing contract (redacted as needed)</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Pay slip extract (redaction policy — see Q3)</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7030A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Part B substantiation (rota / SDA slot evidence)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Clinical system slot type screenshot (SDA slots)</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Meeting agenda / minutes / attendance list</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806000"/>
                <w:sz w:val="22"/>
                <w:szCs w:val="22"/>
              </w:rPr>
              <w:t xml:space="preserve">O</w:t>
            </w:r>
          </w:p>
        </w:tc>
        <w:tc>
          <w:tcPr>
            <w:tcW w:type="dxa" w:w="1272"/>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NRES management activity log / hours summary</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C00000"/>
                <w:sz w:val="22"/>
                <w:szCs w:val="22"/>
              </w:rPr>
              <w:t xml:space="preserve">R</w:t>
            </w:r>
          </w:p>
        </w:tc>
        <w:tc>
          <w:tcPr>
            <w:tcW w:type="dxa" w:w="1272"/>
            <w:tcBorders>
              <w:top w:val="single" w:color="BFBFBF" w:sz="4"/>
              <w:left w:val="single" w:color="BFBFBF" w:sz="4"/>
              <w:bottom w:val="single" w:color="BFBFBF" w:sz="4"/>
              <w:right w:val="single" w:color="BFBFBF" w:sz="4"/>
            </w:tcBorders>
            <w:tcMar>
              <w:top w:type="dxa" w:w="100"/>
              <w:left w:type="dxa" w:w="80"/>
              <w:bottom w:type="dxa" w:w="100"/>
              <w:right w:type="dxa" w:w="80"/>
            </w:tcMar>
          </w:tcPr>
          <w:p>
            <w:pPr>
              <w:jc w:val="center"/>
            </w:pPr>
            <w:r>
              <w:rPr>
                <w:rFonts w:ascii="Arial" w:cs="Arial" w:eastAsia="Arial" w:hAnsi="Arial"/>
                <w:b/>
                <w:bCs/>
                <w:color w:val="808080"/>
                <w:sz w:val="22"/>
                <w:szCs w:val="22"/>
              </w:rPr>
              <w:t xml:space="preserve">–</w:t>
            </w:r>
          </w:p>
        </w:tc>
      </w:tr>
    </w:tbl>
    <w:p>
      <w:pPr>
        <w:spacing w:after="120" w:before="0"/>
        <w:jc w:val="left"/>
      </w:pPr>
      <w:r>
        <w:rPr>
          <w:rFonts w:ascii="Arial" w:cs="Arial" w:eastAsia="Arial" w:hAnsi="Arial"/>
          <w:b w:val="false"/>
          <w:bCs w:val="false"/>
          <w:i w:val="false"/>
          <w:iCs w:val="false"/>
          <w:color w:val="000000"/>
          <w:sz w:val="22"/>
          <w:szCs w:val="22"/>
        </w:rPr>
        <w:t xml:space="preserve"> </w:t>
      </w:r>
    </w:p>
    <w:p>
      <w:pPr>
        <w:pStyle w:val="Heading2"/>
      </w:pPr>
      <w:r>
        <w:rPr>
          <w:b/>
          <w:bCs/>
        </w:rPr>
        <w:t xml:space="preserve">Table 3 — Open questions for your decision</w:t>
      </w:r>
    </w:p>
    <w:p>
      <w:pPr>
        <w:spacing w:after="160" w:before="0"/>
        <w:jc w:val="left"/>
      </w:pPr>
      <w:r>
        <w:rPr>
          <w:rFonts w:ascii="Arial" w:cs="Arial" w:eastAsia="Arial" w:hAnsi="Arial"/>
          <w:b w:val="false"/>
          <w:bCs w:val="false"/>
          <w:i w:val="false"/>
          <w:iCs w:val="false"/>
          <w:color w:val="000000"/>
          <w:sz w:val="22"/>
          <w:szCs w:val="22"/>
        </w:rPr>
        <w:t xml:space="preserve">Please mark up the right-hand column with your preference. Defaults assumed if no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Question</w:t>
            </w:r>
          </w:p>
        </w:tc>
        <w:tc>
          <w:tcPr>
            <w:tcW w:type="dxa" w:w="4060"/>
            <w:tcBorders>
              <w:top w:val="single" w:color="BFBFBF" w:sz="4"/>
              <w:left w:val="single" w:color="BFBFBF" w:sz="4"/>
              <w:bottom w:val="single" w:color="BFBFBF" w:sz="4"/>
              <w:right w:val="single" w:color="BFBFBF" w:sz="4"/>
            </w:tcBorders>
            <w:shd w:fill="1F4E79"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Notes / Andrew's response</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rFonts w:ascii="Arial" w:cs="Arial" w:eastAsia="Arial" w:hAnsi="Arial"/>
                <w:b/>
                <w:bCs/>
                <w:color w:val="000000"/>
                <w:sz w:val="20"/>
                <w:szCs w:val="20"/>
              </w:rPr>
              <w:t xml:space="preserve">Q1</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Is indemnity confirmation standard for GP locum claims, or only where the locum isn't on a known agency?</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You flagged uncertainty in your reply.</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Q2</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For buy-back, is a redacted pay slip needed in addition to the existing contract, or is the contract sufficient?</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Avoids duplication if the contract already evidences role and rate.</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rFonts w:ascii="Arial" w:cs="Arial" w:eastAsia="Arial" w:hAnsi="Arial"/>
                <w:b/>
                <w:bCs/>
                <w:color w:val="000000"/>
                <w:sz w:val="20"/>
                <w:szCs w:val="20"/>
              </w:rPr>
              <w:t xml:space="preserve">Q3</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Redaction policy on pay slips and contracts: confirmed OK to redact NI number, home address, bank details — name (or unique identifier) retained. Please confirm.</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Discussed in 29 Apr meeting; confirming for record.</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Q4</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For buy-back, is a rota screenshot sufficient to substantiate Part B, or do you also want a written narrative from the practice on the Part A / Part B split?</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Affects practice burden — keen to keep light-touch.</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rFonts w:ascii="Arial" w:cs="Arial" w:eastAsia="Arial" w:hAnsi="Arial"/>
                <w:b/>
                <w:bCs/>
                <w:color w:val="000000"/>
                <w:sz w:val="20"/>
                <w:szCs w:val="20"/>
              </w:rPr>
              <w:t xml:space="preserve">Q5</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For NRES Management monthly claims (Malcolm / Amanda / Lucy at 8 hrs/wk), is a simple monthly hours summary enough, or do you want activity-level detail?</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Default summary unless you say otherwise.</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Q6</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For Meeting Attendance (£100/hr GP, £50/hr PM), is meeting date + title + duration enough, or do you also want minutes / attendance list as evidence?</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Lighter touch preferred unless audit need.</w:t>
            </w:r>
          </w:p>
        </w:tc>
      </w:tr>
      <w:tr>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rPr>
                <w:rFonts w:ascii="Arial" w:cs="Arial" w:eastAsia="Arial" w:hAnsi="Arial"/>
                <w:b/>
                <w:bCs/>
                <w:color w:val="000000"/>
                <w:sz w:val="20"/>
                <w:szCs w:val="20"/>
              </w:rPr>
              <w:t xml:space="preserve">Q7</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Are there any other claim types you anticipate (e.g. training backfill, project work) that we should configure now rather than retrofit?</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rFonts w:ascii="Arial" w:cs="Arial" w:eastAsia="Arial" w:hAnsi="Arial"/>
                <w:b w:val="false"/>
                <w:bCs w:val="false"/>
                <w:color w:val="595959"/>
                <w:sz w:val="20"/>
                <w:szCs w:val="20"/>
              </w:rPr>
              <w:t xml:space="preserve">Easier to build in upfront.</w:t>
            </w:r>
          </w:p>
        </w:tc>
      </w:tr>
    </w:tbl>
    <w:p>
      <w:pPr>
        <w:spacing w:after="240" w:before="0"/>
        <w:jc w:val="left"/>
      </w:pPr>
      <w:r>
        <w:rPr>
          <w:rFonts w:ascii="Arial" w:cs="Arial" w:eastAsia="Arial" w:hAnsi="Arial"/>
          <w:b w:val="false"/>
          <w:bCs w:val="false"/>
          <w:i w:val="false"/>
          <w:iCs w:val="false"/>
          <w:color w:val="000000"/>
          <w:sz w:val="22"/>
          <w:szCs w:val="22"/>
        </w:rPr>
        <w:t xml:space="preserve"> </w:t>
      </w:r>
    </w:p>
    <w:p>
      <w:pPr>
        <w:pStyle w:val="Heading2"/>
      </w:pPr>
      <w:r>
        <w:rPr>
          <w:b/>
          <w:bCs/>
        </w:rPr>
        <w:t xml:space="preserve">Next steps</w:t>
      </w:r>
    </w:p>
    <w:p>
      <w:pPr>
        <w:pStyle w:val="ListParagraph"/>
        <w:numPr>
          <w:ilvl w:val="0"/>
          <w:numId w:val="2"/>
        </w:numPr>
        <w:spacing w:after="80"/>
      </w:pPr>
      <w:r>
        <w:rPr>
          <w:rFonts w:ascii="Arial" w:cs="Arial" w:eastAsia="Arial" w:hAnsi="Arial"/>
          <w:sz w:val="22"/>
          <w:szCs w:val="22"/>
        </w:rPr>
        <w:t xml:space="preserve">Andrew to mark up Tables 1–3 and return.</w:t>
      </w:r>
    </w:p>
    <w:p>
      <w:pPr>
        <w:pStyle w:val="ListParagraph"/>
        <w:numPr>
          <w:ilvl w:val="0"/>
          <w:numId w:val="2"/>
        </w:numPr>
        <w:spacing w:after="80"/>
      </w:pPr>
      <w:r>
        <w:rPr>
          <w:rFonts w:ascii="Arial" w:cs="Arial" w:eastAsia="Arial" w:hAnsi="Arial"/>
          <w:sz w:val="22"/>
          <w:szCs w:val="22"/>
        </w:rPr>
        <w:t xml:space="preserve">Malcolm to lock the evidence configuration in Notewell once requirements are agreed.</w:t>
      </w:r>
    </w:p>
    <w:p>
      <w:pPr>
        <w:pStyle w:val="ListParagraph"/>
        <w:numPr>
          <w:ilvl w:val="0"/>
          <w:numId w:val="2"/>
        </w:numPr>
        <w:spacing w:after="80"/>
      </w:pPr>
      <w:r>
        <w:rPr>
          <w:rFonts w:ascii="Arial" w:cs="Arial" w:eastAsia="Arial" w:hAnsi="Arial"/>
          <w:sz w:val="22"/>
          <w:szCs w:val="22"/>
        </w:rPr>
        <w:t xml:space="preserve">Final walkthrough with Andrew, Amanda, Lucy and Nella before the April claim window opens.</w:t>
      </w:r>
    </w:p>
    <w:p>
      <w:pPr>
        <w:pStyle w:val="ListParagraph"/>
        <w:numPr>
          <w:ilvl w:val="0"/>
          <w:numId w:val="2"/>
        </w:numPr>
        <w:spacing w:after="80"/>
      </w:pPr>
      <w:r>
        <w:rPr>
          <w:rFonts w:ascii="Arial" w:cs="Arial" w:eastAsia="Arial" w:hAnsi="Arial"/>
          <w:sz w:val="22"/>
          <w:szCs w:val="22"/>
        </w:rPr>
        <w:t xml:space="preserve">Manual paper-based fallback retained as the backout plan if any issue arises at go-live.</w:t>
      </w:r>
    </w:p>
    <w:p>
      <w:pPr>
        <w:spacing w:after="200" w:before="0"/>
        <w:jc w:val="left"/>
      </w:pPr>
      <w:r>
        <w:rPr>
          <w:rFonts w:ascii="Arial" w:cs="Arial" w:eastAsia="Arial" w:hAnsi="Arial"/>
          <w:b w:val="false"/>
          <w:bCs w:val="false"/>
          <w:i w:val="false"/>
          <w:iCs w:val="false"/>
          <w:color w:val="000000"/>
          <w:sz w:val="22"/>
          <w:szCs w:val="22"/>
        </w:rPr>
        <w:t xml:space="preserve"> </w:t>
      </w:r>
    </w:p>
    <w:p>
      <w:pPr>
        <w:pStyle w:val="Heading2"/>
      </w:pPr>
      <w:r>
        <w:rPr>
          <w:b/>
          <w:bCs/>
        </w:rPr>
        <w:t xml:space="preserve">Sign-off — Andrew Moore (PML / SNO)</w:t>
      </w:r>
    </w:p>
    <w:p>
      <w:pPr>
        <w:spacing w:after="200" w:before="0"/>
        <w:jc w:val="left"/>
      </w:pPr>
      <w:r>
        <w:rPr>
          <w:rFonts w:ascii="Arial" w:cs="Arial" w:eastAsia="Arial" w:hAnsi="Arial"/>
          <w:b w:val="false"/>
          <w:bCs w:val="false"/>
          <w:i w:val="false"/>
          <w:iCs w:val="false"/>
          <w:color w:val="000000"/>
          <w:sz w:val="22"/>
          <w:szCs w:val="22"/>
        </w:rPr>
        <w:t xml:space="preserve">By signing below, the SNO confirms agreement to the evidence and invoice content requirements set out in Tables 1 and 2, subject to any amendments noted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2F2F2" w:val="clear"/>
            <w:tcMar>
              <w:top w:type="dxa" w:w="200"/>
              <w:left w:type="dxa" w:w="120"/>
              <w:bottom w:type="dxa" w:w="200"/>
              <w:right w:type="dxa" w:w="120"/>
            </w:tcMar>
          </w:tcPr>
          <w:p>
            <w:pPr>
              <w:spacing w:after="100" w:before="0"/>
              <w:jc w:val="left"/>
            </w:pPr>
            <w:r>
              <w:rPr>
                <w:rFonts w:ascii="Arial" w:cs="Arial" w:eastAsia="Arial" w:hAnsi="Arial"/>
                <w:b/>
                <w:bCs/>
                <w:i w:val="false"/>
                <w:iCs w:val="false"/>
                <w:color w:val="000000"/>
                <w:sz w:val="22"/>
                <w:szCs w:val="22"/>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20"/>
              <w:bottom w:type="dxa" w:w="200"/>
              <w:right w:type="dxa" w:w="120"/>
            </w:tcMar>
          </w:tcPr>
          <w:p>
            <w:pPr>
              <w:spacing w:after="100" w:before="0"/>
              <w:jc w:val="left"/>
            </w:pPr>
            <w:r>
              <w:rPr>
                <w:rFonts w:ascii="Arial" w:cs="Arial" w:eastAsia="Arial" w:hAnsi="Arial"/>
                <w:b w:val="false"/>
                <w:bCs w:val="false"/>
                <w:i w:val="false"/>
                <w:iCs w:val="false"/>
                <w:color w:val="000000"/>
                <w:sz w:val="22"/>
                <w:szCs w:val="22"/>
              </w:rPr>
              <w:t xml:space="preserve"> </w:t>
            </w:r>
          </w:p>
        </w:tc>
      </w:tr>
      <w:tr>
        <w:tc>
          <w:tcPr>
            <w:tcW w:type="dxa" w:w="4680"/>
            <w:tcBorders>
              <w:top w:val="single" w:color="BFBFBF" w:sz="4"/>
              <w:left w:val="single" w:color="BFBFBF" w:sz="4"/>
              <w:bottom w:val="single" w:color="BFBFBF" w:sz="4"/>
              <w:right w:val="single" w:color="BFBFBF" w:sz="4"/>
            </w:tcBorders>
            <w:shd w:fill="F2F2F2" w:val="clear"/>
            <w:tcMar>
              <w:top w:type="dxa" w:w="200"/>
              <w:left w:type="dxa" w:w="120"/>
              <w:bottom w:type="dxa" w:w="200"/>
              <w:right w:type="dxa" w:w="120"/>
            </w:tcMar>
          </w:tcPr>
          <w:p>
            <w:pPr>
              <w:spacing w:after="100" w:before="0"/>
              <w:jc w:val="left"/>
            </w:pPr>
            <w:r>
              <w:rPr>
                <w:rFonts w:ascii="Arial" w:cs="Arial" w:eastAsia="Arial" w:hAnsi="Arial"/>
                <w:b/>
                <w:bCs/>
                <w:i w:val="false"/>
                <w:iCs w:val="false"/>
                <w:color w:val="000000"/>
                <w:sz w:val="22"/>
                <w:szCs w:val="22"/>
              </w:rPr>
              <w:t xml:space="preserve">Role</w:t>
            </w:r>
          </w:p>
        </w:tc>
        <w:tc>
          <w:tcPr>
            <w:tcW w:type="dxa" w:w="4680"/>
            <w:tcBorders>
              <w:top w:val="single" w:color="BFBFBF" w:sz="4"/>
              <w:left w:val="single" w:color="BFBFBF" w:sz="4"/>
              <w:bottom w:val="single" w:color="BFBFBF" w:sz="4"/>
              <w:right w:val="single" w:color="BFBFBF" w:sz="4"/>
            </w:tcBorders>
            <w:tcMar>
              <w:top w:type="dxa" w:w="200"/>
              <w:left w:type="dxa" w:w="120"/>
              <w:bottom w:type="dxa" w:w="200"/>
              <w:right w:type="dxa" w:w="120"/>
            </w:tcMar>
          </w:tcPr>
          <w:p>
            <w:pPr>
              <w:spacing w:after="100" w:before="0"/>
              <w:jc w:val="left"/>
            </w:pPr>
            <w:r>
              <w:rPr>
                <w:rFonts w:ascii="Arial" w:cs="Arial" w:eastAsia="Arial" w:hAnsi="Arial"/>
                <w:b w:val="false"/>
                <w:bCs w:val="false"/>
                <w:i w:val="false"/>
                <w:iCs w:val="false"/>
                <w:color w:val="000000"/>
                <w:sz w:val="22"/>
                <w:szCs w:val="22"/>
              </w:rPr>
              <w:t xml:space="preserve"> </w:t>
            </w:r>
          </w:p>
        </w:tc>
      </w:tr>
      <w:tr>
        <w:tc>
          <w:tcPr>
            <w:tcW w:type="dxa" w:w="4680"/>
            <w:tcBorders>
              <w:top w:val="single" w:color="BFBFBF" w:sz="4"/>
              <w:left w:val="single" w:color="BFBFBF" w:sz="4"/>
              <w:bottom w:val="single" w:color="BFBFBF" w:sz="4"/>
              <w:right w:val="single" w:color="BFBFBF" w:sz="4"/>
            </w:tcBorders>
            <w:shd w:fill="F2F2F2" w:val="clear"/>
            <w:tcMar>
              <w:top w:type="dxa" w:w="200"/>
              <w:left w:type="dxa" w:w="120"/>
              <w:bottom w:type="dxa" w:w="200"/>
              <w:right w:type="dxa" w:w="120"/>
            </w:tcMar>
          </w:tcPr>
          <w:p>
            <w:pPr>
              <w:spacing w:after="100" w:before="0"/>
              <w:jc w:val="left"/>
            </w:pPr>
            <w:r>
              <w:rPr>
                <w:rFonts w:ascii="Arial" w:cs="Arial" w:eastAsia="Arial" w:hAnsi="Arial"/>
                <w:b/>
                <w:bCs/>
                <w:i w:val="false"/>
                <w:iCs w:val="false"/>
                <w:color w:val="000000"/>
                <w:sz w:val="22"/>
                <w:szCs w:val="22"/>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20"/>
              <w:bottom w:type="dxa" w:w="200"/>
              <w:right w:type="dxa" w:w="120"/>
            </w:tcMar>
          </w:tcPr>
          <w:p>
            <w:pPr>
              <w:spacing w:after="100" w:before="0"/>
              <w:jc w:val="left"/>
            </w:pPr>
            <w:r>
              <w:rPr>
                <w:rFonts w:ascii="Arial" w:cs="Arial" w:eastAsia="Arial" w:hAnsi="Arial"/>
                <w:b w:val="false"/>
                <w:bCs w:val="false"/>
                <w:i w:val="false"/>
                <w:iCs w:val="false"/>
                <w:color w:val="000000"/>
                <w:sz w:val="22"/>
                <w:szCs w:val="22"/>
              </w:rPr>
              <w:t xml:space="preserve"> </w:t>
            </w:r>
          </w:p>
        </w:tc>
      </w:tr>
      <w:tr>
        <w:tc>
          <w:tcPr>
            <w:tcW w:type="dxa" w:w="4680"/>
            <w:tcBorders>
              <w:top w:val="single" w:color="BFBFBF" w:sz="4"/>
              <w:left w:val="single" w:color="BFBFBF" w:sz="4"/>
              <w:bottom w:val="single" w:color="BFBFBF" w:sz="4"/>
              <w:right w:val="single" w:color="BFBFBF" w:sz="4"/>
            </w:tcBorders>
            <w:shd w:fill="F2F2F2" w:val="clear"/>
            <w:tcMar>
              <w:top w:type="dxa" w:w="200"/>
              <w:left w:type="dxa" w:w="120"/>
              <w:bottom w:type="dxa" w:w="200"/>
              <w:right w:type="dxa" w:w="120"/>
            </w:tcMar>
          </w:tcPr>
          <w:p>
            <w:pPr>
              <w:spacing w:after="100" w:before="0"/>
              <w:jc w:val="left"/>
            </w:pPr>
            <w:r>
              <w:rPr>
                <w:rFonts w:ascii="Arial" w:cs="Arial" w:eastAsia="Arial" w:hAnsi="Arial"/>
                <w:b/>
                <w:bCs/>
                <w:i w:val="false"/>
                <w:iCs w:val="false"/>
                <w:color w:val="000000"/>
                <w:sz w:val="22"/>
                <w:szCs w:val="22"/>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20"/>
              <w:bottom w:type="dxa" w:w="200"/>
              <w:right w:type="dxa" w:w="120"/>
            </w:tcMar>
          </w:tcPr>
          <w:p>
            <w:pPr>
              <w:spacing w:after="100" w:before="0"/>
              <w:jc w:val="left"/>
            </w:pPr>
            <w:r>
              <w:rPr>
                <w:rFonts w:ascii="Arial" w:cs="Arial" w:eastAsia="Arial" w:hAnsi="Arial"/>
                <w:b w:val="false"/>
                <w:bCs w:val="false"/>
                <w:i w:val="false"/>
                <w:iCs w:val="false"/>
                <w:color w:val="000000"/>
                <w:sz w:val="22"/>
                <w:szCs w:val="22"/>
              </w:rPr>
              <w:t xml:space="preserve"> </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SDA Claims — Supporting Evidence Requirements</dc:title>
  <dc:creator>Malcolm Railson</dc:creator>
  <cp:lastModifiedBy>Un-named</cp:lastModifiedBy>
  <cp:revision>1</cp:revision>
  <dcterms:created xsi:type="dcterms:W3CDTF">2026-04-29T11:57:33.050Z</dcterms:created>
  <dcterms:modified xsi:type="dcterms:W3CDTF">2026-04-29T11:57:33.051Z</dcterms:modified>
</cp:coreProperties>
</file>

<file path=docProps/custom.xml><?xml version="1.0" encoding="utf-8"?>
<Properties xmlns="http://schemas.openxmlformats.org/officeDocument/2006/custom-properties" xmlns:vt="http://schemas.openxmlformats.org/officeDocument/2006/docPropsVTypes"/>
</file>