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217346"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NRES SDA Rota Management Workbook V3.1</w:t>
            </w:r>
          </w:p>
        </w:tc>
      </w:tr>
    </w:tbl>
    <w:p>
      <w:pPr>
        <w:spacing w:after="400"/>
      </w:pPr>
    </w:p>
    <w:p>
      <w:pPr>
        <w:spacing w:after="100"/>
        <w:jc w:val="center"/>
      </w:pPr>
      <w:r>
        <w:rPr>
          <w:rFonts w:ascii="Arial" w:cs="Arial" w:eastAsia="Arial" w:hAnsi="Arial"/>
          <w:color w:val="6B7280"/>
          <w:sz w:val="20"/>
          <w:szCs w:val="20"/>
        </w:rPr>
        <w:t xml:space="preserve">OPERATIONAL RESOURCE ANALYSIS</w:t>
      </w:r>
    </w:p>
    <w:p>
      <w:pPr>
        <w:spacing w:after="200"/>
        <w:jc w:val="center"/>
      </w:pPr>
      <w:r>
        <w:rPr>
          <w:rFonts w:ascii="Arial" w:cs="Arial" w:eastAsia="Arial" w:hAnsi="Arial"/>
          <w:b/>
          <w:bCs/>
          <w:color w:val="1A1A1A"/>
          <w:sz w:val="40"/>
          <w:szCs w:val="40"/>
        </w:rPr>
        <w:t xml:space="preserve">Go-Live Method: Day 1 Reporting</w:t>
      </w:r>
    </w:p>
    <w:p>
      <w:pPr>
        <w:spacing w:after="100"/>
        <w:jc w:val="center"/>
      </w:pPr>
      <w:r>
        <w:rPr>
          <w:rFonts w:ascii="Arial" w:cs="Arial" w:eastAsia="Arial" w:hAnsi="Arial"/>
          <w:color w:val="4B5563"/>
          <w:sz w:val="24"/>
          <w:szCs w:val="24"/>
        </w:rPr>
        <w:t xml:space="preserve">Excel-Based Operational &amp; Financial Tracking</w:t>
      </w:r>
    </w:p>
    <w:p>
      <w:pPr>
        <w:spacing w:after="400"/>
        <w:jc w:val="center"/>
      </w:pPr>
      <w:r>
        <w:rPr>
          <w:rFonts w:ascii="Arial" w:cs="Arial" w:eastAsia="Arial" w:hAnsi="Arial"/>
          <w:color w:val="6B7280"/>
          <w:sz w:val="20"/>
          <w:szCs w:val="20"/>
        </w:rPr>
        <w:t xml:space="preserve">For Programme Board | February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spacing w:after="40"/>
            </w:pPr>
            <w:r>
              <w:rPr>
                <w:rFonts w:ascii="Arial" w:cs="Arial" w:eastAsia="Arial" w:hAnsi="Arial"/>
                <w:color w:val="6B7280"/>
                <w:sz w:val="14"/>
                <w:szCs w:val="14"/>
              </w:rPr>
              <w:t xml:space="preserve">CENTRAL TEAM</w:t>
            </w:r>
          </w:p>
          <w:p>
            <w:pPr>
              <w:spacing w:after="40"/>
            </w:pPr>
            <w:r>
              <w:rPr>
                <w:rFonts w:ascii="Arial" w:cs="Arial" w:eastAsia="Arial" w:hAnsi="Arial"/>
                <w:b/>
                <w:bCs/>
                <w:color w:val="2563EB"/>
                <w:sz w:val="26"/>
                <w:szCs w:val="26"/>
              </w:rPr>
              <w:t xml:space="preserve">8-12 hrs/wk</w:t>
            </w:r>
          </w:p>
          <w:p>
            <w:r>
              <w:rPr>
                <w:rFonts w:ascii="Arial" w:cs="Arial" w:eastAsia="Arial" w:hAnsi="Arial"/>
                <w:color w:val="6B7280"/>
                <w:sz w:val="16"/>
                <w:szCs w:val="16"/>
              </w:rPr>
              <w:t xml:space="preserve">BAU ongoing</w:t>
            </w:r>
          </w:p>
        </w:tc>
        <w:tc>
          <w:tcPr>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spacing w:after="40"/>
            </w:pPr>
            <w:r>
              <w:rPr>
                <w:rFonts w:ascii="Arial" w:cs="Arial" w:eastAsia="Arial" w:hAnsi="Arial"/>
                <w:color w:val="6B7280"/>
                <w:sz w:val="14"/>
                <w:szCs w:val="14"/>
              </w:rPr>
              <w:t xml:space="preserve">PER PRACTICE</w:t>
            </w:r>
          </w:p>
          <w:p>
            <w:pPr>
              <w:spacing w:after="40"/>
            </w:pPr>
            <w:r>
              <w:rPr>
                <w:rFonts w:ascii="Arial" w:cs="Arial" w:eastAsia="Arial" w:hAnsi="Arial"/>
                <w:b/>
                <w:bCs/>
                <w:color w:val="059669"/>
                <w:sz w:val="26"/>
                <w:szCs w:val="26"/>
              </w:rPr>
              <w:t xml:space="preserve">1-2 hrs/wk</w:t>
            </w:r>
          </w:p>
          <w:p>
            <w:r>
              <w:rPr>
                <w:rFonts w:ascii="Arial" w:cs="Arial" w:eastAsia="Arial" w:hAnsi="Arial"/>
                <w:color w:val="6B7280"/>
                <w:sz w:val="16"/>
                <w:szCs w:val="16"/>
              </w:rPr>
              <w:t xml:space="preserve">BAU ongoing</w:t>
            </w:r>
          </w:p>
        </w:tc>
        <w:tc>
          <w:tcPr>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spacing w:after="40"/>
            </w:pPr>
            <w:r>
              <w:rPr>
                <w:rFonts w:ascii="Arial" w:cs="Arial" w:eastAsia="Arial" w:hAnsi="Arial"/>
                <w:color w:val="6B7280"/>
                <w:sz w:val="14"/>
                <w:szCs w:val="14"/>
              </w:rPr>
              <w:t xml:space="preserve">FIRST-TIME SETUP</w:t>
            </w:r>
          </w:p>
          <w:p>
            <w:pPr>
              <w:spacing w:after="40"/>
            </w:pPr>
            <w:r>
              <w:rPr>
                <w:rFonts w:ascii="Arial" w:cs="Arial" w:eastAsia="Arial" w:hAnsi="Arial"/>
                <w:b/>
                <w:bCs/>
                <w:color w:val="D97706"/>
                <w:sz w:val="26"/>
                <w:szCs w:val="26"/>
              </w:rPr>
              <w:t xml:space="preserve">24 hrs</w:t>
            </w:r>
          </w:p>
          <w:p>
            <w:r>
              <w:rPr>
                <w:rFonts w:ascii="Arial" w:cs="Arial" w:eastAsia="Arial" w:hAnsi="Arial"/>
                <w:color w:val="6B7280"/>
                <w:sz w:val="16"/>
                <w:szCs w:val="16"/>
              </w:rPr>
              <w:t xml:space="preserve">Total (one-off)</w:t>
            </w:r>
          </w:p>
        </w:tc>
        <w:tc>
          <w:tcPr>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spacing w:after="40"/>
            </w:pPr>
            <w:r>
              <w:rPr>
                <w:rFonts w:ascii="Arial" w:cs="Arial" w:eastAsia="Arial" w:hAnsi="Arial"/>
                <w:color w:val="6B7280"/>
                <w:sz w:val="14"/>
                <w:szCs w:val="14"/>
              </w:rPr>
              <w:t xml:space="preserve">ADDITIONAL COST</w:t>
            </w:r>
          </w:p>
          <w:p>
            <w:pPr>
              <w:spacing w:after="40"/>
            </w:pPr>
            <w:r>
              <w:rPr>
                <w:rFonts w:ascii="Arial" w:cs="Arial" w:eastAsia="Arial" w:hAnsi="Arial"/>
                <w:b/>
                <w:bCs/>
                <w:color w:val="059669"/>
                <w:sz w:val="26"/>
                <w:szCs w:val="26"/>
              </w:rPr>
              <w:t xml:space="preserve">£0</w:t>
            </w:r>
          </w:p>
          <w:p>
            <w:r>
              <w:rPr>
                <w:rFonts w:ascii="Arial" w:cs="Arial" w:eastAsia="Arial" w:hAnsi="Arial"/>
                <w:color w:val="6B7280"/>
                <w:sz w:val="16"/>
                <w:szCs w:val="16"/>
              </w:rPr>
              <w:t xml:space="preserve">No licensing</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059669"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This is the Minimum Viable Approach</w:t>
            </w:r>
          </w:p>
          <w:p>
            <w:r>
              <w:rPr>
                <w:rFonts w:ascii="Arial" w:cs="Arial" w:eastAsia="Arial" w:hAnsi="Arial"/>
                <w:sz w:val="20"/>
                <w:szCs w:val="20"/>
              </w:rPr>
              <w:t xml:space="preserve">The Excel workbook V3.1 provides all essential operational and financial tracking from Day 1 at ZERO additional cost. It covers activity compliance, buy-back scheme management, and open book financials — the core requirements for ICB oversight. The fuller clinical/quality reporting framework can be developed in parallel during Year 1 operations.</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A1A1A" w:val="clear"/>
            <w:tcMar>
              <w:top w:type="dxa" w:w="150"/>
              <w:left w:type="dxa" w:w="200"/>
              <w:bottom w:type="dxa" w:w="150"/>
              <w:right w:type="dxa" w:w="200"/>
            </w:tcMar>
          </w:tcPr>
          <w:p>
            <w:r>
              <w:rPr>
                <w:rFonts w:ascii="Arial" w:cs="Arial" w:eastAsia="Arial" w:hAnsi="Arial"/>
                <w:b/>
                <w:bCs/>
                <w:color w:val="FFFFFF"/>
                <w:sz w:val="24"/>
                <w:szCs w:val="24"/>
              </w:rPr>
              <w:t xml:space="preserve">Executive Summary</w:t>
            </w:r>
          </w:p>
        </w:tc>
      </w:tr>
    </w:tbl>
    <w:p>
      <w:pPr>
        <w:spacing w:after="200"/>
      </w:pPr>
    </w:p>
    <w:p>
      <w:pPr>
        <w:spacing w:after="150"/>
      </w:pPr>
      <w:r>
        <w:rPr>
          <w:rFonts w:ascii="Arial" w:cs="Arial" w:eastAsia="Arial" w:hAnsi="Arial"/>
          <w:sz w:val="22"/>
          <w:szCs w:val="22"/>
        </w:rPr>
        <w:t xml:space="preserve">This document analyses the resource requirements for operating the NRES SDA programme using the Excel Workbook V3.1 as the primary management tool from go-live on 1st April 2026. This approach requires significantly less effort than the full ICB reporting dashboard and can be implemented immediately with no additional investment.</w:t>
      </w:r>
    </w:p>
    <w:p>
      <w:pPr>
        <w:pStyle w:val="Heading3"/>
      </w:pPr>
      <w:r>
        <w:rPr>
          <w:b/>
          <w:bCs/>
        </w:rPr>
        <w:t xml:space="preserve">What the Excel Workbook Covers</w:t>
      </w:r>
    </w:p>
    <w:p>
      <w:pPr>
        <w:spacing w:after="100"/>
      </w:pPr>
    </w:p>
    <w:p>
      <w:pPr>
        <w:pStyle w:val="ListParagraph"/>
        <w:numPr>
          <w:ilvl w:val="0"/>
          <w:numId w:val="2"/>
        </w:numPr>
        <w:spacing w:after="80"/>
      </w:pPr>
      <w:r>
        <w:rPr>
          <w:rFonts w:ascii="Arial" w:cs="Arial" w:eastAsia="Arial" w:hAnsi="Arial"/>
          <w:sz w:val="22"/>
          <w:szCs w:val="22"/>
        </w:rPr>
        <w:t xml:space="preserve">Weekly activity compliance tracking against ICB targets (15.2/18.2 per 1,000)</w:t>
      </w:r>
    </w:p>
    <w:p>
      <w:pPr>
        <w:pStyle w:val="ListParagraph"/>
        <w:numPr>
          <w:ilvl w:val="0"/>
          <w:numId w:val="2"/>
        </w:numPr>
        <w:spacing w:after="80"/>
      </w:pPr>
      <w:r>
        <w:rPr>
          <w:rFonts w:ascii="Arial" w:cs="Arial" w:eastAsia="Arial" w:hAnsi="Arial"/>
          <w:sz w:val="22"/>
          <w:szCs w:val="22"/>
        </w:rPr>
        <w:t xml:space="preserve">Buy-back scheme application tracking with 6-step workflow and evidence requirements</w:t>
      </w:r>
    </w:p>
    <w:p>
      <w:pPr>
        <w:pStyle w:val="ListParagraph"/>
        <w:numPr>
          <w:ilvl w:val="0"/>
          <w:numId w:val="2"/>
        </w:numPr>
        <w:spacing w:after="80"/>
      </w:pPr>
      <w:r>
        <w:rPr>
          <w:rFonts w:ascii="Arial" w:cs="Arial" w:eastAsia="Arial" w:hAnsi="Arial"/>
          <w:sz w:val="22"/>
          <w:szCs w:val="22"/>
        </w:rPr>
        <w:t xml:space="preserve">Open book financial tracking — monthly cash flow, cumulative spend, practice allocations</w:t>
      </w:r>
    </w:p>
    <w:p>
      <w:pPr>
        <w:pStyle w:val="ListParagraph"/>
        <w:numPr>
          <w:ilvl w:val="0"/>
          <w:numId w:val="2"/>
        </w:numPr>
        <w:spacing w:after="80"/>
      </w:pPr>
      <w:r>
        <w:rPr>
          <w:rFonts w:ascii="Arial" w:cs="Arial" w:eastAsia="Arial" w:hAnsi="Arial"/>
          <w:sz w:val="22"/>
          <w:szCs w:val="22"/>
        </w:rPr>
        <w:t xml:space="preserve">Workforce directory and session planning by staff type</w:t>
      </w:r>
    </w:p>
    <w:p>
      <w:pPr>
        <w:pStyle w:val="ListParagraph"/>
        <w:numPr>
          <w:ilvl w:val="0"/>
          <w:numId w:val="2"/>
        </w:numPr>
        <w:spacing w:after="80"/>
      </w:pPr>
      <w:r>
        <w:rPr>
          <w:rFonts w:ascii="Arial" w:cs="Arial" w:eastAsia="Arial" w:hAnsi="Arial"/>
          <w:sz w:val="22"/>
          <w:szCs w:val="22"/>
        </w:rPr>
        <w:t xml:space="preserve">DNA tracking and absence management</w:t>
      </w:r>
    </w:p>
    <w:p>
      <w:pPr>
        <w:pStyle w:val="ListParagraph"/>
        <w:numPr>
          <w:ilvl w:val="0"/>
          <w:numId w:val="2"/>
        </w:numPr>
        <w:spacing w:after="80"/>
      </w:pPr>
      <w:r>
        <w:rPr>
          <w:rFonts w:ascii="Arial" w:cs="Arial" w:eastAsia="Arial" w:hAnsi="Arial"/>
          <w:sz w:val="22"/>
          <w:szCs w:val="22"/>
        </w:rPr>
        <w:t xml:space="preserve">Practice-level dashboards (×7) with complete allocation and compliance views</w:t>
      </w:r>
    </w:p>
    <w:p>
      <w:pPr>
        <w:pStyle w:val="ListParagraph"/>
        <w:numPr>
          <w:ilvl w:val="0"/>
          <w:numId w:val="2"/>
        </w:numPr>
        <w:spacing w:after="200"/>
      </w:pPr>
      <w:r>
        <w:rPr>
          <w:rFonts w:ascii="Arial" w:cs="Arial" w:eastAsia="Arial" w:hAnsi="Arial"/>
          <w:sz w:val="22"/>
          <w:szCs w:val="22"/>
        </w:rPr>
        <w:t xml:space="preserve">Full audit trail for governance</w:t>
      </w:r>
    </w:p>
    <w:p>
      <w:pPr>
        <w:pStyle w:val="Heading3"/>
      </w:pPr>
      <w:r>
        <w:rPr>
          <w:b/>
          <w:bCs/>
        </w:rPr>
        <w:t xml:space="preserve">What it Does NOT Cover (requires separate processes)</w:t>
      </w:r>
    </w:p>
    <w:p>
      <w:pPr>
        <w:spacing w:after="100"/>
      </w:pPr>
    </w:p>
    <w:p>
      <w:pPr>
        <w:pStyle w:val="ListParagraph"/>
        <w:numPr>
          <w:ilvl w:val="0"/>
          <w:numId w:val="2"/>
        </w:numPr>
        <w:spacing w:after="80"/>
      </w:pPr>
      <w:r>
        <w:rPr>
          <w:rFonts w:ascii="Arial" w:cs="Arial" w:eastAsia="Arial" w:hAnsi="Arial"/>
          <w:sz w:val="22"/>
          <w:szCs w:val="22"/>
        </w:rPr>
        <w:t xml:space="preserve">Clinical quality metrics (complaints, safeguarding, incidents)</w:t>
      </w:r>
    </w:p>
    <w:p>
      <w:pPr>
        <w:pStyle w:val="ListParagraph"/>
        <w:numPr>
          <w:ilvl w:val="0"/>
          <w:numId w:val="2"/>
        </w:numPr>
        <w:spacing w:after="80"/>
      </w:pPr>
      <w:r>
        <w:rPr>
          <w:rFonts w:ascii="Arial" w:cs="Arial" w:eastAsia="Arial" w:hAnsi="Arial"/>
          <w:sz w:val="22"/>
          <w:szCs w:val="22"/>
        </w:rPr>
        <w:t xml:space="preserve">Part B appointment duration monitoring</w:t>
      </w:r>
    </w:p>
    <w:p>
      <w:pPr>
        <w:pStyle w:val="ListParagraph"/>
        <w:numPr>
          <w:ilvl w:val="0"/>
          <w:numId w:val="2"/>
        </w:numPr>
        <w:spacing w:after="80"/>
      </w:pPr>
      <w:r>
        <w:rPr>
          <w:rFonts w:ascii="Arial" w:cs="Arial" w:eastAsia="Arial" w:hAnsi="Arial"/>
          <w:sz w:val="22"/>
          <w:szCs w:val="22"/>
        </w:rPr>
        <w:t xml:space="preserve">Health inequalities / Core20PLUS5 reporting</w:t>
      </w:r>
    </w:p>
    <w:p>
      <w:pPr>
        <w:pStyle w:val="ListParagraph"/>
        <w:numPr>
          <w:ilvl w:val="0"/>
          <w:numId w:val="2"/>
        </w:numPr>
        <w:spacing w:after="80"/>
      </w:pPr>
      <w:r>
        <w:rPr>
          <w:rFonts w:ascii="Arial" w:cs="Arial" w:eastAsia="Arial" w:hAnsi="Arial"/>
          <w:sz w:val="22"/>
          <w:szCs w:val="22"/>
        </w:rPr>
        <w:t xml:space="preserve">Prescribing and medicines management</w:t>
      </w:r>
    </w:p>
    <w:p>
      <w:pPr>
        <w:pStyle w:val="ListParagraph"/>
        <w:numPr>
          <w:ilvl w:val="0"/>
          <w:numId w:val="2"/>
        </w:numPr>
        <w:spacing w:after="80"/>
      </w:pPr>
      <w:r>
        <w:rPr>
          <w:rFonts w:ascii="Arial" w:cs="Arial" w:eastAsia="Arial" w:hAnsi="Arial"/>
          <w:sz w:val="22"/>
          <w:szCs w:val="22"/>
        </w:rPr>
        <w:t xml:space="preserve">Referrals and diagnostics analysis</w:t>
      </w:r>
    </w:p>
    <w:p>
      <w:pPr>
        <w:pStyle w:val="ListParagraph"/>
        <w:numPr>
          <w:ilvl w:val="0"/>
          <w:numId w:val="2"/>
        </w:numPr>
        <w:spacing w:after="200"/>
      </w:pPr>
      <w:r>
        <w:rPr>
          <w:rFonts w:ascii="Arial" w:cs="Arial" w:eastAsia="Arial" w:hAnsi="Arial"/>
          <w:sz w:val="22"/>
          <w:szCs w:val="22"/>
        </w:rPr>
        <w:t xml:space="preserve">Staff satisfaction surveys and benefits realisation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D97706"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Phased Approach Recommendation</w:t>
            </w:r>
          </w:p>
          <w:p>
            <w:r>
              <w:rPr>
                <w:rFonts w:ascii="Arial" w:cs="Arial" w:eastAsia="Arial" w:hAnsi="Arial"/>
                <w:sz w:val="20"/>
                <w:szCs w:val="20"/>
              </w:rPr>
              <w:t xml:space="preserve">Start with the Excel workbook for operational essentials. Add clinical/quality reporting via separate processes (clinical system reports, manual tracking) during Months 1-6. Consider live dashboard system only if Programme Board determines added value justifies investment.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217346" w:val="clear"/>
            <w:tcMar>
              <w:top w:type="dxa" w:w="150"/>
              <w:left w:type="dxa" w:w="200"/>
              <w:bottom w:type="dxa" w:w="150"/>
              <w:right w:type="dxa" w:w="200"/>
            </w:tcMar>
          </w:tcPr>
          <w:p>
            <w:r>
              <w:rPr>
                <w:rFonts w:ascii="Arial" w:cs="Arial" w:eastAsia="Arial" w:hAnsi="Arial"/>
                <w:b/>
                <w:bCs/>
                <w:color w:val="FFFFFF"/>
                <w:sz w:val="24"/>
                <w:szCs w:val="24"/>
              </w:rPr>
              <w:t xml:space="preserve">1. Excel Workbook Structure — 20 Tabs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1400"/>
        <w:gridCol w:w="1238"/>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Tab</w:t>
            </w:r>
          </w:p>
        </w:tc>
        <w:tc>
          <w:tcPr>
            <w:tcW w:type="dxa" w:w="3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1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Who Populates</w:t>
            </w:r>
          </w:p>
        </w:tc>
        <w:tc>
          <w:tcPr>
            <w:tcW w:type="dxa" w:w="1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c>
          <w:tcPr>
            <w:tcW w:type="dxa" w:w="12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2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sz w:val="18"/>
                <w:szCs w:val="18"/>
              </w:rPr>
              <w:t xml:space="preserve">CORE CONFIGURATION</w:t>
            </w:r>
          </w:p>
        </w:tc>
        <w:tc>
          <w:tcPr>
            <w:tcW w:type="dxa" w:w="3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Assumptions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Contract parameters, list sizes, rates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Setup + quarterly review</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Practice Allocations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Auto-calculated targets &amp; £ per practice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Formula-driven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Automatic</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NONE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 Room Capacity</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Available clinical rooms by session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review</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sz w:val="18"/>
                <w:szCs w:val="18"/>
              </w:rPr>
              <w:t xml:space="preserve">ROTA MANAGEMENT</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4. Weekly Rota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Session allocation by staff/practice/day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 Monthly Rota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Calendar view with weekly totals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Formula-driven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Automatic</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NONE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6. Workforce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directory with costs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staff change</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sz w:val="18"/>
                <w:szCs w:val="18"/>
              </w:rPr>
              <w:t xml:space="preserve">COMPLIANCE TRACKING</w:t>
            </w:r>
          </w:p>
        </w:tc>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7. Compliance Tracker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actuals vs targets by practice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8. DNA Tracking</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DNA counts per practice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 Absence Tracker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absence log with cover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required</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sz w:val="18"/>
                <w:szCs w:val="18"/>
              </w:rPr>
              <w:t xml:space="preserve">FINANCIAL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 Buy-Back Tracker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Applications, approvals, evidence status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applications</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11. Cash Flow</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instalments &amp; cumulative spend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shd w:fill="FCE7F3" w:val="clear"/>
            <w:tcMar>
              <w:top w:type="dxa" w:w="60"/>
              <w:left w:type="dxa" w:w="100"/>
              <w:bottom w:type="dxa" w:w="60"/>
              <w:right w:type="dxa" w:w="100"/>
            </w:tcMar>
          </w:tcPr>
          <w:p>
            <w:r>
              <w:rPr>
                <w:rFonts w:ascii="Arial" w:cs="Arial" w:eastAsia="Arial" w:hAnsi="Arial"/>
                <w:b/>
                <w:bCs/>
                <w:sz w:val="18"/>
                <w:szCs w:val="18"/>
              </w:rPr>
              <w:t xml:space="preserve">PRACTICE DASHBOARDS</w:t>
            </w:r>
          </w:p>
        </w:tc>
        <w:tc>
          <w:tcPr>
            <w:tcW w:type="dxa" w:w="3200"/>
            <w:tcBorders>
              <w:top w:val="single" w:color="D1D5DB" w:sz="1"/>
              <w:left w:val="single" w:color="D1D5DB" w:sz="1"/>
              <w:bottom w:val="single" w:color="D1D5DB" w:sz="1"/>
              <w:right w:val="single" w:color="D1D5DB" w:sz="1"/>
            </w:tcBorders>
            <w:shd w:fill="FCE7F3"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FCE7F3"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FCE7F3"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FCE7F3"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12-18. Practice tabs (×7)</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Individual practice view of all metrics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Formula-driven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Automatic</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NONE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sz w:val="18"/>
                <w:szCs w:val="18"/>
              </w:rPr>
              <w:t xml:space="preserve">GOVERNANCE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1238"/>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19. Practice Contacts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Email distribution list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contacts change</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20. Audit Log</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Change tracking for accountability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(MR/AP)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Every change</w:t>
            </w:r>
          </w:p>
        </w:tc>
        <w:tc>
          <w:tcPr>
            <w:tcW w:type="dxa" w:w="1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bl>
    <w:p>
      <w:pPr>
        <w:spacing w:after="200"/>
      </w:pPr>
    </w:p>
    <w:p>
      <w:r>
        <w:rPr>
          <w:rFonts w:ascii="Arial" w:cs="Arial" w:eastAsia="Arial" w:hAnsi="Arial"/>
          <w:i/>
          <w:iCs/>
          <w:color w:val="6B7280"/>
          <w:sz w:val="18"/>
          <w:szCs w:val="18"/>
        </w:rPr>
        <w:t xml:space="preserve">MR = Malcolm Railson  |  AP = Amanda Palin  |  Formula-driven = auto-calculated, no manual entry needed</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2563EB" w:val="clear"/>
            <w:tcMar>
              <w:top w:type="dxa" w:w="150"/>
              <w:left w:type="dxa" w:w="200"/>
              <w:bottom w:type="dxa" w:w="150"/>
              <w:right w:type="dxa" w:w="200"/>
            </w:tcMar>
          </w:tcPr>
          <w:p>
            <w:r>
              <w:rPr>
                <w:rFonts w:ascii="Arial" w:cs="Arial" w:eastAsia="Arial" w:hAnsi="Arial"/>
                <w:b/>
                <w:bCs/>
                <w:color w:val="FFFFFF"/>
                <w:sz w:val="24"/>
                <w:szCs w:val="24"/>
              </w:rPr>
              <w:t xml:space="preserve">2. Weekly Operational Cycle</w:t>
            </w:r>
          </w:p>
        </w:tc>
      </w:tr>
    </w:tbl>
    <w:p>
      <w:pPr>
        <w:spacing w:after="200"/>
      </w:pPr>
    </w:p>
    <w:p>
      <w:pPr>
        <w:spacing w:after="150"/>
      </w:pPr>
      <w:r>
        <w:rPr>
          <w:rFonts w:ascii="Arial" w:cs="Arial" w:eastAsia="Arial" w:hAnsi="Arial"/>
          <w:sz w:val="22"/>
          <w:szCs w:val="22"/>
        </w:rPr>
        <w:t xml:space="preserve">The Excel workbook is designed for a simple weekly cycle managed primarily by the central team (Malcolm Railson and Amanda Palin) with minimal practice involvement.</w:t>
      </w:r>
    </w:p>
    <w:p>
      <w:pPr>
        <w:spacing w:after="200"/>
      </w:pPr>
    </w:p>
    <w:p>
      <w:pPr>
        <w:pStyle w:val="Heading3"/>
      </w:pPr>
      <w:r>
        <w:rPr>
          <w:b/>
          <w:bCs/>
        </w:rPr>
        <w:t xml:space="preserve">Central Team Weekly Tasks (8-12 hours total)</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1000"/>
        <w:gridCol w:w="2638"/>
      </w:tblGrid>
      <w:tr>
        <w:tc>
          <w:tcPr>
            <w:tcW w:type="dxa" w:w="1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Tab Used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26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Monday AM</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Review previous week's session delivery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Rota</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Rota records / practice confirmation</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Monday AM</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Enter actual appointments delivered per practice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Compliance Tracker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Clinical system appointment counts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Monday PM</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Record DNA counts per practice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DNA Tracking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Clinical system DNA report</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Monday PM</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Log any absences that occurred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Absence Tracker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notifications / practice reports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Tuesday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Plan next week's rota (if changes needed)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Rota</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1-2 hrs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availability, room capacity</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Tuesday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Update workforce tab if staff changes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Workforce</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needed</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HR notifications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Wednesday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Process any buy-back applications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Buy-Back Tracker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1-2 hrs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submissions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Thursday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Generate weekly compliance summary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tabs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Auto-calculated (email to practices)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Friday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Log all changes to audit trail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Audit Log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Week's activity</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Friday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Address any practice queries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Various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Email/calls</w:t>
            </w:r>
          </w:p>
        </w:tc>
      </w:tr>
    </w:tbl>
    <w:p>
      <w:pPr>
        <w:spacing w:after="200"/>
      </w:pPr>
    </w:p>
    <w:p>
      <w:pPr>
        <w:pStyle w:val="Heading3"/>
      </w:pPr>
      <w:r>
        <w:rPr>
          <w:b/>
          <w:bCs/>
        </w:rPr>
        <w:t xml:space="preserve">Practice Tasks (1-2 hours total per week)</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1600"/>
        <w:gridCol w:w="2638"/>
      </w:tblGrid>
      <w:tr>
        <w:tc>
          <w:tcPr>
            <w:tcW w:type="dxa" w:w="3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1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Who</w:t>
            </w:r>
          </w:p>
        </w:tc>
        <w:tc>
          <w:tcPr>
            <w:tcW w:type="dxa" w:w="26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How</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Confirm session delivery (staff attended)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Email confirmation to central team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Report appointment count from clinical system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Admin / PM</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Run standard appointment report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Report DNA count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Admin / PM</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Run DNA report from clinical system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Notify staff absences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required</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Email to central team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Review practice dashboard (optional)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Open practice tab in shared Excel</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Submit buy-back applications (if applicable)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required</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2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Complete application form</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059669"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Practice Burden is Minimal</w:t>
            </w:r>
          </w:p>
          <w:p>
            <w:r>
              <w:rPr>
                <w:rFonts w:ascii="Arial" w:cs="Arial" w:eastAsia="Arial" w:hAnsi="Arial"/>
                <w:sz w:val="20"/>
                <w:szCs w:val="20"/>
              </w:rPr>
              <w:t xml:space="preserve">Practices only need to provide 3 data points weekly: (1) session confirmation, (2) appointment count, (3) DNA count. All can be extracted from standard clinical system reports in under 30 minutes. The central team handles all compilation and analysis.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7C3AED" w:val="clear"/>
            <w:tcMar>
              <w:top w:type="dxa" w:w="150"/>
              <w:left w:type="dxa" w:w="200"/>
              <w:bottom w:type="dxa" w:w="150"/>
              <w:right w:type="dxa" w:w="200"/>
            </w:tcMar>
          </w:tcPr>
          <w:p>
            <w:r>
              <w:rPr>
                <w:rFonts w:ascii="Arial" w:cs="Arial" w:eastAsia="Arial" w:hAnsi="Arial"/>
                <w:b/>
                <w:bCs/>
                <w:color w:val="FFFFFF"/>
                <w:sz w:val="24"/>
                <w:szCs w:val="24"/>
              </w:rPr>
              <w:t xml:space="preserve">3. Monthly Reporting Tasks</w:t>
            </w:r>
          </w:p>
        </w:tc>
      </w:tr>
    </w:tbl>
    <w:p>
      <w:pPr>
        <w:spacing w:after="200"/>
      </w:pPr>
    </w:p>
    <w:p>
      <w:pPr>
        <w:pStyle w:val="Heading3"/>
      </w:pPr>
      <w:r>
        <w:rPr>
          <w:b/>
          <w:bCs/>
        </w:rPr>
        <w:t xml:space="preserve">Central Team Monthly Tasks (add ~8-10 hours)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000"/>
        <w:gridCol w:w="1800"/>
        <w:gridCol w:w="2238"/>
      </w:tblGrid>
      <w:tr>
        <w:tc>
          <w:tcPr>
            <w:tcW w:type="dxa" w:w="3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Tab Used</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1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Output</w:t>
            </w:r>
          </w:p>
        </w:tc>
        <w:tc>
          <w:tcPr>
            <w:tcW w:type="dxa" w:w="22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Update cash flow with month's actuals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Cash Flow</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Financial tracking</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Invoices, payroll, buy-back claims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Calculate monthly compliance summary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Compliance Tracker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 vs target</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data (auto-summed)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Generate practice monthly reports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tabs (×7)</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7 practice summaries</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Formula-driven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Update buy-back evidence status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Buy-Back Tracker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Evidence tracker</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submissions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Prepare ICB monthly summary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Various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ICB report pack</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All tabs synthesised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Review room capacity for next month</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Room Capacity</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Capacity plan</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estate updates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audit log review</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Audit Log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Governance check</w:t>
            </w:r>
          </w:p>
        </w:tc>
        <w:tc>
          <w:tcPr>
            <w:tcW w:type="dxa" w:w="22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Month's changes</w:t>
            </w:r>
          </w:p>
        </w:tc>
      </w:tr>
    </w:tbl>
    <w:p>
      <w:pPr>
        <w:spacing w:after="200"/>
      </w:pPr>
    </w:p>
    <w:p>
      <w:pPr>
        <w:pStyle w:val="Heading3"/>
      </w:pPr>
      <w:r>
        <w:rPr>
          <w:b/>
          <w:bCs/>
        </w:rPr>
        <w:t xml:space="preserve">Practice Monthly Tasks (add ~1-2 hours)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0"/>
        <w:gridCol w:w="3138"/>
      </w:tblGrid>
      <w:tr>
        <w:tc>
          <w:tcPr>
            <w:tcW w:type="dxa" w:w="35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1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Who</w:t>
            </w:r>
          </w:p>
        </w:tc>
        <w:tc>
          <w:tcPr>
            <w:tcW w:type="dxa" w:w="31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Provide buy-back evidence (if claiming)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30-60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31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CSV export, payslips, contracts as required</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Confirm room availability for next month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31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Any changes to clinical space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Review monthly compliance position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31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Check practice tab, raise concerns</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Update contact details (if changed)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w:t>
            </w:r>
          </w:p>
        </w:tc>
        <w:tc>
          <w:tcPr>
            <w:tcW w:type="dxa" w:w="31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New staff, email changes</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D97706" w:val="clear"/>
            <w:tcMar>
              <w:top w:type="dxa" w:w="150"/>
              <w:left w:type="dxa" w:w="200"/>
              <w:bottom w:type="dxa" w:w="150"/>
              <w:right w:type="dxa" w:w="200"/>
            </w:tcMar>
          </w:tcPr>
          <w:p>
            <w:r>
              <w:rPr>
                <w:rFonts w:ascii="Arial" w:cs="Arial" w:eastAsia="Arial" w:hAnsi="Arial"/>
                <w:b/>
                <w:bCs/>
                <w:color w:val="1A1A1A"/>
                <w:sz w:val="24"/>
                <w:szCs w:val="24"/>
              </w:rPr>
              <w:t xml:space="preserve">4. First-Time Setup vs Business-As-Usual</w:t>
            </w:r>
          </w:p>
        </w:tc>
      </w:tr>
    </w:tbl>
    <w:p>
      <w:pPr>
        <w:spacing w:after="200"/>
      </w:pPr>
    </w:p>
    <w:p>
      <w:pPr>
        <w:spacing w:after="150"/>
      </w:pPr>
      <w:r>
        <w:rPr>
          <w:rFonts w:ascii="Arial" w:cs="Arial" w:eastAsia="Arial" w:hAnsi="Arial"/>
          <w:sz w:val="22"/>
          <w:szCs w:val="22"/>
        </w:rPr>
        <w:t xml:space="preserve">The Excel workbook is already built and tested. First-time setup effort is minimal compared to the full reporting dashboard — primarily ensuring data flows are established and practices understand their input requirements.</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838"/>
      </w:tblGrid>
      <w:tr>
        <w:tc>
          <w:tcPr>
            <w:tcW w:type="dxa" w:w="3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Activity</w:t>
            </w:r>
          </w:p>
        </w:tc>
        <w:tc>
          <w:tcPr>
            <w:tcW w:type="dxa" w:w="1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First-Time Setup</w:t>
            </w:r>
          </w:p>
        </w:tc>
        <w:tc>
          <w:tcPr>
            <w:tcW w:type="dxa" w:w="1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BAU (Ongoing)</w:t>
            </w:r>
          </w:p>
        </w:tc>
        <w:tc>
          <w:tcPr>
            <w:tcW w:type="dxa" w:w="28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sz w:val="18"/>
                <w:szCs w:val="18"/>
              </w:rPr>
              <w:t xml:space="preserve">CENTRAL TEAM</w:t>
            </w:r>
          </w:p>
        </w:tc>
        <w:tc>
          <w:tcPr>
            <w:tcW w:type="dxa" w:w="1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1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2838"/>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Verify contract parameters in Assumptions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Quarterly check</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List sizes, rates already entered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Confirm practice allocations correct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Annual review</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Formula-driven from Assumptions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Set up room capacity baseline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review</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One call per practice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Configure workforce directory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staff change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Enter all NAS staff details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Create rota template for Month 1</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4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Weekly updates</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First rota requires planning</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Test compliance tracker formulas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N/A</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Already tested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Set up practice contacts for reports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contacts change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Email addresses for distribution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Train practices on data requirements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4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N/A</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One session per practice (30 mins each)</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Document processes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4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N/A</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User guide for practices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CENTRAL SETUP TOTAL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~20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default"/>
            </w:r>
          </w:p>
        </w:tc>
      </w:tr>
      <w:tr>
        <w:tc>
          <w:tcPr>
            <w:tcW w:type="dxa" w:w="3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sz w:val="18"/>
                <w:szCs w:val="18"/>
              </w:rPr>
              <w:t xml:space="preserve">PER PRACTICE</w:t>
            </w:r>
          </w:p>
        </w:tc>
        <w:tc>
          <w:tcPr>
            <w:tcW w:type="dxa" w:w="18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18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2838"/>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Confirm room availability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Monthly review</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Provide to central team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Identify staff for NAS sessions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staff change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Who will deliver sessions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Attend training session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N/A</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Understand data requirements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Test clinical system report extraction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N/A</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Appointment count, DNA report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Confirm email contacts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 mins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As contacts change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Who receives reports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PER PRACTICE SETUP TOTAL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~2 hrs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w:t>
            </w:r>
          </w:p>
        </w:tc>
        <w:tc>
          <w:tcPr>
            <w:tcW w:type="dxa" w:w="28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defaul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97706" w:sz="4"/>
              <w:left w:val="single" w:color="D97706" w:sz="4"/>
              <w:bottom w:val="single" w:color="D97706" w:sz="4"/>
              <w:right w:val="single" w:color="D1D5DB" w:sz="1"/>
            </w:tcBorders>
            <w:shd w:fill="FEF3C7" w:val="clear"/>
            <w:tcMar>
              <w:top w:type="dxa" w:w="150"/>
              <w:left w:type="dxa" w:w="200"/>
              <w:bottom w:type="dxa" w:w="150"/>
              <w:right w:type="dxa" w:w="200"/>
            </w:tcMar>
          </w:tcPr>
          <w:p>
            <w:pPr>
              <w:spacing w:after="80"/>
            </w:pPr>
            <w:r>
              <w:rPr>
                <w:rFonts w:ascii="Arial" w:cs="Arial" w:eastAsia="Arial" w:hAnsi="Arial"/>
                <w:b/>
                <w:bCs/>
                <w:color w:val="D97706"/>
                <w:sz w:val="22"/>
                <w:szCs w:val="22"/>
              </w:rPr>
              <w:t xml:space="preserve">FIRST-TIME SETUP</w:t>
            </w:r>
          </w:p>
          <w:p>
            <w:pPr>
              <w:spacing w:after="60"/>
            </w:pPr>
            <w:r>
              <w:rPr>
                <w:rFonts w:ascii="Arial" w:cs="Arial" w:eastAsia="Arial" w:hAnsi="Arial"/>
                <w:sz w:val="20"/>
                <w:szCs w:val="20"/>
              </w:rPr>
              <w:t xml:space="preserve">Central Team: ~20 hours</w:t>
            </w:r>
          </w:p>
          <w:p>
            <w:pPr>
              <w:spacing w:after="60"/>
            </w:pPr>
            <w:r>
              <w:rPr>
                <w:rFonts w:ascii="Arial" w:cs="Arial" w:eastAsia="Arial" w:hAnsi="Arial"/>
                <w:sz w:val="20"/>
                <w:szCs w:val="20"/>
              </w:rPr>
              <w:t xml:space="preserve">Per Practice: ~2 hours × 7 = 14 hours</w:t>
            </w:r>
          </w:p>
          <w:p>
            <w:r>
              <w:rPr>
                <w:rFonts w:ascii="Arial" w:cs="Arial" w:eastAsia="Arial" w:hAnsi="Arial"/>
                <w:b/>
                <w:bCs/>
                <w:sz w:val="20"/>
                <w:szCs w:val="20"/>
              </w:rPr>
              <w:t xml:space="preserve">TOTAL: ~34 hours (one-off)</w:t>
            </w:r>
          </w:p>
        </w:tc>
        <w:tc>
          <w:tcPr>
            <w:tcBorders>
              <w:top w:val="single" w:color="059669" w:sz="4"/>
              <w:left w:val="single" w:color="D1D5DB" w:sz="1"/>
              <w:bottom w:val="single" w:color="059669" w:sz="4"/>
              <w:right w:val="single" w:color="059669" w:sz="4"/>
            </w:tcBorders>
            <w:shd w:fill="D1FAE5" w:val="clear"/>
            <w:tcMar>
              <w:top w:type="dxa" w:w="150"/>
              <w:left w:type="dxa" w:w="200"/>
              <w:bottom w:type="dxa" w:w="150"/>
              <w:right w:type="dxa" w:w="200"/>
            </w:tcMar>
          </w:tcPr>
          <w:p>
            <w:pPr>
              <w:spacing w:after="80"/>
            </w:pPr>
            <w:r>
              <w:rPr>
                <w:rFonts w:ascii="Arial" w:cs="Arial" w:eastAsia="Arial" w:hAnsi="Arial"/>
                <w:b/>
                <w:bCs/>
                <w:color w:val="059669"/>
                <w:sz w:val="22"/>
                <w:szCs w:val="22"/>
              </w:rPr>
              <w:t xml:space="preserve">BUSINESS AS USUAL (YEAR 1)</w:t>
            </w:r>
          </w:p>
          <w:p>
            <w:pPr>
              <w:spacing w:after="60"/>
            </w:pPr>
            <w:r>
              <w:rPr>
                <w:rFonts w:ascii="Arial" w:cs="Arial" w:eastAsia="Arial" w:hAnsi="Arial"/>
                <w:sz w:val="20"/>
                <w:szCs w:val="20"/>
              </w:rPr>
              <w:t xml:space="preserve">Central: 10 hrs/wk × 52 = 520 hrs/yr</w:t>
            </w:r>
          </w:p>
          <w:p>
            <w:pPr>
              <w:spacing w:after="60"/>
            </w:pPr>
            <w:r>
              <w:rPr>
                <w:rFonts w:ascii="Arial" w:cs="Arial" w:eastAsia="Arial" w:hAnsi="Arial"/>
                <w:sz w:val="20"/>
                <w:szCs w:val="20"/>
              </w:rPr>
              <w:t xml:space="preserve">Per Practice: 1.5 hrs/wk × 52 = 78 hrs/yr</w:t>
            </w:r>
          </w:p>
          <w:p>
            <w:r>
              <w:rPr>
                <w:rFonts w:ascii="Arial" w:cs="Arial" w:eastAsia="Arial" w:hAnsi="Arial"/>
                <w:b/>
                <w:bCs/>
                <w:sz w:val="20"/>
                <w:szCs w:val="20"/>
              </w:rPr>
              <w:t xml:space="preserve">TOTAL: ~1,066 hours/year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1A1A1A" w:val="clear"/>
            <w:tcMar>
              <w:top w:type="dxa" w:w="150"/>
              <w:left w:type="dxa" w:w="200"/>
              <w:bottom w:type="dxa" w:w="150"/>
              <w:right w:type="dxa" w:w="200"/>
            </w:tcMar>
          </w:tcPr>
          <w:p>
            <w:r>
              <w:rPr>
                <w:rFonts w:ascii="Arial" w:cs="Arial" w:eastAsia="Arial" w:hAnsi="Arial"/>
                <w:b/>
                <w:bCs/>
                <w:color w:val="FFFFFF"/>
                <w:sz w:val="24"/>
                <w:szCs w:val="24"/>
              </w:rPr>
              <w:t xml:space="preserve">5. Data Sources — Where Information Comes From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2038"/>
      </w:tblGrid>
      <w:tr>
        <w:tc>
          <w:tcPr>
            <w:tcW w:type="dxa" w:w="2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Data Required</w:t>
            </w:r>
          </w:p>
        </w:tc>
        <w:tc>
          <w:tcPr>
            <w:tcW w:type="dxa" w:w="1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3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Extraction Method</w:t>
            </w:r>
          </w:p>
        </w:tc>
        <w:tc>
          <w:tcPr>
            <w:tcW w:type="dxa" w:w="20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2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sz w:val="18"/>
                <w:szCs w:val="18"/>
              </w:rPr>
              <w:t xml:space="preserve">WEEKLY DATA</w:t>
            </w:r>
          </w:p>
        </w:tc>
        <w:tc>
          <w:tcPr>
            <w:tcW w:type="dxa" w:w="1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c>
          <w:tcPr>
            <w:tcW w:type="dxa" w:w="2038"/>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sz w:val="18"/>
                <w:szCs w:val="18"/>
              </w:rPr>
              <w:t xml:space="defaul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Appointments delivered per practice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SystmOne / EMIS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Standard appointment book report — filter by SDA slot types</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5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DNA count per practice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SystmOne / EMIS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Standard DNA report — filter by date range</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5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Session delivery confirmation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knowledge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 confirms staff attended</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5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absences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knowledge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 reports via email</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As occurs</w:t>
            </w:r>
          </w:p>
        </w:tc>
      </w:tr>
      <w:tr>
        <w:tc>
          <w:tcPr>
            <w:tcW w:type="dxa" w:w="26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sz w:val="18"/>
                <w:szCs w:val="18"/>
              </w:rPr>
              <w:t xml:space="preserve">MONTHLY DATA</w:t>
            </w:r>
          </w:p>
        </w:tc>
        <w:tc>
          <w:tcPr>
            <w:tcW w:type="dxa" w:w="18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3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c>
          <w:tcPr>
            <w:tcW w:type="dxa" w:w="2038"/>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sz w:val="18"/>
                <w:szCs w:val="18"/>
              </w:rPr>
              <w:t xml:space="defaul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Financial spend (New SDA)</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records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Invoice tracking, payroll</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30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Buy-back claims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submissions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Evidence pack: CSV, payslips, contracts</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30-60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Room capacity changes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knowledge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Manager notifies changes</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5 mins</w:t>
            </w:r>
          </w:p>
        </w:tc>
      </w:tr>
      <w:tr>
        <w:tc>
          <w:tcPr>
            <w:tcW w:type="dxa" w:w="2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sz w:val="18"/>
                <w:szCs w:val="18"/>
              </w:rPr>
              <w:t xml:space="preserve">BUY-BACK EVIDENCE</w:t>
            </w:r>
          </w:p>
        </w:tc>
        <w:tc>
          <w:tcPr>
            <w:tcW w:type="dxa" w:w="1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c>
          <w:tcPr>
            <w:tcW w:type="dxa" w:w="2038"/>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defaul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Part B activity CSV</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SystmOne / EMIS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Ardens export of 30-min SDA appointments</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10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Payslips / contract evidence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records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HR/payroll documentation</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15 mins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Session delivery records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records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From Weekly Rota tab</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Automatic</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059669"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Clinical System Reports — Already Standard</w:t>
            </w:r>
          </w:p>
          <w:p>
            <w:r>
              <w:rPr>
                <w:rFonts w:ascii="Arial" w:cs="Arial" w:eastAsia="Arial" w:hAnsi="Arial"/>
                <w:sz w:val="20"/>
                <w:szCs w:val="20"/>
              </w:rPr>
              <w:t xml:space="preserve">The appointment count and DNA reports are standard functionality in both SystmOne and EMIS. Practice staff run these reports routinely for other purposes. No new report configuration is required — just filter by the SDA appointment slot types.</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7C3AED" w:val="clear"/>
            <w:tcMar>
              <w:top w:type="dxa" w:w="150"/>
              <w:left w:type="dxa" w:w="200"/>
              <w:bottom w:type="dxa" w:w="150"/>
              <w:right w:type="dxa" w:w="200"/>
            </w:tcMar>
          </w:tcPr>
          <w:p>
            <w:r>
              <w:rPr>
                <w:rFonts w:ascii="Arial" w:cs="Arial" w:eastAsia="Arial" w:hAnsi="Arial"/>
                <w:b/>
                <w:bCs/>
                <w:color w:val="FFFFFF"/>
                <w:sz w:val="24"/>
                <w:szCs w:val="24"/>
              </w:rPr>
              <w:t xml:space="preserve">6. Comparison: Excel V3.1 vs Full Dashboard</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319"/>
        <w:gridCol w:w="3519"/>
      </w:tblGrid>
      <w:tr>
        <w:tc>
          <w:tcPr>
            <w:tcW w:type="dxa" w:w="28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3319"/>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Excel V3.1 (Go-Live)</w:t>
            </w:r>
          </w:p>
        </w:tc>
        <w:tc>
          <w:tcPr>
            <w:tcW w:type="dxa" w:w="3519"/>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Full ICB Dashboard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sz w:val="18"/>
                <w:szCs w:val="18"/>
              </w:rPr>
              <w:t xml:space="preserve">SETUP</w:t>
            </w:r>
          </w:p>
        </w:tc>
        <w:tc>
          <w:tcPr>
            <w:tcW w:type="dxa" w:w="33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35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Development time</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0 (already built)</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45-60 days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Setup cost</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£0</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£22,500 - £30,000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First-time setup effort</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34 hours total</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248 hours total</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sz w:val="18"/>
                <w:szCs w:val="18"/>
              </w:rPr>
              <w:t xml:space="preserve">ONGOING</w:t>
            </w:r>
          </w:p>
        </w:tc>
        <w:tc>
          <w:tcPr>
            <w:tcW w:type="dxa" w:w="33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35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Central team BAU</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~520 hrs/year</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~590 hrs/year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Per practice BAU</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~78 hrs/year each</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~121 hrs/year each</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Total BAU (all parties)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~1,066 hrs/year</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~1,437 hrs/year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Annual operating cost</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£0 (staff time only)</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~£52,000/year</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sz w:val="18"/>
                <w:szCs w:val="18"/>
              </w:rPr>
              <w:t xml:space="preserve">CAPABILITY</w:t>
            </w:r>
          </w:p>
        </w:tc>
        <w:tc>
          <w:tcPr>
            <w:tcW w:type="dxa" w:w="33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c>
          <w:tcPr>
            <w:tcW w:type="dxa" w:w="3519"/>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8"/>
                <w:szCs w:val="18"/>
              </w:rPr>
              <w:t xml:space="defaul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Activity compliance</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Financial tracking</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Buy-back management</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Full coverage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Practice dashboards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7 practice tabs</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Interactive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Clinical quality metrics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 Separate process</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Integrated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Part B duration tracking</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 Separate process</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Integrated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Health inequalities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 Separate process</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Integrated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Automated alerts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 Manual review</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RAG triggers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Multi-user access</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 Shared file (risk)</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Role-based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Audit trail</w:t>
            </w:r>
          </w:p>
        </w:tc>
        <w:tc>
          <w:tcPr>
            <w:tcW w:type="dxa" w:w="33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Manual log tab</w:t>
            </w:r>
          </w:p>
        </w:tc>
        <w:tc>
          <w:tcPr>
            <w:tcW w:type="dxa" w:w="3519"/>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59669"/>
                <w:sz w:val="18"/>
                <w:szCs w:val="18"/>
              </w:rPr>
              <w:t xml:space="preserve">✓ Automatic</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2563EB"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Recommendation</w:t>
            </w:r>
          </w:p>
          <w:p>
            <w:r>
              <w:rPr>
                <w:rFonts w:ascii="Arial" w:cs="Arial" w:eastAsia="Arial" w:hAnsi="Arial"/>
                <w:sz w:val="20"/>
                <w:szCs w:val="20"/>
              </w:rPr>
              <w:t xml:space="preserve">Start with Excel V3.1 from go-live. It covers all operational essentials at zero cost. The clinical quality and Part B tracking can be added via separate clinical system reports during Year 1. Only consider the full dashboard investment if the Programme Board determines the added automation and integration justifies the cost.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059669" w:val="clear"/>
            <w:tcMar>
              <w:top w:type="dxa" w:w="150"/>
              <w:left w:type="dxa" w:w="200"/>
              <w:bottom w:type="dxa" w:w="150"/>
              <w:right w:type="dxa" w:w="200"/>
            </w:tcMar>
          </w:tcPr>
          <w:p>
            <w:r>
              <w:rPr>
                <w:rFonts w:ascii="Arial" w:cs="Arial" w:eastAsia="Arial" w:hAnsi="Arial"/>
                <w:b/>
                <w:bCs/>
                <w:color w:val="FFFFFF"/>
                <w:sz w:val="24"/>
                <w:szCs w:val="24"/>
              </w:rPr>
              <w:t xml:space="preserve">7. Practice-Level Resource Summary</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400"/>
        <w:gridCol w:w="1400"/>
        <w:gridCol w:w="2438"/>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Practice</w:t>
            </w:r>
          </w:p>
        </w:tc>
        <w:tc>
          <w:tcPr>
            <w:tcW w:type="dxa" w:w="12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List Size</w:t>
            </w:r>
          </w:p>
        </w:tc>
        <w:tc>
          <w:tcPr>
            <w:tcW w:type="dxa" w:w="1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Setup</w:t>
            </w:r>
          </w:p>
        </w:tc>
        <w:tc>
          <w:tcPr>
            <w:tcW w:type="dxa" w:w="1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Weekly BAU</w:t>
            </w:r>
          </w:p>
        </w:tc>
        <w:tc>
          <w:tcPr>
            <w:tcW w:type="dxa" w:w="1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Monthly Add</w:t>
            </w:r>
          </w:p>
        </w:tc>
        <w:tc>
          <w:tcPr>
            <w:tcW w:type="dxa" w:w="24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Annual Total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The Parks MC</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22,827</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Brackley MC</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16,212</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Springfield Surgery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12,611</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Towcester MC</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11,748</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Bugbrooke Surgery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10,788</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Brook Health Centre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9,069</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Denton Village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6,329</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hrs</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~96 hrs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ALL 7 PRACTICES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89,584</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14 hrs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10.5 hrs/wk</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10.5 hrs/mth</w:t>
            </w:r>
          </w:p>
        </w:tc>
        <w:tc>
          <w:tcPr>
            <w:tcW w:type="dxa" w:w="24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~672 hrs/yr</w:t>
            </w:r>
          </w:p>
        </w:tc>
      </w:tr>
    </w:tbl>
    <w:p>
      <w:pPr>
        <w:spacing w:after="200"/>
      </w:pPr>
    </w:p>
    <w:p>
      <w:pPr>
        <w:spacing w:after="150"/>
      </w:pPr>
      <w:r>
        <w:rPr>
          <w:rFonts w:ascii="Arial" w:cs="Arial" w:eastAsia="Arial" w:hAnsi="Arial"/>
          <w:sz w:val="22"/>
          <w:szCs w:val="22"/>
        </w:rPr>
        <w:t xml:space="preserve">Note: Practice effort is equal regardless of list size because the data extraction process is the same — run a report, send the numbers. Larger practices don't require proportionally more time.</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D97706" w:val="clear"/>
            <w:tcMar>
              <w:top w:type="dxa" w:w="150"/>
              <w:left w:type="dxa" w:w="200"/>
              <w:bottom w:type="dxa" w:w="150"/>
              <w:right w:type="dxa" w:w="200"/>
            </w:tcMar>
          </w:tcPr>
          <w:p>
            <w:r>
              <w:rPr>
                <w:rFonts w:ascii="Arial" w:cs="Arial" w:eastAsia="Arial" w:hAnsi="Arial"/>
                <w:b/>
                <w:bCs/>
                <w:color w:val="1A1A1A"/>
                <w:sz w:val="24"/>
                <w:szCs w:val="24"/>
              </w:rPr>
              <w:t xml:space="preserve">8. Supplementary Processes (Outside Excel)</w:t>
            </w:r>
          </w:p>
        </w:tc>
      </w:tr>
    </w:tbl>
    <w:p>
      <w:pPr>
        <w:spacing w:after="200"/>
      </w:pPr>
    </w:p>
    <w:p>
      <w:pPr>
        <w:spacing w:after="150"/>
      </w:pPr>
      <w:r>
        <w:rPr>
          <w:rFonts w:ascii="Arial" w:cs="Arial" w:eastAsia="Arial" w:hAnsi="Arial"/>
          <w:sz w:val="22"/>
          <w:szCs w:val="22"/>
        </w:rPr>
        <w:t xml:space="preserve">The Excel workbook does not cover all ICB requirements. The following need separate processes, which can be developed during Year 1 while the operational reporting is running:</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400"/>
        <w:gridCol w:w="2038"/>
      </w:tblGrid>
      <w:tr>
        <w:tc>
          <w:tcPr>
            <w:tcW w:type="dxa" w:w="2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ICB Requirement</w:t>
            </w:r>
          </w:p>
        </w:tc>
        <w:tc>
          <w:tcPr>
            <w:tcW w:type="dxa" w:w="36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Suggested Method (Year 1)</w:t>
            </w:r>
          </w:p>
        </w:tc>
        <w:tc>
          <w:tcPr>
            <w:tcW w:type="dxa" w:w="14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20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Complaints tracking</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Simple shared tracker (Excel or Word log)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Safeguarding referrals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Extract from clinical system safeguarding codes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Incidents (LFPSE)</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LFPSE system already in use — extract summary</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FFT results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FFT submission data already available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15 mins/mth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Onward referrals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eRS extract or clinical system referral report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Part B duration</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Clinical system appointment length report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 hr/mth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Prescribing data</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ePACT2 / ICB Medicines Team supply</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30 mins/mth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Staff satisfaction</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Quarterly survey (SurveyMonkey or similar)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hrs/qtr</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59669"/>
                <w:sz w:val="18"/>
                <w:szCs w:val="18"/>
              </w:rPr>
              <w:t xml:space="preserve">LOW</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Health inequalities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Develop framework during Year 1 (ICB pending)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TBC</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7C3AED"/>
                <w:sz w:val="18"/>
                <w:szCs w:val="18"/>
              </w:rPr>
              <w:t xml:space="preserve">ICB PENDING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Mandatory narrative</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Written summary based on above data</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2 hrs/mth</w:t>
            </w:r>
          </w:p>
        </w:tc>
        <w:tc>
          <w:tcPr>
            <w:tcW w:type="dxa" w:w="20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9538"/>
      </w:tblGrid>
      <w:tr>
        <w:tc>
          <w:tcPr>
            <w:tcW w:type="dxa" w:w="100"/>
            <w:tcBorders>
              <w:top w:val="none"/>
              <w:left w:val="none"/>
              <w:bottom w:val="none"/>
              <w:right w:val="none"/>
            </w:tcBorders>
            <w:shd w:fill="D97706" w:val="clear"/>
          </w:tcPr>
          <w:p/>
        </w:tc>
        <w:tc>
          <w:tcPr>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sz w:val="22"/>
                <w:szCs w:val="22"/>
              </w:rPr>
              <w:t xml:space="preserve">Phased Development</w:t>
            </w:r>
          </w:p>
          <w:p>
            <w:r>
              <w:rPr>
                <w:rFonts w:ascii="Arial" w:cs="Arial" w:eastAsia="Arial" w:hAnsi="Arial"/>
                <w:sz w:val="20"/>
                <w:szCs w:val="20"/>
              </w:rPr>
              <w:t xml:space="preserve">HIGH priority items should be operational by Month 2. MEDIUM priority by Month 6. LOW priority and ICB PENDING items can be developed during Year 1 as requirements clarify. Total additional effort for supplementary processes: ~8-10 hours/month central team.</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3F4F6" w:val="clear"/>
            <w:tcMar>
              <w:top w:type="dxa" w:w="150"/>
              <w:left w:type="dxa" w:w="200"/>
              <w:bottom w:type="dxa" w:w="150"/>
              <w:right w:type="dxa" w:w="200"/>
            </w:tcMar>
          </w:tcPr>
          <w:p>
            <w:r>
              <w:rPr>
                <w:rFonts w:ascii="Arial" w:cs="Arial" w:eastAsia="Arial" w:hAnsi="Arial"/>
                <w:b/>
                <w:bCs/>
                <w:color w:val="1A1A1A"/>
                <w:sz w:val="24"/>
                <w:szCs w:val="24"/>
              </w:rPr>
              <w:t xml:space="preserve">Document Control</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Property</w:t>
            </w:r>
          </w:p>
        </w:tc>
        <w:tc>
          <w:tcPr>
            <w:tcW w:type="dxa" w:w="6638"/>
            <w:tcBorders>
              <w:top w:val="single" w:color="D1D5DB" w:sz="1"/>
              <w:left w:val="single" w:color="D1D5DB" w:sz="1"/>
              <w:bottom w:val="single" w:color="D1D5DB" w:sz="1"/>
              <w:right w:val="single" w:color="D1D5DB" w:sz="1"/>
            </w:tcBorders>
            <w:shd w:fill="1F2937" w:val="clear"/>
            <w:tcMar>
              <w:top w:type="dxa" w:w="80"/>
              <w:left w:type="dxa" w:w="100"/>
              <w:bottom w:type="dxa" w:w="80"/>
              <w:right w:type="dxa" w:w="100"/>
            </w:tcMar>
          </w:tcPr>
          <w:p>
            <w:r>
              <w:rPr>
                <w:rFonts w:ascii="Arial" w:cs="Arial" w:eastAsia="Arial" w:hAnsi="Arial"/>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Document Title</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NRES Excel V3.1 Operational Resource Analysis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Version</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1.0</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Date</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February 2026</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Author</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Malcolm Railson, Digital &amp; Transformation Lead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Status</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For Programme Board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Excel Workbook</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NRES SDA Rota Management V3.1</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Next Review</w:t>
            </w:r>
          </w:p>
        </w:tc>
        <w:tc>
          <w:tcPr>
            <w:tcW w:type="dxa" w:w="6638"/>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unction bold() { [native code] }"/>
                <w:bCs w:val="function bold() { [native code] }"/>
                <w:sz w:val="18"/>
                <w:szCs w:val="18"/>
              </w:rPr>
              <w:t xml:space="preserve">Post go-live (May 2026)</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February 2026  |  Programme 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7346" w:sz="6" w:space="1"/>
      </w:pBdr>
      <w:spacing w:after="200"/>
    </w:pPr>
    <w:r>
      <w:rPr>
        <w:rFonts w:ascii="Arial" w:cs="Arial" w:eastAsia="Arial" w:hAnsi="Arial"/>
        <w:b/>
        <w:bCs/>
        <w:sz w:val="20"/>
        <w:szCs w:val="20"/>
      </w:rPr>
      <w:t xml:space="preserve">NRES Excel V3.1 </w:t>
    </w:r>
    <w:r>
      <w:rPr>
        <w:sz w:val="20"/>
        <w:szCs w:val="20"/>
      </w:rPr>
      <w:t xml:space="preserve">📊</w:t>
    </w:r>
    <w:r>
      <w:rPr>
        <w:rFonts w:ascii="Arial" w:cs="Arial" w:eastAsia="Arial" w:hAnsi="Arial"/>
        <w:color w:val="6B7280"/>
        <w:sz w:val="20"/>
        <w:szCs w:val="20"/>
      </w:rPr>
      <w:t xml:space="preserve">  |  Operational Resource Analysis — Go-Live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2026-02-23T10:49:21.926Z</dcterms:created>
  <dcterms:modified xsi:type="dcterms:W3CDTF">2026-02-23T10:49:21.928Z</dcterms:modified>
</cp:coreProperties>
</file>

<file path=docProps/custom.xml><?xml version="1.0" encoding="utf-8"?>
<Properties xmlns="http://schemas.openxmlformats.org/officeDocument/2006/custom-properties" xmlns:vt="http://schemas.openxmlformats.org/officeDocument/2006/docPropsVTypes"/>
</file>