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5EB8"/>
          <w:sz w:val="40"/>
          <w:szCs w:val="40"/>
        </w:rPr>
        <w:t xml:space="preserve">NRES Neighbourhood Access Service</w:t>
      </w:r>
    </w:p>
    <w:p>
      <w:pPr>
        <w:spacing w:after="80"/>
        <w:jc w:val="center"/>
      </w:pPr>
      <w:r>
        <w:rPr>
          <w:rFonts w:ascii="Arial" w:cs="Arial" w:eastAsia="Arial" w:hAnsi="Arial"/>
          <w:b/>
          <w:bCs/>
          <w:color w:val="005EB8"/>
          <w:sz w:val="32"/>
          <w:szCs w:val="32"/>
        </w:rPr>
        <w:t xml:space="preserve">SDA Hub Pilot – Risk Stratification Overview</w:t>
      </w:r>
    </w:p>
    <w:p>
      <w:pPr>
        <w:spacing w:after="400"/>
        <w:jc w:val="center"/>
      </w:pPr>
      <w:r>
        <w:rPr>
          <w:rFonts w:ascii="Arial" w:cs="Arial" w:eastAsia="Arial" w:hAnsi="Arial"/>
          <w:i/>
          <w:iCs/>
          <w:color w:val="666666"/>
          <w:sz w:val="22"/>
          <w:szCs w:val="22"/>
        </w:rPr>
        <w:t xml:space="preserve">Protecting Continuity of Care for Complex &amp; Vulnerable Patients</w:t>
      </w:r>
    </w:p>
    <w:p>
      <w:pPr>
        <w:pStyle w:val="Heading1"/>
      </w:pPr>
      <w:r>
        <w:t xml:space="preserve">1. Purpose</w:t>
      </w:r>
    </w:p>
    <w:p>
      <w:pPr>
        <w:spacing w:after="200"/>
      </w:pPr>
      <w:r>
        <w:rPr>
          <w:rFonts w:ascii="Arial" w:cs="Arial" w:eastAsia="Arial" w:hAnsi="Arial"/>
          <w:sz w:val="22"/>
          <w:szCs w:val="22"/>
        </w:rPr>
        <w:t xml:space="preserve">This document outlines how Risk Stratification is applied within the NRES SDA Hub Pilot to ensure that the most complex and vulnerable patients – those classified as </w:t>
      </w:r>
      <w:r>
        <w:rPr>
          <w:rFonts w:ascii="Arial" w:cs="Arial" w:eastAsia="Arial" w:hAnsi="Arial"/>
          <w:b/>
          <w:bCs/>
          <w:color w:val="D32F2F"/>
          <w:sz w:val="22"/>
          <w:szCs w:val="22"/>
        </w:rPr>
        <w:t xml:space="preserve">Red</w:t>
      </w:r>
      <w:r>
        <w:rPr>
          <w:rFonts w:ascii="Arial" w:cs="Arial" w:eastAsia="Arial" w:hAnsi="Arial"/>
          <w:sz w:val="22"/>
          <w:szCs w:val="22"/>
        </w:rPr>
        <w:t xml:space="preserve"> – are exempt from Hub redirection and continue to receive care exclusively at their home practice.</w:t>
      </w:r>
    </w:p>
    <w:p>
      <w:pPr>
        <w:pStyle w:val="Heading1"/>
      </w:pPr>
      <w:r>
        <w:t xml:space="preserve">2. Risk Stratification Categories</w:t>
      </w:r>
    </w:p>
    <w:p>
      <w:pPr>
        <w:spacing w:after="200"/>
      </w:pPr>
      <w:r>
        <w:rPr>
          <w:rFonts w:ascii="Arial" w:cs="Arial" w:eastAsia="Arial" w:hAnsi="Arial"/>
          <w:sz w:val="22"/>
          <w:szCs w:val="22"/>
        </w:rPr>
        <w:t xml:space="preserve">Each registered patient is categorised into one of three risk levels based on clinical complexity. The table below summarises the categories and their implications for Hub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30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4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Hub Eligibility</w:t>
            </w:r>
          </w:p>
        </w:tc>
        <w:tc>
          <w:tcPr>
            <w:tcW w:type="dxa" w:w="216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r>
              <w:rPr>
                <w:rFonts w:ascii="Arial" w:cs="Arial" w:eastAsia="Arial" w:hAnsi="Arial"/>
                <w:b/>
                <w:bCs/>
                <w:color w:val="D32F2F"/>
                <w:sz w:val="20"/>
                <w:szCs w:val="20"/>
              </w:rPr>
              <w:t xml:space="preserve">⛔ RED</w:t>
            </w:r>
          </w:p>
        </w:tc>
        <w:tc>
          <w:tcPr>
            <w:tcW w:type="dxa" w:w="30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r>
              <w:rPr>
                <w:rFonts w:ascii="Arial" w:cs="Arial" w:eastAsia="Arial" w:hAnsi="Arial"/>
                <w:sz w:val="20"/>
                <w:szCs w:val="20"/>
              </w:rPr>
              <w:t xml:space="preserve">End of Life, Severe Frailty, or 5+ Co-morbidities</w:t>
            </w:r>
          </w:p>
        </w:tc>
        <w:tc>
          <w:tcPr>
            <w:tcW w:type="dxa" w:w="2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r>
              <w:rPr>
                <w:rFonts w:ascii="Arial" w:cs="Arial" w:eastAsia="Arial" w:hAnsi="Arial"/>
                <w:b/>
                <w:bCs/>
                <w:color w:val="D32F2F"/>
                <w:sz w:val="20"/>
                <w:szCs w:val="20"/>
              </w:rPr>
              <w:t xml:space="preserve">EXEMPT</w:t>
            </w:r>
          </w:p>
        </w:tc>
        <w:tc>
          <w:tcPr>
            <w:tcW w:type="dxa" w:w="216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r>
              <w:rPr>
                <w:rFonts w:ascii="Arial" w:cs="Arial" w:eastAsia="Arial" w:hAnsi="Arial"/>
                <w:sz w:val="20"/>
                <w:szCs w:val="20"/>
              </w:rPr>
              <w:t xml:space="preserve">Remain at home practice only</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E65100"/>
                <w:sz w:val="20"/>
                <w:szCs w:val="20"/>
              </w:rPr>
              <w:t xml:space="preserve">⚠ AMBER</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Moderate complexity / 2–4 Co-morbidities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Eligible with clinical discretion</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sz w:val="20"/>
                <w:szCs w:val="20"/>
              </w:rPr>
              <w:t xml:space="preserve">Staff assess suitability before booking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E7D32"/>
                <w:sz w:val="20"/>
                <w:szCs w:val="20"/>
              </w:rPr>
              <w:t xml:space="preserve">✅ GREEN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Low complexity / routine need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Fully eligible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sz w:val="20"/>
                <w:szCs w:val="20"/>
              </w:rPr>
              <w:t xml:space="preserve">Can be booked into Hub</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color w:val="7B1FA2"/>
                <w:sz w:val="20"/>
                <w:szCs w:val="20"/>
              </w:rPr>
              <w:t xml:space="preserve">📌 PRACTICE EXEMPT</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sz w:val="20"/>
                <w:szCs w:val="20"/>
              </w:rPr>
              <w:t xml:space="preserve">Practice discretionary exemption (see Section 3a)</w:t>
            </w:r>
          </w:p>
        </w:tc>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color w:val="7B1FA2"/>
                <w:sz w:val="20"/>
                <w:szCs w:val="20"/>
              </w:rPr>
              <w:t xml:space="preserve">EXEMPT</w:t>
            </w:r>
          </w:p>
        </w:tc>
        <w:tc>
          <w:tcPr>
            <w:tcW w:type="dxa" w:w="2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sz w:val="20"/>
                <w:szCs w:val="20"/>
              </w:rPr>
              <w:t xml:space="preserve">Remain at home practice only</w:t>
            </w:r>
          </w:p>
        </w:tc>
      </w:tr>
    </w:tbl>
    <w:p>
      <w:pPr>
        <w:pStyle w:val="Heading1"/>
        <w:spacing w:before="400"/>
      </w:pPr>
      <w:r>
        <w:t xml:space="preserve">3. Red Patient Definition</w:t>
      </w:r>
    </w:p>
    <w:p>
      <w:pPr>
        <w:spacing w:after="200"/>
      </w:pPr>
      <w:r>
        <w:rPr>
          <w:rFonts w:ascii="Arial" w:cs="Arial" w:eastAsia="Arial" w:hAnsi="Arial"/>
          <w:sz w:val="22"/>
          <w:szCs w:val="22"/>
        </w:rPr>
        <w:t xml:space="preserve">A patient is classified as Red if they meet any one or more of the following criteria: End of Life (on palliative care register or equivalent), Severe Frailty (eFI score indicating severe frailty), or 5 or more co-morbidities recorded in their clinical record. These patients require the highest level of continuity and should not be redirected away from their home practice under any circumstances during the pilot.</w:t>
      </w:r>
    </w:p>
    <w:p>
      <w:pPr>
        <w:pStyle w:val="Heading2"/>
      </w:pPr>
      <w:r>
        <w:t xml:space="preserve">3a. Practice Discretionary Exemption</w:t>
      </w:r>
    </w:p>
    <w:p>
      <w:pPr>
        <w:spacing w:after="200"/>
      </w:pPr>
      <w:r>
        <w:rPr>
          <w:rFonts w:ascii="Arial" w:cs="Arial" w:eastAsia="Arial" w:hAnsi="Arial"/>
          <w:sz w:val="22"/>
          <w:szCs w:val="22"/>
        </w:rPr>
        <w:t xml:space="preserve">In addition to the clinical criteria above, each practice retains the ability to exempt individual patients from Hub redirection at their own discretion. This recognises that practices hold valuable local knowledge about their patients that may not be captured by clinical coding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Reason</w:t>
            </w:r>
          </w:p>
        </w:tc>
        <w:tc>
          <w:tcPr>
            <w:tcW w:type="dxa" w:w="624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sz w:val="20"/>
                <w:szCs w:val="20"/>
              </w:rPr>
              <w:t xml:space="preserve">Unable to Travel</w:t>
            </w:r>
          </w:p>
        </w:tc>
        <w:tc>
          <w:tcPr>
            <w:tcW w:type="dxa" w:w="62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sz w:val="20"/>
                <w:szCs w:val="20"/>
              </w:rPr>
              <w:t xml:space="preserve">Patient has mobility limitations, no transport, or lives in a rural area making travel to a Hub location impractical or unsafe.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Anxiety / Stress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Patient becomes distressed or anxious attending unfamiliar settings or seeing unfamiliar clinicians (e.g. patients with dementia, learning disabilities, or mental health conditions).</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sz w:val="20"/>
                <w:szCs w:val="20"/>
              </w:rPr>
              <w:t xml:space="preserve">Local Knowledge</w:t>
            </w:r>
          </w:p>
        </w:tc>
        <w:tc>
          <w:tcPr>
            <w:tcW w:type="dxa" w:w="62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sz w:val="20"/>
                <w:szCs w:val="20"/>
              </w:rPr>
              <w:t xml:space="preserve">Practice staff or clinicians are aware of specific circumstances – such as safeguarding concerns, complex family dynamics, or ongoing sensitive care – that mean the patient should remain with their home practice.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Other Practice Reasons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Any other reason the practice deems appropriate. The practice has full autonomy over this decision and does not need to justify it externally.</w:t>
            </w:r>
          </w:p>
        </w:tc>
      </w:tr>
    </w:tbl>
    <w:p>
      <w:pPr>
        <w:spacing w:before="200" w:after="200"/>
      </w:pPr>
      <w:r>
        <w:rPr>
          <w:rFonts w:ascii="Arial" w:cs="Arial" w:eastAsia="Arial" w:hAnsi="Arial"/>
          <w:b/>
          <w:bCs/>
          <w:sz w:val="22"/>
          <w:szCs w:val="22"/>
        </w:rPr>
        <w:t xml:space="preserve">Process: </w:t>
      </w:r>
      <w:r>
        <w:rPr>
          <w:rFonts w:ascii="Arial" w:cs="Arial" w:eastAsia="Arial" w:hAnsi="Arial"/>
          <w:sz w:val="22"/>
          <w:szCs w:val="22"/>
        </w:rPr>
        <w:t xml:space="preserve">The practice will add a pop-up alert directly to the patient’s clinical record in the same manner as a Red risk-stratified pop-up. This is managed entirely at practice level – no central approval or notification is required. Once the pop-up is in place, the patient will be treated as exempt under the same Standard Operating Procedure that applies to Red risk-stratified patients.</w:t>
      </w:r>
    </w:p>
    <w:p>
      <w:pPr>
        <w:pStyle w:val="Heading1"/>
      </w:pPr>
      <w:r>
        <w:t xml:space="preserve">4. Key Safeguards</w:t>
      </w:r>
    </w:p>
    <w:p>
      <w:pPr>
        <w:spacing w:after="200"/>
      </w:pPr>
      <w:r>
        <w:rPr>
          <w:rFonts w:ascii="Arial" w:cs="Arial" w:eastAsia="Arial" w:hAnsi="Arial"/>
          <w:sz w:val="22"/>
          <w:szCs w:val="22"/>
        </w:rPr>
        <w:t xml:space="preserve">Multiple layers of protection ensure Red patients are not inadvertently sent to a Hub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Safeguard</w:t>
            </w:r>
          </w:p>
        </w:tc>
        <w:tc>
          <w:tcPr>
            <w:tcW w:type="dxa" w:w="696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Pop-Up Alert</w:t>
            </w:r>
          </w:p>
        </w:tc>
        <w:tc>
          <w:tcPr>
            <w:tcW w:type="dxa" w:w="6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Each practice clinical system will display a pop-up notification for Red risk-stratified patients, alerting staff before any appointment action is taken.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 Automated Routing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triage or booking system (Rapid Health, Accurx, SystmOne Triage) has direct bookable integration to GP Connect. Therefore, no patient can be automatically sent to a Hub appointment. No further technical action is required.</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r>
              <w:rPr>
                <w:rFonts w:ascii="Arial" w:cs="Arial" w:eastAsia="Arial" w:hAnsi="Arial"/>
                <w:b/>
                <w:bCs/>
                <w:sz w:val="20"/>
                <w:szCs w:val="20"/>
              </w:rPr>
              <w:t xml:space="preserve">Manual Booking SoP</w:t>
            </w:r>
          </w:p>
        </w:tc>
        <w:tc>
          <w:tcPr>
            <w:tcW w:type="dxa" w:w="6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r>
              <w:rPr>
                <w:rFonts w:ascii="Arial" w:cs="Arial" w:eastAsia="Arial" w:hAnsi="Arial"/>
                <w:sz w:val="20"/>
                <w:szCs w:val="20"/>
              </w:rPr>
              <w:t xml:space="preserve">All Hub appointments are manually booked by practice staff. The Standard Operating Procedure explicitly states that staff must not book Red risk-stratified patients into Hub slots. This is the primary control mechanism.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Continuity of Care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Red patients are exempt from the Hub pilot to protect continuity of care with their home practice, their named GP, and their existing care team – particularly important for complex and vulnerable cohorts.</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sz w:val="20"/>
                <w:szCs w:val="20"/>
              </w:rPr>
              <w:t xml:space="preserve">Practice Discretionary Exemption</w:t>
            </w:r>
          </w:p>
        </w:tc>
        <w:tc>
          <w:tcPr>
            <w:tcW w:type="dxa" w:w="6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sz w:val="20"/>
                <w:szCs w:val="20"/>
              </w:rPr>
              <w:t xml:space="preserve">Practices can independently exempt any patient by adding a pop-up alert to their clinical record. This covers patients who may not meet Red clinical criteria but whom the practice considers unsuitable for Hub redirection due to travel difficulties, anxiety, local knowledge, or any other reason.</w:t>
            </w:r>
          </w:p>
        </w:tc>
      </w:tr>
    </w:tbl>
    <w:p>
      <w:pPr>
        <w:pStyle w:val="Heading1"/>
        <w:spacing w:before="400"/>
      </w:pPr>
      <w:r>
        <w:t xml:space="preserve">5.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2"/>
              <w:bottom w:val="single" w:color="D32F2F" w:sz="2"/>
              <w:right w:val="single" w:color="D32F2F" w:sz="2"/>
            </w:tcBorders>
            <w:shd w:fill="FDECEC" w:val="clear"/>
            <w:tcMar>
              <w:top w:type="dxa" w:w="160"/>
              <w:left w:type="dxa" w:w="240"/>
              <w:bottom w:type="dxa" w:w="160"/>
              <w:right w:type="dxa" w:w="240"/>
            </w:tcMar>
          </w:tcPr>
          <w:p>
            <w:pPr>
              <w:spacing w:after="120"/>
            </w:pPr>
            <w:r>
              <w:rPr>
                <w:rFonts w:ascii="Arial" w:cs="Arial" w:eastAsia="Arial" w:hAnsi="Arial"/>
                <w:b/>
                <w:bCs/>
                <w:color w:val="D32F2F"/>
                <w:sz w:val="24"/>
                <w:szCs w:val="24"/>
              </w:rPr>
              <w:t xml:space="preserve">Red Risk-Stratified Patient Workflow Summary</w:t>
            </w:r>
          </w:p>
          <w:p>
            <w:pPr>
              <w:spacing w:after="60"/>
            </w:pPr>
            <w:r>
              <w:rPr>
                <w:rFonts w:ascii="Arial" w:cs="Arial" w:eastAsia="Arial" w:hAnsi="Arial"/>
                <w:sz w:val="20"/>
                <w:szCs w:val="20"/>
              </w:rPr>
              <w:t xml:space="preserve">1.  Patient contacts practice via any channel (phone, online triage, walk-in).</w:t>
            </w:r>
          </w:p>
          <w:p>
            <w:pPr>
              <w:spacing w:after="60"/>
            </w:pPr>
            <w:r>
              <w:rPr>
                <w:rFonts w:ascii="Arial" w:cs="Arial" w:eastAsia="Arial" w:hAnsi="Arial"/>
                <w:sz w:val="20"/>
                <w:szCs w:val="20"/>
              </w:rPr>
              <w:t xml:space="preserve">2.  Triage system processes request as normal – no automated Hub routing exists.</w:t>
            </w:r>
          </w:p>
          <w:p>
            <w:pPr>
              <w:spacing w:after="60"/>
            </w:pPr>
            <w:r>
              <w:rPr>
                <w:rFonts w:ascii="Arial" w:cs="Arial" w:eastAsia="Arial" w:hAnsi="Arial"/>
                <w:sz w:val="20"/>
                <w:szCs w:val="20"/>
              </w:rPr>
              <w:t xml:space="preserve">3.  Practice staff receive request and check clinical system – pop-up alerts Red status.</w:t>
            </w:r>
          </w:p>
          <w:p>
            <w:pPr>
              <w:spacing w:after="60"/>
            </w:pPr>
            <w:r>
              <w:rPr>
                <w:rFonts w:ascii="Arial" w:cs="Arial" w:eastAsia="Arial" w:hAnsi="Arial"/>
                <w:sz w:val="20"/>
                <w:szCs w:val="20"/>
              </w:rPr>
              <w:t xml:space="preserve">4.  Staff book appointment at home practice only (Hub booking prohibited per SoP).</w:t>
            </w:r>
          </w:p>
          <w:p>
            <w:r>
              <w:rPr>
                <w:rFonts w:ascii="Arial" w:cs="Arial" w:eastAsia="Arial" w:hAnsi="Arial"/>
                <w:sz w:val="20"/>
                <w:szCs w:val="20"/>
              </w:rPr>
              <w:t xml:space="preserve">5.  Patient seen by home practice clinician, maintaining continuity of care.</w:t>
            </w:r>
          </w:p>
        </w:tc>
      </w:tr>
    </w:tbl>
    <w:p>
      <w:pPr>
        <w:pStyle w:val="Heading1"/>
        <w:spacing w:before="400"/>
      </w:pPr>
      <w:r>
        <w:t xml:space="preserve">6. Summary</w:t>
      </w:r>
    </w:p>
    <w:p>
      <w:pPr>
        <w:spacing w:after="200"/>
      </w:pPr>
      <w:r>
        <w:rPr>
          <w:rFonts w:ascii="Arial" w:cs="Arial" w:eastAsia="Arial" w:hAnsi="Arial"/>
          <w:sz w:val="22"/>
          <w:szCs w:val="22"/>
        </w:rPr>
        <w:t xml:space="preserve">The combination of clinical system pop-up alerts, the absence of any automated booking pathway to GP Connect, the manual booking Standard Operating Procedure, and the practice discretionary exemption function provides a robust, layered safeguard. Red risk-stratified patients and practice-exempted patients will not be sent to Hub appointments. Their care will remain within their home practice, preserving the continuity that is essential for patients with end-of-life needs, severe frailty, multiple co-morbidities, or other circumstances identified by their practice.</w:t>
      </w:r>
    </w:p>
    <w:sectPr>
      <w:headerReference w:type="default" r:id="rId6"/>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NRES SDA Pilot – Risk Stratification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5EB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5E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2026-02-09T10:46:27.812Z</dcterms:created>
  <dcterms:modified xsi:type="dcterms:W3CDTF">2026-02-09T10:46:27.813Z</dcterms:modified>
</cp:coreProperties>
</file>

<file path=docProps/custom.xml><?xml version="1.0" encoding="utf-8"?>
<Properties xmlns="http://schemas.openxmlformats.org/officeDocument/2006/custom-properties" xmlns:vt="http://schemas.openxmlformats.org/officeDocument/2006/docPropsVTypes"/>
</file>