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3087"/>
          <w:sz w:val="52"/>
          <w:szCs w:val="52"/>
        </w:rPr>
        <w:t xml:space="preserve">Notewell AI</w:t>
      </w:r>
    </w:p>
    <w:p>
      <w:pPr>
        <w:spacing w:after="80"/>
        <w:jc w:val="center"/>
      </w:pPr>
      <w:r>
        <w:rPr>
          <w:rFonts w:ascii="Arial" w:cs="Arial" w:eastAsia="Arial" w:hAnsi="Arial"/>
          <w:color w:val="444444"/>
          <w:sz w:val="32"/>
          <w:szCs w:val="32"/>
        </w:rPr>
        <w:t xml:space="preserve">DPIA Practice Data Collection Template</w:t>
      </w:r>
    </w:p>
    <w:p>
      <w:pPr>
        <w:spacing w:after="400"/>
        <w:jc w:val="center"/>
      </w:pPr>
      <w:r>
        <w:rPr>
          <w:rFonts w:ascii="Arial" w:cs="Arial" w:eastAsia="Arial" w:hAnsi="Arial"/>
          <w:color w:val="666666"/>
          <w:sz w:val="22"/>
          <w:szCs w:val="22"/>
        </w:rPr>
        <w:t xml:space="preserve">Northamptonshire Rural PCN  |  March 2026</w:t>
      </w:r>
    </w:p>
    <w:p>
      <w:pPr>
        <w:spacing w:after="200"/>
      </w:pPr>
      <w:r>
        <w:rPr>
          <w:rFonts w:ascii="Arial" w:cs="Arial" w:eastAsia="Arial" w:hAnsi="Arial"/>
          <w:sz w:val="22"/>
          <w:szCs w:val="22"/>
        </w:rPr>
        <w:t xml:space="preserve">Dear Practice Manager,</w:t>
      </w:r>
    </w:p>
    <w:p>
      <w:pPr>
        <w:spacing w:after="200"/>
      </w:pPr>
      <w:r>
        <w:rPr>
          <w:rFonts w:ascii="Arial" w:cs="Arial" w:eastAsia="Arial" w:hAnsi="Arial"/>
          <w:sz w:val="22"/>
          <w:szCs w:val="22"/>
        </w:rPr>
        <w:t xml:space="preserve">Following formal approval from the NHS Northamptonshire ICB DDaT Delivery Group, Northamptonshire Rural PCN member practices have been approved as pilot sites for Notewell AI – an MHRA Class I registered medical device platform designed for NHS primary care.</w:t>
      </w:r>
    </w:p>
    <w:p>
      <w:pPr>
        <w:spacing w:after="200"/>
      </w:pPr>
      <w:r>
        <w:rPr>
          <w:rFonts w:ascii="Arial" w:cs="Arial" w:eastAsia="Arial" w:hAnsi="Arial"/>
          <w:sz w:val="22"/>
          <w:szCs w:val="22"/>
        </w:rPr>
        <w:t xml:space="preserve">To prepare a custom Data Protection Impact Assessment (DPIA) for your practice, along with a suggested Privacy Notice update, we need to collect the information detailed in this template. All governance documentation, including the DCB0129, DCB0160, and DTAC, has been completed and will be supplied to your practice.</w:t>
      </w:r>
    </w:p>
    <w:p>
      <w:pPr>
        <w:spacing w:after="300"/>
      </w:pPr>
      <w:r>
        <w:rPr>
          <w:rFonts w:ascii="Arial" w:cs="Arial" w:eastAsia="Arial" w:hAnsi="Arial"/>
          <w:sz w:val="22"/>
          <w:szCs w:val="22"/>
        </w:rPr>
        <w:t xml:space="preserve">Please complete the table overleaf and return to Malcolm Railson at your earliest convenience.</w:t>
      </w:r>
    </w:p>
    <w:p>
      <w:pPr>
        <w:pStyle w:val="Heading1"/>
      </w:pPr>
      <w:r>
        <w:t xml:space="preserve">1. Notewell AI – Governance &amp; Compliance Status</w:t>
      </w:r>
    </w:p>
    <w:p>
      <w:pPr>
        <w:spacing w:after="200"/>
      </w:pPr>
      <w:r>
        <w:rPr>
          <w:rFonts w:ascii="Arial" w:cs="Arial" w:eastAsia="Arial" w:hAnsi="Arial"/>
          <w:sz w:val="22"/>
          <w:szCs w:val="22"/>
        </w:rPr>
        <w:t xml:space="preserve">Notewell AI has undergone comprehensive clinical safety and information governance assurance. The table below summarises the current compliance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960"/>
        <w:gridCol w:w="1200"/>
      </w:tblGrid>
      <w:tr>
        <w:tc>
          <w:tcPr>
            <w:tcW w:type="dxa" w:w="3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 / Requirement</w:t>
            </w:r>
          </w:p>
        </w:tc>
        <w:tc>
          <w:tcPr>
            <w:tcW w:type="dxa" w:w="49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MHRA Registration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Notewell AI is registered as an MHRA Class I Medical Device</w:t>
            </w:r>
          </w:p>
        </w:tc>
        <w:tc>
          <w:tcPr>
            <w:tcW w:type="dxa" w:w="1200"/>
            <w:tcBorders>
              <w:top w:val="single" w:color="CCCCCC" w:sz="1"/>
              <w:left w:val="single" w:color="CCCCCC" w:sz="1"/>
              <w:bottom w:val="single" w:color="CCCCCC" w:sz="1"/>
              <w:right w:val="single" w:color="CCCCCC" w:sz="1"/>
            </w:tcBorders>
            <w:shd w:fill="E6F5EC" w:val="clear"/>
            <w:tcMar>
              <w:top w:type="dxa" w:w="80"/>
              <w:left w:type="dxa" w:w="120"/>
              <w:bottom w:type="dxa" w:w="80"/>
              <w:right w:type="dxa" w:w="120"/>
            </w:tcMar>
          </w:tcPr>
          <w:p>
            <w:pPr>
              <w:jc w:val="center"/>
            </w:pPr>
            <w:r>
              <w:rPr>
                <w:rFonts w:ascii="Arial" w:cs="Arial" w:eastAsia="Arial" w:hAnsi="Arial"/>
                <w:b/>
                <w:bCs/>
                <w:color w:val="007F3B"/>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Clinical Safety Officer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CSO sign-off completed in accordance with NHS clinical safety standards</w:t>
            </w:r>
          </w:p>
        </w:tc>
        <w:tc>
          <w:tcPr>
            <w:tcW w:type="dxa" w:w="1200"/>
            <w:tcBorders>
              <w:top w:val="single" w:color="CCCCCC" w:sz="1"/>
              <w:left w:val="single" w:color="CCCCCC" w:sz="1"/>
              <w:bottom w:val="single" w:color="CCCCCC" w:sz="1"/>
              <w:right w:val="single" w:color="CCCCCC" w:sz="1"/>
            </w:tcBorders>
            <w:shd w:fill="E6F5EC" w:val="clear"/>
            <w:tcMar>
              <w:top w:type="dxa" w:w="80"/>
              <w:left w:type="dxa" w:w="120"/>
              <w:bottom w:type="dxa" w:w="80"/>
              <w:right w:type="dxa" w:w="120"/>
            </w:tcMar>
          </w:tcPr>
          <w:p>
            <w:pPr>
              <w:jc w:val="center"/>
            </w:pPr>
            <w:r>
              <w:rPr>
                <w:rFonts w:ascii="Arial" w:cs="Arial" w:eastAsia="Arial" w:hAnsi="Arial"/>
                <w:b/>
                <w:bCs/>
                <w:color w:val="007F3B"/>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DCB0129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Risk Management – Manufacturer’s clinical safety case report completed</w:t>
            </w:r>
          </w:p>
        </w:tc>
        <w:tc>
          <w:tcPr>
            <w:tcW w:type="dxa" w:w="1200"/>
            <w:tcBorders>
              <w:top w:val="single" w:color="CCCCCC" w:sz="1"/>
              <w:left w:val="single" w:color="CCCCCC" w:sz="1"/>
              <w:bottom w:val="single" w:color="CCCCCC" w:sz="1"/>
              <w:right w:val="single" w:color="CCCCCC" w:sz="1"/>
            </w:tcBorders>
            <w:shd w:fill="E6F5EC" w:val="clear"/>
            <w:tcMar>
              <w:top w:type="dxa" w:w="80"/>
              <w:left w:type="dxa" w:w="120"/>
              <w:bottom w:type="dxa" w:w="80"/>
              <w:right w:type="dxa" w:w="120"/>
            </w:tcMar>
          </w:tcPr>
          <w:p>
            <w:pPr>
              <w:jc w:val="center"/>
            </w:pPr>
            <w:r>
              <w:rPr>
                <w:rFonts w:ascii="Arial" w:cs="Arial" w:eastAsia="Arial" w:hAnsi="Arial"/>
                <w:b/>
                <w:bCs/>
                <w:color w:val="007F3B"/>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DCB0160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Risk Management – Health Organisation’s clinical safety case report completed</w:t>
            </w:r>
          </w:p>
        </w:tc>
        <w:tc>
          <w:tcPr>
            <w:tcW w:type="dxa" w:w="1200"/>
            <w:tcBorders>
              <w:top w:val="single" w:color="CCCCCC" w:sz="1"/>
              <w:left w:val="single" w:color="CCCCCC" w:sz="1"/>
              <w:bottom w:val="single" w:color="CCCCCC" w:sz="1"/>
              <w:right w:val="single" w:color="CCCCCC" w:sz="1"/>
            </w:tcBorders>
            <w:shd w:fill="E6F5EC" w:val="clear"/>
            <w:tcMar>
              <w:top w:type="dxa" w:w="80"/>
              <w:left w:type="dxa" w:w="120"/>
              <w:bottom w:type="dxa" w:w="80"/>
              <w:right w:type="dxa" w:w="120"/>
            </w:tcMar>
          </w:tcPr>
          <w:p>
            <w:pPr>
              <w:jc w:val="center"/>
            </w:pPr>
            <w:r>
              <w:rPr>
                <w:rFonts w:ascii="Arial" w:cs="Arial" w:eastAsia="Arial" w:hAnsi="Arial"/>
                <w:b/>
                <w:bCs/>
                <w:color w:val="007F3B"/>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DTAC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Technology Assessment Criteria – completed and available</w:t>
            </w:r>
          </w:p>
        </w:tc>
        <w:tc>
          <w:tcPr>
            <w:tcW w:type="dxa" w:w="1200"/>
            <w:tcBorders>
              <w:top w:val="single" w:color="CCCCCC" w:sz="1"/>
              <w:left w:val="single" w:color="CCCCCC" w:sz="1"/>
              <w:bottom w:val="single" w:color="CCCCCC" w:sz="1"/>
              <w:right w:val="single" w:color="CCCCCC" w:sz="1"/>
            </w:tcBorders>
            <w:shd w:fill="E6F5EC" w:val="clear"/>
            <w:tcMar>
              <w:top w:type="dxa" w:w="80"/>
              <w:left w:type="dxa" w:w="120"/>
              <w:bottom w:type="dxa" w:w="80"/>
              <w:right w:type="dxa" w:w="120"/>
            </w:tcMar>
          </w:tcPr>
          <w:p>
            <w:pPr>
              <w:jc w:val="center"/>
            </w:pPr>
            <w:r>
              <w:rPr>
                <w:rFonts w:ascii="Arial" w:cs="Arial" w:eastAsia="Arial" w:hAnsi="Arial"/>
                <w:b/>
                <w:bCs/>
                <w:color w:val="007F3B"/>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ICB Approval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approval granted via the ICB DDaT (Digital, Data and Technology) Delivery Group</w:t>
            </w:r>
          </w:p>
        </w:tc>
        <w:tc>
          <w:tcPr>
            <w:tcW w:type="dxa" w:w="1200"/>
            <w:tcBorders>
              <w:top w:val="single" w:color="CCCCCC" w:sz="1"/>
              <w:left w:val="single" w:color="CCCCCC" w:sz="1"/>
              <w:bottom w:val="single" w:color="CCCCCC" w:sz="1"/>
              <w:right w:val="single" w:color="CCCCCC" w:sz="1"/>
            </w:tcBorders>
            <w:shd w:fill="E6F5EC" w:val="clear"/>
            <w:tcMar>
              <w:top w:type="dxa" w:w="80"/>
              <w:left w:type="dxa" w:w="120"/>
              <w:bottom w:type="dxa" w:w="80"/>
              <w:right w:type="dxa" w:w="120"/>
            </w:tcMar>
          </w:tcPr>
          <w:p>
            <w:pPr>
              <w:jc w:val="center"/>
            </w:pPr>
            <w:r>
              <w:rPr>
                <w:rFonts w:ascii="Arial" w:cs="Arial" w:eastAsia="Arial" w:hAnsi="Arial"/>
                <w:b/>
                <w:bCs/>
                <w:color w:val="007F3B"/>
                <w:sz w:val="22"/>
                <w:szCs w:val="22"/>
              </w:rPr>
              <w:t xml:space="preserve">✓</w:t>
            </w:r>
          </w:p>
        </w:tc>
      </w:tr>
    </w:tbl>
    <w:p>
      <w:pPr>
        <w:spacing w:after="200" w:before="200"/>
      </w:pPr>
      <w:r>
        <w:rPr>
          <w:rFonts w:ascii="Arial" w:cs="Arial" w:eastAsia="Arial" w:hAnsi="Arial"/>
          <w:i/>
          <w:iCs/>
          <w:color w:val="666666"/>
          <w:sz w:val="22"/>
          <w:szCs w:val="22"/>
        </w:rPr>
        <w:t xml:space="preserve">Copies of all governance documentation are available on request and will be shared with each practice prior to launch.</w:t>
      </w:r>
    </w:p>
    <w:p>
      <w:r>
        <w:br w:type="page"/>
      </w:r>
    </w:p>
    <w:p>
      <w:pPr>
        <w:pStyle w:val="Heading1"/>
      </w:pPr>
      <w:r>
        <w:t xml:space="preserve">2. Practice Details – Please Complete</w:t>
      </w:r>
    </w:p>
    <w:p>
      <w:pPr>
        <w:spacing w:after="200"/>
      </w:pPr>
      <w:r>
        <w:rPr>
          <w:rFonts w:ascii="Arial" w:cs="Arial" w:eastAsia="Arial" w:hAnsi="Arial"/>
          <w:sz w:val="22"/>
          <w:szCs w:val="22"/>
        </w:rPr>
        <w:t xml:space="preserve">Please complete one copy of this table per practice and return to Malcolm Railson. If any information is held centrally by the PCN, please indicate this in the relevant field.</w:t>
      </w:r>
    </w:p>
    <w:p>
      <w:pPr>
        <w:pStyle w:val="Heading2"/>
      </w:pPr>
      <w:r>
        <w:t xml:space="preserve">2.1 Practice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Response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Practice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e.g. Byfield Medical Centre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Practice Address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Full address including postcode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ODS 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e.g. K83064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Practice Telephone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Main contact number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Practice Manager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Full name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Practice Manager Email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NHS.net email preferred</w:t>
            </w:r>
          </w:p>
        </w:tc>
      </w:tr>
    </w:tbl>
    <w:p>
      <w:pPr>
        <w:spacing w:before="300"/>
      </w:pPr>
    </w:p>
    <w:p>
      <w:pPr>
        <w:pStyle w:val="Heading2"/>
      </w:pPr>
      <w:r>
        <w:t xml:space="preserve">2.2 Information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Response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ICO Registration Number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e.g. ZA123456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DSPT 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e.g. Standards Met / Standards Exceeded</w:t>
            </w:r>
          </w:p>
        </w:tc>
      </w:tr>
    </w:tbl>
    <w:p>
      <w:pPr>
        <w:spacing w:before="300"/>
      </w:pPr>
    </w:p>
    <w:p>
      <w:pPr>
        <w:pStyle w:val="Heading2"/>
      </w:pPr>
      <w:r>
        <w:t xml:space="preserve">2.3 Caldicott Guardian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Response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Caldicott Guardian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Full name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Caldicott Guardian Role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e.g. GP Partner / Senior Partner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Caldicott Guardian Email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NHS.net email preferred</w:t>
            </w:r>
          </w:p>
        </w:tc>
      </w:tr>
    </w:tbl>
    <w:p>
      <w:pPr>
        <w:spacing w:before="300"/>
      </w:pPr>
    </w:p>
    <w:p>
      <w:pPr>
        <w:pStyle w:val="Heading2"/>
      </w:pPr>
      <w:r>
        <w:t xml:space="preserve">2.4 Data Protection Officer (DPO)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Response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DPO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Full name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DPO Organisation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e.g. Practice / External provider name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DPO Email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Contact email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DPO Telephone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Contact number</w:t>
            </w:r>
          </w:p>
        </w:tc>
      </w:tr>
    </w:tbl>
    <w:p>
      <w:pPr>
        <w:spacing w:before="400"/>
      </w:pPr>
    </w:p>
    <w:p>
      <w:pPr>
        <w:pStyle w:val="Heading1"/>
      </w:pPr>
      <w:r>
        <w:t xml:space="preserve">3. Returning This Form</w:t>
      </w:r>
    </w:p>
    <w:p>
      <w:pPr>
        <w:spacing w:after="200"/>
      </w:pPr>
      <w:r>
        <w:rPr>
          <w:rFonts w:ascii="Arial" w:cs="Arial" w:eastAsia="Arial" w:hAnsi="Arial"/>
          <w:sz w:val="22"/>
          <w:szCs w:val="22"/>
        </w:rPr>
        <w:t xml:space="preserve">Please return the completed form to:</w:t>
      </w:r>
    </w:p>
    <w:p>
      <w:pPr>
        <w:spacing w:after="40"/>
      </w:pPr>
      <w:r>
        <w:rPr>
          <w:rFonts w:ascii="Arial" w:cs="Arial" w:eastAsia="Arial" w:hAnsi="Arial"/>
          <w:b/>
          <w:bCs/>
          <w:sz w:val="22"/>
          <w:szCs w:val="22"/>
        </w:rPr>
        <w:t xml:space="preserve">Malcolm Railson</w:t>
      </w:r>
    </w:p>
    <w:p>
      <w:pPr>
        <w:spacing w:after="40"/>
      </w:pPr>
      <w:r>
        <w:rPr>
          <w:rFonts w:ascii="Arial" w:cs="Arial" w:eastAsia="Arial" w:hAnsi="Arial"/>
          <w:sz w:val="22"/>
          <w:szCs w:val="22"/>
        </w:rPr>
        <w:t xml:space="preserve">Digital &amp; Transformation Lead</w:t>
      </w:r>
    </w:p>
    <w:p>
      <w:pPr>
        <w:spacing w:after="40"/>
      </w:pPr>
      <w:r>
        <w:rPr>
          <w:rFonts w:ascii="Arial" w:cs="Arial" w:eastAsia="Arial" w:hAnsi="Arial"/>
          <w:sz w:val="22"/>
          <w:szCs w:val="22"/>
        </w:rPr>
        <w:t xml:space="preserve">GP Notewell AI</w:t>
      </w:r>
    </w:p>
    <w:p>
      <w:pPr>
        <w:spacing w:after="300"/>
      </w:pPr>
      <w:r>
        <w:rPr>
          <w:rFonts w:ascii="Arial" w:cs="Arial" w:eastAsia="Arial" w:hAnsi="Arial"/>
          <w:sz w:val="22"/>
          <w:szCs w:val="22"/>
        </w:rPr>
        <w:t xml:space="preserve">Email: malcolm.railson@nhs.net</w:t>
      </w:r>
    </w:p>
    <w:p>
      <w:pPr>
        <w:spacing w:after="200"/>
      </w:pPr>
      <w:r>
        <w:rPr>
          <w:rFonts w:ascii="Arial" w:cs="Arial" w:eastAsia="Arial" w:hAnsi="Arial"/>
          <w:i/>
          <w:iCs/>
          <w:color w:val="666666"/>
          <w:sz w:val="22"/>
          <w:szCs w:val="22"/>
        </w:rPr>
        <w:t xml:space="preserve">Once received, a custom DPIA and Privacy Notice update will be prepared for your practice prior to the mid-April launch.</w:t>
      </w:r>
    </w:p>
    <w:p>
      <w:pPr>
        <w:pStyle w:val="Heading2"/>
        <w:spacing w:before="400"/>
      </w:pPr>
      <w:r>
        <w:t xml:space="preserve">Completed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Response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GP Notewell AI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4" w:space="4"/>
      </w:pBdr>
      <w:spacing w:after="200"/>
      <w:jc w:val="right"/>
    </w:pPr>
    <w:r>
      <w:rPr>
        <w:rFonts w:ascii="Arial" w:cs="Arial" w:eastAsia="Arial" w:hAnsi="Arial"/>
        <w:b/>
        <w:bCs/>
        <w:color w:val="003087"/>
        <w:sz w:val="18"/>
        <w:szCs w:val="18"/>
      </w:rPr>
      <w:t xml:space="preserve">Notewell AI  </w:t>
    </w:r>
    <w:r>
      <w:rPr>
        <w:rFonts w:ascii="Arial" w:cs="Arial" w:eastAsia="Arial" w:hAnsi="Arial"/>
        <w:color w:val="666666"/>
        <w:sz w:val="18"/>
        <w:szCs w:val="18"/>
      </w:rPr>
      <w:t xml:space="preserve">|  DPIA Practice Data Collection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08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0308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2026-03-25T07:02:19.418Z</dcterms:created>
  <dcterms:modified xsi:type="dcterms:W3CDTF">2026-03-25T07:02:19.418Z</dcterms:modified>
</cp:coreProperties>
</file>

<file path=docProps/custom.xml><?xml version="1.0" encoding="utf-8"?>
<Properties xmlns="http://schemas.openxmlformats.org/officeDocument/2006/custom-properties" xmlns:vt="http://schemas.openxmlformats.org/officeDocument/2006/docPropsVTypes"/>
</file>