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B5F7" w14:textId="1436EFDB" w:rsidR="00804BA6" w:rsidRDefault="00804BA6">
      <w:pPr>
        <w:pStyle w:val="Heading1"/>
        <w:rPr>
          <w:sz w:val="32"/>
          <w:szCs w:val="32"/>
        </w:rPr>
      </w:pPr>
      <w:r w:rsidRPr="00804BA6">
        <w:rPr>
          <w:sz w:val="32"/>
          <w:szCs w:val="32"/>
        </w:rPr>
        <w:t xml:space="preserve">SDA Programme Board Meeting </w:t>
      </w:r>
      <w:r>
        <w:rPr>
          <w:sz w:val="32"/>
          <w:szCs w:val="32"/>
        </w:rPr>
        <w:t>– Draft Minutes</w:t>
      </w:r>
    </w:p>
    <w:p w14:paraId="425F7A50" w14:textId="36BD0F88" w:rsidR="001023C1" w:rsidRDefault="00FA7AF6">
      <w:pPr>
        <w:pStyle w:val="Heading1"/>
      </w:pPr>
      <w:r>
        <w:t>MEETING DETAILS</w:t>
      </w:r>
    </w:p>
    <w:p w14:paraId="5EF1604B" w14:textId="4C9BBD67" w:rsidR="001023C1" w:rsidRDefault="00FA7AF6">
      <w:pPr>
        <w:spacing w:after="80"/>
      </w:pPr>
      <w:r>
        <w:t>Date: Tuesday 24th February 2026</w:t>
      </w:r>
      <w:r>
        <w:tab/>
      </w:r>
      <w:r>
        <w:t>Time: 15:</w:t>
      </w:r>
      <w:r w:rsidR="00804BA6">
        <w:t>15</w:t>
      </w:r>
      <w:r>
        <w:t xml:space="preserve"> GMT</w:t>
      </w:r>
    </w:p>
    <w:p w14:paraId="65655B40" w14:textId="0ABE58AA" w:rsidR="001023C1" w:rsidRDefault="00FA7AF6" w:rsidP="00804BA6">
      <w:pPr>
        <w:spacing w:after="80"/>
      </w:pPr>
      <w:r>
        <w:t xml:space="preserve">Location: </w:t>
      </w:r>
      <w:r w:rsidR="00804BA6" w:rsidRPr="00804BA6">
        <w:t>Bragborough Hall Business centre, Welton Road, Daventry, Northamptonshire, NN11 7JG</w:t>
      </w:r>
    </w:p>
    <w:p w14:paraId="0CC50265" w14:textId="77777777" w:rsidR="001023C1" w:rsidRDefault="00FA7AF6">
      <w:pPr>
        <w:pStyle w:val="Heading1"/>
      </w:pPr>
      <w:r>
        <w:t>DISCUSSION SUMMARY</w:t>
      </w:r>
    </w:p>
    <w:p w14:paraId="53E8F091" w14:textId="77777777" w:rsidR="001023C1" w:rsidRDefault="00FA7AF6">
      <w:pPr>
        <w:spacing w:after="80"/>
      </w:pPr>
      <w:r>
        <w:t>Key Points</w:t>
      </w:r>
    </w:p>
    <w:p w14:paraId="2A61DCA5" w14:textId="77777777" w:rsidR="001023C1" w:rsidRDefault="00FA7AF6">
      <w:pPr>
        <w:pStyle w:val="ListParagraph"/>
        <w:numPr>
          <w:ilvl w:val="0"/>
          <w:numId w:val="2"/>
        </w:numPr>
      </w:pPr>
      <w:r>
        <w:rPr>
          <w:b/>
          <w:bCs/>
        </w:rPr>
        <w:t>Contracts and Memoranda of Understanding (MOUs)</w:t>
      </w:r>
    </w:p>
    <w:p w14:paraId="075A63FC" w14:textId="77777777" w:rsidR="001023C1" w:rsidRDefault="00FA7AF6">
      <w:pPr>
        <w:pStyle w:val="ListParagraph"/>
        <w:numPr>
          <w:ilvl w:val="0"/>
          <w:numId w:val="3"/>
        </w:numPr>
      </w:pPr>
      <w:r>
        <w:t>MOUs are not legally binding contracts but serve as "gentleman's agreements" outlining how parties will work together.</w:t>
      </w:r>
    </w:p>
    <w:p w14:paraId="31BA7D4F" w14:textId="734CB36C" w:rsidR="001023C1" w:rsidRDefault="00FA7AF6">
      <w:pPr>
        <w:pStyle w:val="ListParagraph"/>
        <w:numPr>
          <w:ilvl w:val="0"/>
          <w:numId w:val="3"/>
        </w:numPr>
      </w:pPr>
      <w:r>
        <w:t>Hem</w:t>
      </w:r>
      <w:r w:rsidR="00804BA6">
        <w:t>p</w:t>
      </w:r>
      <w:r>
        <w:t>s</w:t>
      </w:r>
      <w:r w:rsidR="00804BA6">
        <w:t>ons</w:t>
      </w:r>
      <w:r>
        <w:t xml:space="preserve"> advised that when significant funds are exchanged, contractual arrangements are preferable to MOUs.</w:t>
      </w:r>
    </w:p>
    <w:p w14:paraId="5A661378" w14:textId="53F4BDF0" w:rsidR="001023C1" w:rsidRDefault="00FA7AF6">
      <w:pPr>
        <w:pStyle w:val="ListParagraph"/>
        <w:numPr>
          <w:ilvl w:val="0"/>
          <w:numId w:val="3"/>
        </w:numPr>
      </w:pPr>
      <w:r>
        <w:t>The group distinguished between the legal variations in GP contracts (GMS enhanced service), which are contractual, and MOUs between the SN</w:t>
      </w:r>
      <w:r w:rsidR="00804BA6">
        <w:t>O</w:t>
      </w:r>
      <w:r>
        <w:t xml:space="preserve"> and practices, or practice to practice, or ICB and SN</w:t>
      </w:r>
      <w:r w:rsidR="00804BA6">
        <w:t>O</w:t>
      </w:r>
      <w:r>
        <w:t>, which are not legally binding.</w:t>
      </w:r>
    </w:p>
    <w:p w14:paraId="1905BF48" w14:textId="77777777" w:rsidR="001023C1" w:rsidRDefault="00FA7AF6">
      <w:pPr>
        <w:pStyle w:val="ListParagraph"/>
        <w:numPr>
          <w:ilvl w:val="0"/>
          <w:numId w:val="3"/>
        </w:numPr>
      </w:pPr>
      <w:r>
        <w:t>It was noted that MOUs typically include legal clauses for elements such as privacy, but not necessarily for contractual financial obligations.</w:t>
      </w:r>
    </w:p>
    <w:p w14:paraId="0C87FB16" w14:textId="77777777" w:rsidR="001023C1" w:rsidRDefault="00FA7AF6">
      <w:pPr>
        <w:pStyle w:val="ListParagraph"/>
        <w:numPr>
          <w:ilvl w:val="0"/>
          <w:numId w:val="3"/>
        </w:numPr>
      </w:pPr>
      <w:r>
        <w:t>Concerns were raised about potential duplication if MOUs include operational details already covered in the main contract specifications. The specification, being a lengthy document, means a simpler MOU focusing on core agreements and referencing the spec is more practical.</w:t>
      </w:r>
    </w:p>
    <w:p w14:paraId="57B82ADF" w14:textId="77777777" w:rsidR="001023C1" w:rsidRDefault="001023C1">
      <w:pPr>
        <w:spacing w:after="60"/>
      </w:pPr>
    </w:p>
    <w:p w14:paraId="4F518979" w14:textId="77777777" w:rsidR="001023C1" w:rsidRDefault="00FA7AF6">
      <w:pPr>
        <w:pStyle w:val="ListParagraph"/>
        <w:numPr>
          <w:ilvl w:val="0"/>
          <w:numId w:val="2"/>
        </w:numPr>
      </w:pPr>
      <w:r>
        <w:rPr>
          <w:b/>
          <w:bCs/>
        </w:rPr>
        <w:t>Communications Planning</w:t>
      </w:r>
    </w:p>
    <w:p w14:paraId="0613C658" w14:textId="77777777" w:rsidR="001023C1" w:rsidRDefault="00FA7AF6">
      <w:pPr>
        <w:pStyle w:val="ListParagraph"/>
        <w:numPr>
          <w:ilvl w:val="0"/>
          <w:numId w:val="3"/>
        </w:numPr>
      </w:pPr>
      <w:r>
        <w:t>A meeting was scheduled with the communications team to develop initial patient communications for upcoming services.</w:t>
      </w:r>
    </w:p>
    <w:p w14:paraId="3FACDA36" w14:textId="77777777" w:rsidR="001023C1" w:rsidRDefault="00FA7AF6">
      <w:pPr>
        <w:pStyle w:val="ListParagraph"/>
        <w:numPr>
          <w:ilvl w:val="0"/>
          <w:numId w:val="3"/>
        </w:numPr>
      </w:pPr>
      <w:r>
        <w:t>The importance of consistent language was emphasised to prevent misinterpretation by patients.</w:t>
      </w:r>
    </w:p>
    <w:p w14:paraId="653C24F4" w14:textId="77777777" w:rsidR="001023C1" w:rsidRDefault="00FA7AF6">
      <w:pPr>
        <w:pStyle w:val="ListParagraph"/>
        <w:numPr>
          <w:ilvl w:val="0"/>
          <w:numId w:val="3"/>
        </w:numPr>
      </w:pPr>
      <w:r>
        <w:t>An FAQ document is to be developed to assist practices in responding to patient enquiries, with potential input from Patient Participation Group (PPG) representatives.</w:t>
      </w:r>
    </w:p>
    <w:p w14:paraId="4F628E97" w14:textId="77777777" w:rsidR="001023C1" w:rsidRDefault="00FA7AF6">
      <w:pPr>
        <w:pStyle w:val="ListParagraph"/>
        <w:numPr>
          <w:ilvl w:val="0"/>
          <w:numId w:val="3"/>
        </w:numPr>
      </w:pPr>
      <w:r>
        <w:t>Consideration for non-digital communication methods was noted to ensure broad patient reach.</w:t>
      </w:r>
    </w:p>
    <w:p w14:paraId="13050A8E" w14:textId="77777777" w:rsidR="001023C1" w:rsidRDefault="001023C1">
      <w:pPr>
        <w:spacing w:after="60"/>
      </w:pPr>
    </w:p>
    <w:p w14:paraId="437298F1" w14:textId="77777777" w:rsidR="001023C1" w:rsidRDefault="00FA7AF6">
      <w:pPr>
        <w:pStyle w:val="ListParagraph"/>
        <w:numPr>
          <w:ilvl w:val="0"/>
          <w:numId w:val="2"/>
        </w:numPr>
      </w:pPr>
      <w:r>
        <w:rPr>
          <w:b/>
          <w:bCs/>
        </w:rPr>
        <w:t>Finance and Budget Management</w:t>
      </w:r>
    </w:p>
    <w:p w14:paraId="1E62279A" w14:textId="77777777" w:rsidR="001023C1" w:rsidRDefault="00FA7AF6">
      <w:pPr>
        <w:pStyle w:val="ListParagraph"/>
        <w:numPr>
          <w:ilvl w:val="0"/>
          <w:numId w:val="3"/>
        </w:numPr>
      </w:pPr>
      <w:r>
        <w:t>Draft budgets were updated based on previous discussions and shared.</w:t>
      </w:r>
    </w:p>
    <w:p w14:paraId="3695EE73" w14:textId="77777777" w:rsidR="001023C1" w:rsidRDefault="00FA7AF6">
      <w:pPr>
        <w:pStyle w:val="ListParagraph"/>
        <w:numPr>
          <w:ilvl w:val="0"/>
          <w:numId w:val="3"/>
        </w:numPr>
      </w:pPr>
      <w:r>
        <w:t>The finance team is tracking expenditure against development funding, with an emphasis on timely submission of invoices to ensure accurate accruals.</w:t>
      </w:r>
    </w:p>
    <w:p w14:paraId="30E991C3" w14:textId="77777777" w:rsidR="001023C1" w:rsidRDefault="00FA7AF6">
      <w:pPr>
        <w:pStyle w:val="ListParagraph"/>
        <w:numPr>
          <w:ilvl w:val="0"/>
          <w:numId w:val="3"/>
        </w:numPr>
      </w:pPr>
      <w:r>
        <w:t>Monthly management accounts and rolling 12-month forecasts will be presented regularly to monitor spending and identify unspent funds.</w:t>
      </w:r>
    </w:p>
    <w:p w14:paraId="0B89B378" w14:textId="77777777" w:rsidR="001023C1" w:rsidRDefault="00FA7AF6">
      <w:pPr>
        <w:pStyle w:val="ListParagraph"/>
        <w:numPr>
          <w:ilvl w:val="0"/>
          <w:numId w:val="3"/>
        </w:numPr>
      </w:pPr>
      <w:r>
        <w:t>Concerns were raised about potential significant unspent funds if recruitment targets are not met, and the need for a provision for small innovation funds or winter capacity.</w:t>
      </w:r>
    </w:p>
    <w:p w14:paraId="3CB6BCF7" w14:textId="77777777" w:rsidR="001023C1" w:rsidRDefault="00FA7AF6">
      <w:pPr>
        <w:pStyle w:val="ListParagraph"/>
        <w:numPr>
          <w:ilvl w:val="0"/>
          <w:numId w:val="3"/>
        </w:numPr>
      </w:pPr>
      <w:r>
        <w:lastRenderedPageBreak/>
        <w:t>The buy-back scheme approval by the ICB was highlighted as a critical area for understanding.</w:t>
      </w:r>
    </w:p>
    <w:p w14:paraId="497C1650" w14:textId="77777777" w:rsidR="001023C1" w:rsidRDefault="001023C1">
      <w:pPr>
        <w:spacing w:after="60"/>
      </w:pPr>
    </w:p>
    <w:p w14:paraId="3870D8F3" w14:textId="77777777" w:rsidR="001023C1" w:rsidRDefault="00FA7AF6">
      <w:pPr>
        <w:pStyle w:val="ListParagraph"/>
        <w:numPr>
          <w:ilvl w:val="0"/>
          <w:numId w:val="2"/>
        </w:numPr>
      </w:pPr>
      <w:r>
        <w:rPr>
          <w:b/>
          <w:bCs/>
        </w:rPr>
        <w:t>Operational Dashboard and Reporting</w:t>
      </w:r>
    </w:p>
    <w:p w14:paraId="5C3FAC9B" w14:textId="28276FD5" w:rsidR="001023C1" w:rsidRDefault="00FA7AF6">
      <w:pPr>
        <w:pStyle w:val="ListParagraph"/>
        <w:numPr>
          <w:ilvl w:val="0"/>
          <w:numId w:val="3"/>
        </w:numPr>
      </w:pPr>
      <w:r>
        <w:t xml:space="preserve">A comprehensive dashboard </w:t>
      </w:r>
      <w:r w:rsidR="00804BA6">
        <w:t xml:space="preserve">(Notewell – NRES Dashboard) </w:t>
      </w:r>
      <w:r>
        <w:t>was presented, designed as a working system, not just a website.</w:t>
      </w:r>
    </w:p>
    <w:p w14:paraId="12946422" w14:textId="77777777" w:rsidR="00804BA6" w:rsidRDefault="00804BA6" w:rsidP="00804BA6">
      <w:pPr>
        <w:pStyle w:val="ListParagraph"/>
      </w:pPr>
    </w:p>
    <w:p w14:paraId="11CD9758" w14:textId="0BFA0B69" w:rsidR="001023C1" w:rsidRDefault="00FA7AF6" w:rsidP="00804BA6">
      <w:pPr>
        <w:pStyle w:val="ListParagraph"/>
      </w:pPr>
      <w:r>
        <w:t>Features include:</w:t>
      </w:r>
    </w:p>
    <w:p w14:paraId="1733C710" w14:textId="77777777" w:rsidR="001023C1" w:rsidRDefault="00FA7AF6">
      <w:pPr>
        <w:pStyle w:val="ListParagraph"/>
        <w:numPr>
          <w:ilvl w:val="0"/>
          <w:numId w:val="3"/>
        </w:numPr>
      </w:pPr>
      <w:r>
        <w:t>Contract and specification details, with an "Ask AI" service to interrogate data and provide answers to questions like reporting requirements.</w:t>
      </w:r>
    </w:p>
    <w:p w14:paraId="38687E37" w14:textId="09288B61" w:rsidR="001023C1" w:rsidRDefault="00FA7AF6">
      <w:pPr>
        <w:pStyle w:val="ListParagraph"/>
        <w:numPr>
          <w:ilvl w:val="0"/>
          <w:numId w:val="3"/>
        </w:numPr>
      </w:pPr>
      <w:r>
        <w:t>A detailed mock-up of reporting requirements from the full specification, indicating activity, mandate status, and data sources</w:t>
      </w:r>
      <w:r w:rsidR="00804BA6">
        <w:t>.</w:t>
      </w:r>
    </w:p>
    <w:p w14:paraId="1BBECFCF" w14:textId="77777777" w:rsidR="001023C1" w:rsidRDefault="00FA7AF6">
      <w:pPr>
        <w:pStyle w:val="ListParagraph"/>
        <w:numPr>
          <w:ilvl w:val="0"/>
          <w:numId w:val="3"/>
        </w:numPr>
      </w:pPr>
      <w:r>
        <w:t>An Excel service for capturing initial data for buy-back and reporting until a full system is built.</w:t>
      </w:r>
    </w:p>
    <w:p w14:paraId="02370B26" w14:textId="77777777" w:rsidR="001023C1" w:rsidRDefault="00FA7AF6">
      <w:pPr>
        <w:pStyle w:val="ListParagraph"/>
        <w:numPr>
          <w:ilvl w:val="0"/>
          <w:numId w:val="3"/>
        </w:numPr>
      </w:pPr>
      <w:r>
        <w:t>An action log with editable entries, audit trails, and status tracking.</w:t>
      </w:r>
    </w:p>
    <w:p w14:paraId="14B36735" w14:textId="77777777" w:rsidR="001023C1" w:rsidRDefault="00FA7AF6">
      <w:pPr>
        <w:pStyle w:val="ListParagraph"/>
        <w:numPr>
          <w:ilvl w:val="0"/>
          <w:numId w:val="3"/>
        </w:numPr>
      </w:pPr>
      <w:r>
        <w:t>Room availability matrix for SDA, allowing direct editing and updating of appointment numbers.</w:t>
      </w:r>
    </w:p>
    <w:p w14:paraId="418B0AC9" w14:textId="77777777" w:rsidR="001023C1" w:rsidRDefault="00FA7AF6">
      <w:pPr>
        <w:pStyle w:val="ListParagraph"/>
        <w:numPr>
          <w:ilvl w:val="0"/>
          <w:numId w:val="3"/>
        </w:numPr>
      </w:pPr>
      <w:r>
        <w:t>Resource mix slider to model the impact of GP and Advanced Clinical Practitioner (ACP) sessions on the budget.</w:t>
      </w:r>
    </w:p>
    <w:p w14:paraId="0E29AA26" w14:textId="77777777" w:rsidR="001023C1" w:rsidRDefault="00FA7AF6">
      <w:pPr>
        <w:pStyle w:val="ListParagraph"/>
        <w:numPr>
          <w:ilvl w:val="0"/>
          <w:numId w:val="3"/>
        </w:numPr>
      </w:pPr>
      <w:r>
        <w:t>Live recruitment tracker showing neighbourhood and individual practice summaries (e.g., 39% buyback/recruited, 22% offers out, 39% shortfall).</w:t>
      </w:r>
    </w:p>
    <w:p w14:paraId="6F712135" w14:textId="77777777" w:rsidR="001023C1" w:rsidRDefault="00FA7AF6">
      <w:pPr>
        <w:pStyle w:val="ListParagraph"/>
        <w:numPr>
          <w:ilvl w:val="0"/>
          <w:numId w:val="3"/>
        </w:numPr>
      </w:pPr>
      <w:r>
        <w:t>Integrated risk management facility to update heat maps and track mitigation efforts (e.g., insurance requirements).</w:t>
      </w:r>
    </w:p>
    <w:p w14:paraId="6213F14D" w14:textId="77777777" w:rsidR="001023C1" w:rsidRDefault="00FA7AF6">
      <w:pPr>
        <w:pStyle w:val="ListParagraph"/>
        <w:numPr>
          <w:ilvl w:val="0"/>
          <w:numId w:val="3"/>
        </w:numPr>
      </w:pPr>
      <w:r>
        <w:t>Evidence library for meeting notes and working group outcomes.</w:t>
      </w:r>
    </w:p>
    <w:p w14:paraId="321D0B56" w14:textId="77777777" w:rsidR="001023C1" w:rsidRDefault="00FA7AF6">
      <w:pPr>
        <w:pStyle w:val="ListParagraph"/>
        <w:numPr>
          <w:ilvl w:val="0"/>
          <w:numId w:val="3"/>
        </w:numPr>
      </w:pPr>
      <w:r>
        <w:t>Hours tracker for detailed reporting on claims and invoicing.</w:t>
      </w:r>
    </w:p>
    <w:p w14:paraId="1F48BF75" w14:textId="77777777" w:rsidR="001023C1" w:rsidRDefault="00FA7AF6">
      <w:pPr>
        <w:pStyle w:val="ListParagraph"/>
        <w:numPr>
          <w:ilvl w:val="0"/>
          <w:numId w:val="3"/>
        </w:numPr>
      </w:pPr>
      <w:r>
        <w:t>Drive-time analysis for practices to understand geographical reach.</w:t>
      </w:r>
    </w:p>
    <w:p w14:paraId="44E59D7B" w14:textId="77777777" w:rsidR="001023C1" w:rsidRDefault="00FA7AF6">
      <w:pPr>
        <w:pStyle w:val="ListParagraph"/>
        <w:numPr>
          <w:ilvl w:val="0"/>
          <w:numId w:val="3"/>
        </w:numPr>
      </w:pPr>
      <w:r>
        <w:t>The dashboard aims to consolidate information, reduce administrative burden on practices, and provide assurance on delivery.</w:t>
      </w:r>
    </w:p>
    <w:p w14:paraId="37D75771" w14:textId="77777777" w:rsidR="001023C1" w:rsidRDefault="001023C1">
      <w:pPr>
        <w:spacing w:after="60"/>
      </w:pPr>
    </w:p>
    <w:p w14:paraId="5B426922" w14:textId="77777777" w:rsidR="001023C1" w:rsidRDefault="00FA7AF6">
      <w:pPr>
        <w:pStyle w:val="ListParagraph"/>
        <w:numPr>
          <w:ilvl w:val="0"/>
          <w:numId w:val="2"/>
        </w:numPr>
      </w:pPr>
      <w:r>
        <w:rPr>
          <w:b/>
          <w:bCs/>
        </w:rPr>
        <w:t>Staffing and Buy-Back Scheme</w:t>
      </w:r>
    </w:p>
    <w:p w14:paraId="1DC82A73" w14:textId="77777777" w:rsidR="001023C1" w:rsidRDefault="00FA7AF6">
      <w:pPr>
        <w:pStyle w:val="ListParagraph"/>
        <w:numPr>
          <w:ilvl w:val="0"/>
          <w:numId w:val="3"/>
        </w:numPr>
      </w:pPr>
      <w:r>
        <w:t>The buy-back scheme allows practices to use SDA funds to pay for existing staff doing SDA work, thereby freeing up practice funds for complex care.</w:t>
      </w:r>
    </w:p>
    <w:p w14:paraId="2311433D" w14:textId="77777777" w:rsidR="001023C1" w:rsidRDefault="00FA7AF6">
      <w:pPr>
        <w:pStyle w:val="ListParagraph"/>
        <w:numPr>
          <w:ilvl w:val="0"/>
          <w:numId w:val="3"/>
        </w:numPr>
      </w:pPr>
      <w:r>
        <w:t>The core principle is that SDA funds must be spent on additional SDA activity, demonstrating "newness" either through new hires or existing staff redeployed to new, additional SDA roles.</w:t>
      </w:r>
    </w:p>
    <w:p w14:paraId="684D3D3F" w14:textId="77777777" w:rsidR="001023C1" w:rsidRDefault="00FA7AF6">
      <w:pPr>
        <w:pStyle w:val="ListParagraph"/>
        <w:numPr>
          <w:ilvl w:val="0"/>
          <w:numId w:val="3"/>
        </w:numPr>
      </w:pPr>
      <w:r>
        <w:t>Concerns were raised about reimbursement for pre-existing SDA efforts and the ability to demonstrate "additional" activity if practices are already meeting demand.</w:t>
      </w:r>
    </w:p>
    <w:p w14:paraId="76337BAA" w14:textId="77777777" w:rsidR="001023C1" w:rsidRDefault="00FA7AF6">
      <w:pPr>
        <w:pStyle w:val="ListParagraph"/>
        <w:numPr>
          <w:ilvl w:val="0"/>
          <w:numId w:val="3"/>
        </w:numPr>
      </w:pPr>
      <w:r>
        <w:t>It was agreed that any SDA money received must be used for SDA provision, and not one penny spent on Part B (complex care) as it is an unfunded effect.</w:t>
      </w:r>
    </w:p>
    <w:p w14:paraId="301C2A89" w14:textId="77777777" w:rsidR="001023C1" w:rsidRDefault="00FA7AF6">
      <w:pPr>
        <w:pStyle w:val="ListParagraph"/>
        <w:numPr>
          <w:ilvl w:val="0"/>
          <w:numId w:val="3"/>
        </w:numPr>
      </w:pPr>
      <w:r>
        <w:t>The importance of clear accounting and monthly financial reports for transparency and accountability was reiterated.</w:t>
      </w:r>
    </w:p>
    <w:p w14:paraId="43989453" w14:textId="77777777" w:rsidR="001023C1" w:rsidRDefault="00FA7AF6">
      <w:pPr>
        <w:pStyle w:val="ListParagraph"/>
        <w:numPr>
          <w:ilvl w:val="0"/>
          <w:numId w:val="3"/>
        </w:numPr>
      </w:pPr>
      <w:r>
        <w:t>Acknowledging the challenges of securing new staff, the group considered the risks associated with ending a two-year pilot, particularly regarding contracts and potential redundancies.</w:t>
      </w:r>
    </w:p>
    <w:p w14:paraId="4F7F03BA" w14:textId="77777777" w:rsidR="001023C1" w:rsidRDefault="001023C1">
      <w:pPr>
        <w:spacing w:after="60"/>
      </w:pPr>
    </w:p>
    <w:p w14:paraId="56BECCA9" w14:textId="77777777" w:rsidR="001023C1" w:rsidRDefault="00FA7AF6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Advanced Clinical Practitioners (ACPs) Accreditation and Recruitment</w:t>
      </w:r>
    </w:p>
    <w:p w14:paraId="70BE6448" w14:textId="77777777" w:rsidR="001023C1" w:rsidRDefault="00FA7AF6">
      <w:pPr>
        <w:pStyle w:val="ListParagraph"/>
        <w:numPr>
          <w:ilvl w:val="0"/>
          <w:numId w:val="3"/>
        </w:numPr>
      </w:pPr>
      <w:r>
        <w:t>Discussion centered on the required level of qualification for ACPs, noting that Level 7 (Master's minor illness) is recommended.</w:t>
      </w:r>
    </w:p>
    <w:p w14:paraId="531A05C8" w14:textId="77777777" w:rsidR="001023C1" w:rsidRDefault="00FA7AF6">
      <w:pPr>
        <w:pStyle w:val="ListParagraph"/>
        <w:numPr>
          <w:ilvl w:val="0"/>
          <w:numId w:val="3"/>
        </w:numPr>
      </w:pPr>
      <w:r>
        <w:t>While some practices may have previously accepted lower levels, an experienced ACP with prescribing ability, even if not Level 7, may be suitable if working in primary care for a long time.</w:t>
      </w:r>
    </w:p>
    <w:p w14:paraId="285CAB97" w14:textId="77777777" w:rsidR="001023C1" w:rsidRDefault="00FA7AF6">
      <w:pPr>
        <w:pStyle w:val="ListParagraph"/>
        <w:numPr>
          <w:ilvl w:val="0"/>
          <w:numId w:val="3"/>
        </w:numPr>
      </w:pPr>
      <w:r>
        <w:t>Consistency in pay rates for ACPs across the neighbourhood was highlighted to avoid internal dissatisfaction, especially when existing staff are compared to new recruits.</w:t>
      </w:r>
    </w:p>
    <w:p w14:paraId="062F82D8" w14:textId="77777777" w:rsidR="001023C1" w:rsidRDefault="00FA7AF6">
      <w:pPr>
        <w:pStyle w:val="ListParagraph"/>
        <w:numPr>
          <w:ilvl w:val="0"/>
          <w:numId w:val="3"/>
        </w:numPr>
      </w:pPr>
      <w:r>
        <w:t>The current market for GPs and ACPs is competitive, with recent changes allowing general recruitment, increasing the need for practices to act swiftly.</w:t>
      </w:r>
    </w:p>
    <w:p w14:paraId="67BB5AC7" w14:textId="77777777" w:rsidR="001023C1" w:rsidRDefault="001023C1">
      <w:pPr>
        <w:spacing w:after="60"/>
      </w:pPr>
    </w:p>
    <w:p w14:paraId="19967AFB" w14:textId="77777777" w:rsidR="001023C1" w:rsidRDefault="00FA7AF6">
      <w:pPr>
        <w:pStyle w:val="ListParagraph"/>
        <w:numPr>
          <w:ilvl w:val="0"/>
          <w:numId w:val="2"/>
        </w:numPr>
      </w:pPr>
      <w:r>
        <w:rPr>
          <w:b/>
          <w:bCs/>
        </w:rPr>
        <w:t>Complex Care Service Development</w:t>
      </w:r>
    </w:p>
    <w:p w14:paraId="3CF8BE3C" w14:textId="77777777" w:rsidR="001023C1" w:rsidRDefault="00FA7AF6">
      <w:pPr>
        <w:pStyle w:val="ListParagraph"/>
        <w:numPr>
          <w:ilvl w:val="0"/>
          <w:numId w:val="3"/>
        </w:numPr>
      </w:pPr>
      <w:r>
        <w:t>Initial proposals for a neighbourhood-level complex care service were discussed, distinct from in-practice complex care.</w:t>
      </w:r>
    </w:p>
    <w:p w14:paraId="2DA6CF7A" w14:textId="77777777" w:rsidR="001023C1" w:rsidRDefault="00FA7AF6">
      <w:pPr>
        <w:pStyle w:val="ListParagraph"/>
        <w:numPr>
          <w:ilvl w:val="0"/>
          <w:numId w:val="3"/>
        </w:numPr>
      </w:pPr>
      <w:r>
        <w:t>Focus areas being considered are heart failure, COPD, and frailty for the most complex patients, with a goal to reduce hospital admissions and re-admissions.</w:t>
      </w:r>
    </w:p>
    <w:p w14:paraId="73724054" w14:textId="77777777" w:rsidR="001023C1" w:rsidRDefault="00FA7AF6">
      <w:pPr>
        <w:pStyle w:val="ListParagraph"/>
        <w:numPr>
          <w:ilvl w:val="0"/>
          <w:numId w:val="3"/>
        </w:numPr>
      </w:pPr>
      <w:r>
        <w:t>The concept includes developing specialist roles (e.g., COPD specialist, palliative nurses) and a central complex hub with permanent staffing for community contact points (e.g., for EMAS, district nurses).</w:t>
      </w:r>
    </w:p>
    <w:p w14:paraId="011ABB86" w14:textId="77777777" w:rsidR="001023C1" w:rsidRDefault="00FA7AF6">
      <w:pPr>
        <w:pStyle w:val="ListParagraph"/>
        <w:numPr>
          <w:ilvl w:val="0"/>
          <w:numId w:val="3"/>
        </w:numPr>
      </w:pPr>
      <w:r>
        <w:t>This service could involve 15-20 sessions, requiring significant investment, but is expected to demonstrate immediate effectiveness in preventing hospital trips.</w:t>
      </w:r>
    </w:p>
    <w:p w14:paraId="7998B175" w14:textId="77777777" w:rsidR="001023C1" w:rsidRDefault="00FA7AF6">
      <w:pPr>
        <w:pStyle w:val="ListParagraph"/>
        <w:numPr>
          <w:ilvl w:val="0"/>
          <w:numId w:val="3"/>
        </w:numPr>
      </w:pPr>
      <w:r>
        <w:t>The need for alignment with other community services (e.g., district nursing) was deemed crucial for the success of this model.</w:t>
      </w:r>
    </w:p>
    <w:p w14:paraId="07209252" w14:textId="77777777" w:rsidR="001023C1" w:rsidRDefault="00FA7AF6">
      <w:pPr>
        <w:pStyle w:val="ListParagraph"/>
        <w:numPr>
          <w:ilvl w:val="0"/>
          <w:numId w:val="3"/>
        </w:numPr>
      </w:pPr>
      <w:r>
        <w:t>The legal implications and practical differences between MOUs and contracts remain a point of discussion, particularly for significant financial transactions.</w:t>
      </w:r>
    </w:p>
    <w:p w14:paraId="079A06F8" w14:textId="77777777" w:rsidR="001023C1" w:rsidRDefault="00FA7AF6">
      <w:pPr>
        <w:pStyle w:val="ListParagraph"/>
        <w:numPr>
          <w:ilvl w:val="0"/>
          <w:numId w:val="3"/>
        </w:numPr>
      </w:pPr>
      <w:r>
        <w:t>The challenge of demonstrating "additionality" for SDA funding in practices already managing high demand needs further clarification to ensure compliance.</w:t>
      </w:r>
    </w:p>
    <w:p w14:paraId="3B0A0DE5" w14:textId="77777777" w:rsidR="001023C1" w:rsidRDefault="00FA7AF6">
      <w:pPr>
        <w:pStyle w:val="ListParagraph"/>
        <w:numPr>
          <w:ilvl w:val="0"/>
          <w:numId w:val="3"/>
        </w:numPr>
      </w:pPr>
      <w:r>
        <w:t>The impact of increased competition for GPs and ACPs on recruitment targets and the associated financial risks are growing.</w:t>
      </w:r>
    </w:p>
    <w:p w14:paraId="0BC3CDB5" w14:textId="77777777" w:rsidR="001023C1" w:rsidRDefault="00FA7AF6">
      <w:pPr>
        <w:pStyle w:val="ListParagraph"/>
        <w:numPr>
          <w:ilvl w:val="0"/>
          <w:numId w:val="3"/>
        </w:numPr>
      </w:pPr>
      <w:r>
        <w:t>The development of a clear, enforceable mechanism to address potential redundancies if the two-year SDA pilot ends or is not continued.</w:t>
      </w:r>
    </w:p>
    <w:p w14:paraId="71B73F1D" w14:textId="77777777" w:rsidR="001023C1" w:rsidRDefault="00FA7AF6">
      <w:pPr>
        <w:pStyle w:val="ListParagraph"/>
        <w:numPr>
          <w:ilvl w:val="0"/>
          <w:numId w:val="3"/>
        </w:numPr>
      </w:pPr>
      <w:r>
        <w:t>The need to align community services, particularly district nursing, with neighbourhood patches for the complex care service to be effective.</w:t>
      </w:r>
    </w:p>
    <w:p w14:paraId="1DFD3BBD" w14:textId="77777777" w:rsidR="001023C1" w:rsidRDefault="00FA7AF6">
      <w:pPr>
        <w:pStyle w:val="ListParagraph"/>
        <w:numPr>
          <w:ilvl w:val="0"/>
          <w:numId w:val="3"/>
        </w:numPr>
      </w:pPr>
      <w:r>
        <w:t>The question of funding for backfill due to staff holidays or sickness for SDA staff has not yet been addressed.</w:t>
      </w:r>
    </w:p>
    <w:p w14:paraId="10876F34" w14:textId="48C99DED" w:rsidR="001023C1" w:rsidRDefault="00FA7AF6" w:rsidP="006B2FED">
      <w:pPr>
        <w:spacing w:before="480"/>
        <w:ind w:left="2880" w:firstLine="720"/>
      </w:pPr>
      <w:r>
        <w:rPr>
          <w:i/>
          <w:iCs/>
          <w:color w:val="6B7280"/>
          <w:sz w:val="18"/>
          <w:szCs w:val="18"/>
        </w:rPr>
        <w:t>G</w:t>
      </w:r>
      <w:r>
        <w:rPr>
          <w:i/>
          <w:iCs/>
          <w:color w:val="6B7280"/>
          <w:sz w:val="18"/>
          <w:szCs w:val="18"/>
        </w:rPr>
        <w:t>enerated on 24/02/2026 17:27</w:t>
      </w:r>
    </w:p>
    <w:sectPr w:rsidR="001023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46D33"/>
    <w:multiLevelType w:val="hybridMultilevel"/>
    <w:tmpl w:val="2CA418E4"/>
    <w:lvl w:ilvl="0" w:tplc="4B820EEE">
      <w:start w:val="1"/>
      <w:numFmt w:val="bullet"/>
      <w:lvlText w:val="•"/>
      <w:lvlJc w:val="left"/>
      <w:pPr>
        <w:ind w:left="360" w:hanging="259"/>
      </w:pPr>
    </w:lvl>
    <w:lvl w:ilvl="1" w:tplc="3FE21CC8">
      <w:start w:val="1"/>
      <w:numFmt w:val="bullet"/>
      <w:lvlText w:val="○"/>
      <w:lvlJc w:val="left"/>
      <w:pPr>
        <w:ind w:left="720" w:hanging="259"/>
      </w:pPr>
    </w:lvl>
    <w:lvl w:ilvl="2" w:tplc="684A767C">
      <w:numFmt w:val="decimal"/>
      <w:lvlText w:val=""/>
      <w:lvlJc w:val="left"/>
    </w:lvl>
    <w:lvl w:ilvl="3" w:tplc="D8C20358">
      <w:numFmt w:val="decimal"/>
      <w:lvlText w:val=""/>
      <w:lvlJc w:val="left"/>
    </w:lvl>
    <w:lvl w:ilvl="4" w:tplc="91D071AA">
      <w:numFmt w:val="decimal"/>
      <w:lvlText w:val=""/>
      <w:lvlJc w:val="left"/>
    </w:lvl>
    <w:lvl w:ilvl="5" w:tplc="FF76D5F8">
      <w:numFmt w:val="decimal"/>
      <w:lvlText w:val=""/>
      <w:lvlJc w:val="left"/>
    </w:lvl>
    <w:lvl w:ilvl="6" w:tplc="175A4E10">
      <w:numFmt w:val="decimal"/>
      <w:lvlText w:val=""/>
      <w:lvlJc w:val="left"/>
    </w:lvl>
    <w:lvl w:ilvl="7" w:tplc="36467AC4">
      <w:numFmt w:val="decimal"/>
      <w:lvlText w:val=""/>
      <w:lvlJc w:val="left"/>
    </w:lvl>
    <w:lvl w:ilvl="8" w:tplc="4EF6A14C">
      <w:numFmt w:val="decimal"/>
      <w:lvlText w:val=""/>
      <w:lvlJc w:val="left"/>
    </w:lvl>
  </w:abstractNum>
  <w:abstractNum w:abstractNumId="1" w15:restartNumberingAfterBreak="0">
    <w:nsid w:val="534F3A53"/>
    <w:multiLevelType w:val="hybridMultilevel"/>
    <w:tmpl w:val="FF146522"/>
    <w:lvl w:ilvl="0" w:tplc="517EE75E">
      <w:start w:val="1"/>
      <w:numFmt w:val="bullet"/>
      <w:lvlText w:val="●"/>
      <w:lvlJc w:val="left"/>
      <w:pPr>
        <w:ind w:left="720" w:hanging="360"/>
      </w:pPr>
    </w:lvl>
    <w:lvl w:ilvl="1" w:tplc="BB3807BA">
      <w:start w:val="1"/>
      <w:numFmt w:val="bullet"/>
      <w:lvlText w:val="○"/>
      <w:lvlJc w:val="left"/>
      <w:pPr>
        <w:ind w:left="1440" w:hanging="360"/>
      </w:pPr>
    </w:lvl>
    <w:lvl w:ilvl="2" w:tplc="EE1C3528">
      <w:start w:val="1"/>
      <w:numFmt w:val="bullet"/>
      <w:lvlText w:val="■"/>
      <w:lvlJc w:val="left"/>
      <w:pPr>
        <w:ind w:left="2160" w:hanging="360"/>
      </w:pPr>
    </w:lvl>
    <w:lvl w:ilvl="3" w:tplc="9984E0AE">
      <w:start w:val="1"/>
      <w:numFmt w:val="bullet"/>
      <w:lvlText w:val="●"/>
      <w:lvlJc w:val="left"/>
      <w:pPr>
        <w:ind w:left="2880" w:hanging="360"/>
      </w:pPr>
    </w:lvl>
    <w:lvl w:ilvl="4" w:tplc="38C6885E">
      <w:start w:val="1"/>
      <w:numFmt w:val="bullet"/>
      <w:lvlText w:val="○"/>
      <w:lvlJc w:val="left"/>
      <w:pPr>
        <w:ind w:left="3600" w:hanging="360"/>
      </w:pPr>
    </w:lvl>
    <w:lvl w:ilvl="5" w:tplc="E6062BC8">
      <w:start w:val="1"/>
      <w:numFmt w:val="bullet"/>
      <w:lvlText w:val="■"/>
      <w:lvlJc w:val="left"/>
      <w:pPr>
        <w:ind w:left="4320" w:hanging="360"/>
      </w:pPr>
    </w:lvl>
    <w:lvl w:ilvl="6" w:tplc="07F23B28">
      <w:start w:val="1"/>
      <w:numFmt w:val="bullet"/>
      <w:lvlText w:val="●"/>
      <w:lvlJc w:val="left"/>
      <w:pPr>
        <w:ind w:left="5040" w:hanging="360"/>
      </w:pPr>
    </w:lvl>
    <w:lvl w:ilvl="7" w:tplc="FE4AE39A">
      <w:start w:val="1"/>
      <w:numFmt w:val="bullet"/>
      <w:lvlText w:val="●"/>
      <w:lvlJc w:val="left"/>
      <w:pPr>
        <w:ind w:left="5760" w:hanging="360"/>
      </w:pPr>
    </w:lvl>
    <w:lvl w:ilvl="8" w:tplc="156896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6F10E8"/>
    <w:multiLevelType w:val="multilevel"/>
    <w:tmpl w:val="AAE48E48"/>
    <w:lvl w:ilvl="0">
      <w:start w:val="1"/>
      <w:numFmt w:val="decimal"/>
      <w:lvlText w:val="%1."/>
      <w:lvlJc w:val="left"/>
      <w:pPr>
        <w:ind w:left="360" w:hanging="259"/>
      </w:pPr>
    </w:lvl>
    <w:lvl w:ilvl="1">
      <w:start w:val="1"/>
      <w:numFmt w:val="decimal"/>
      <w:lvlText w:val="%1.%2."/>
      <w:lvlJc w:val="left"/>
      <w:pPr>
        <w:ind w:left="720" w:hanging="259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4693760">
    <w:abstractNumId w:val="1"/>
    <w:lvlOverride w:ilvl="0">
      <w:startOverride w:val="1"/>
    </w:lvlOverride>
  </w:num>
  <w:num w:numId="2" w16cid:durableId="847141810">
    <w:abstractNumId w:val="2"/>
    <w:lvlOverride w:ilvl="0">
      <w:startOverride w:val="1"/>
    </w:lvlOverride>
  </w:num>
  <w:num w:numId="3" w16cid:durableId="1201943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3C1"/>
    <w:rsid w:val="001023C1"/>
    <w:rsid w:val="006B2FED"/>
    <w:rsid w:val="00804BA6"/>
    <w:rsid w:val="00DE01C2"/>
    <w:rsid w:val="00FA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2711"/>
  <w15:docId w15:val="{43FFB335-C716-4EF5-96E1-F10B7097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sz w:val="22"/>
        <w:szCs w:val="22"/>
        <w:lang w:val="en-GB" w:eastAsia="en-GB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/>
      <w:outlineLvl w:val="0"/>
    </w:pPr>
    <w:rPr>
      <w:b/>
      <w:bCs/>
      <w:color w:val="2563EB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563E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spacing w:after="60"/>
      <w:ind w:left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ExecutiveSummary">
    <w:name w:val="Executive Summary"/>
    <w:pPr>
      <w:spacing w:before="120"/>
    </w:pPr>
    <w:rPr>
      <w:i/>
      <w:iCs/>
    </w:rPr>
  </w:style>
  <w:style w:type="paragraph" w:styleId="Footer">
    <w:name w:val="footer"/>
    <w:pPr>
      <w:spacing w:before="60" w:after="60"/>
    </w:pPr>
    <w:rPr>
      <w:color w:val="64748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1056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RAILSON, Malcolm (NHS NORTHAMPTONSHIRE ICB - 78H)</cp:lastModifiedBy>
  <cp:revision>4</cp:revision>
  <dcterms:created xsi:type="dcterms:W3CDTF">2026-02-24T18:51:00Z</dcterms:created>
  <dcterms:modified xsi:type="dcterms:W3CDTF">2026-02-24T18:52:00Z</dcterms:modified>
</cp:coreProperties>
</file>