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5E20"/>
          <w:sz w:val="40"/>
          <w:szCs w:val="40"/>
        </w:rPr>
        <w:t xml:space="preserve">EAST NORTHANTS NEIGHBOURHOOD</w:t>
      </w:r>
    </w:p>
    <w:p>
      <w:pPr>
        <w:spacing w:after="200"/>
        <w:jc w:val="center"/>
      </w:pPr>
      <w:r>
        <w:rPr>
          <w:rFonts w:ascii="Arial" w:cs="Arial" w:eastAsia="Arial" w:hAnsi="Arial"/>
          <w:b/>
          <w:bCs/>
          <w:color w:val="2E7D32"/>
          <w:sz w:val="32"/>
          <w:szCs w:val="32"/>
        </w:rPr>
        <w:t xml:space="preserve">New Models of Care — SDA Pilot</w:t>
      </w:r>
    </w:p>
    <w:p>
      <w:pPr>
        <w:spacing w:after="600"/>
        <w:jc w:val="center"/>
      </w:pPr>
      <w:r>
        <w:rPr>
          <w:rFonts w:ascii="Arial" w:cs="Arial" w:eastAsia="Arial" w:hAnsi="Arial"/>
          <w:color w:val="2E7D32"/>
          <w:sz w:val="28"/>
          <w:szCs w:val="28"/>
        </w:rPr>
        <w:t xml:space="preserve">ICB Key Metrics &amp; Reporting Requirements</w:t>
      </w:r>
    </w:p>
    <w:p>
      <w:pPr>
        <w:spacing w:after="100"/>
        <w:jc w:val="center"/>
      </w:pPr>
      <w:r>
        <w:rPr>
          <w:rFonts w:ascii="Arial" w:cs="Arial" w:eastAsia="Arial" w:hAnsi="Arial"/>
          <w:i/>
          <w:iCs/>
          <w:color w:val="555555"/>
          <w:sz w:val="22"/>
          <w:szCs w:val="22"/>
        </w:rPr>
        <w:t xml:space="preserve">A Realistic Assessment of Data Availability, System Dependencies,</w:t>
      </w:r>
    </w:p>
    <w:p>
      <w:pPr>
        <w:spacing w:after="400"/>
        <w:jc w:val="center"/>
      </w:pPr>
      <w:r>
        <w:rPr>
          <w:rFonts w:ascii="Arial" w:cs="Arial" w:eastAsia="Arial" w:hAnsi="Arial"/>
          <w:i/>
          <w:iCs/>
          <w:color w:val="555555"/>
          <w:sz w:val="22"/>
          <w:szCs w:val="22"/>
        </w:rPr>
        <w:t xml:space="preserve">and Achievable Timelines for the ENN NMoC Programme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1B5E20"/>
                <w:sz w:val="20"/>
                <w:szCs w:val="20"/>
              </w:rPr>
              <w:t xml:space="preserve">Prepared for:</w:t>
            </w:r>
          </w:p>
        </w:tc>
        <w:tc>
          <w:tcPr>
            <w:tcW w:type="dxa" w:w="28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Michael Chapman, Commissioning Manager, NHS Northamptonshire ICB</w:t>
            </w:r>
          </w:p>
        </w:tc>
      </w:tr>
      <w:tr>
        <w:tc>
          <w:tcPr>
            <w:tcW w:type="dxa" w:w="2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1B5E20"/>
                <w:sz w:val="20"/>
                <w:szCs w:val="20"/>
              </w:rPr>
              <w:t xml:space="preserve">Transformation Manager:</w:t>
            </w:r>
          </w:p>
        </w:tc>
        <w:tc>
          <w:tcPr>
            <w:tcW w:type="dxa" w:w="28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Rebecca Gane, ENN Transformation Manager</w:t>
            </w:r>
          </w:p>
        </w:tc>
      </w:tr>
      <w:tr>
        <w:tc>
          <w:tcPr>
            <w:tcW w:type="dxa" w:w="2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1B5E20"/>
                <w:sz w:val="20"/>
                <w:szCs w:val="20"/>
              </w:rPr>
              <w:t xml:space="preserve">Date:</w:t>
            </w:r>
          </w:p>
        </w:tc>
        <w:tc>
          <w:tcPr>
            <w:tcW w:type="dxa" w:w="28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April 2026</w:t>
            </w:r>
          </w:p>
        </w:tc>
      </w:tr>
      <w:tr>
        <w:tc>
          <w:tcPr>
            <w:tcW w:type="dxa" w:w="2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1B5E20"/>
                <w:sz w:val="20"/>
                <w:szCs w:val="20"/>
              </w:rPr>
              <w:t xml:space="preserve">Version:</w:t>
            </w:r>
          </w:p>
        </w:tc>
        <w:tc>
          <w:tcPr>
            <w:tcW w:type="dxa" w:w="28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1.0 — Pre Go-Live Baseline</w:t>
            </w:r>
          </w:p>
        </w:tc>
      </w:tr>
      <w:tr>
        <w:tc>
          <w:tcPr>
            <w:tcW w:type="dxa" w:w="2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1B5E20"/>
                <w:sz w:val="20"/>
                <w:szCs w:val="20"/>
              </w:rPr>
              <w:t xml:space="preserve">Service Go-Live:</w:t>
            </w:r>
          </w:p>
        </w:tc>
        <w:tc>
          <w:tcPr>
            <w:tcW w:type="dxa" w:w="28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TBC (Target Q2 2026)</w:t>
            </w:r>
          </w:p>
        </w:tc>
      </w:tr>
      <w:tr>
        <w:tc>
          <w:tcPr>
            <w:tcW w:type="dxa" w:w="2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1B5E20"/>
                <w:sz w:val="20"/>
                <w:szCs w:val="20"/>
              </w:rPr>
              <w:t xml:space="preserve">Practices:</w:t>
            </w:r>
          </w:p>
        </w:tc>
        <w:tc>
          <w:tcPr>
            <w:tcW w:type="dxa" w:w="28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10 practices (see Section 2.0)</w:t>
            </w:r>
          </w:p>
        </w:tc>
      </w:tr>
      <w:tr>
        <w:tc>
          <w:tcPr>
            <w:tcW w:type="dxa" w:w="2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1B5E20"/>
                <w:sz w:val="20"/>
                <w:szCs w:val="20"/>
              </w:rPr>
              <w:t xml:space="preserve">Registered Patients:</w:t>
            </w:r>
          </w:p>
        </w:tc>
        <w:tc>
          <w:tcPr>
            <w:tcW w:type="dxa" w:w="28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90,241</w:t>
            </w:r>
          </w:p>
        </w:tc>
      </w:tr>
    </w:tbl>
    <w:p>
      <w:r>
        <w:br w:type="page"/>
      </w:r>
    </w:p>
    <w:p>
      <w:pPr>
        <w:pStyle w:val="Heading1"/>
        <w:spacing w:after="150" w:before="300"/>
      </w:pPr>
      <w:r>
        <w:rPr>
          <w:rFonts w:ascii="Arial" w:cs="Arial" w:eastAsia="Arial" w:hAnsi="Arial"/>
        </w:rPr>
        <w:t xml:space="preserve">1. Executive Summary</w:t>
      </w:r>
    </w:p>
    <w:p>
      <w:pPr>
        <w:spacing w:after="120"/>
      </w:pPr>
      <w:r>
        <w:rPr>
          <w:rFonts w:ascii="Arial" w:cs="Arial" w:eastAsia="Arial" w:hAnsi="Arial"/>
          <w:sz w:val="22"/>
          <w:szCs w:val="22"/>
        </w:rPr>
        <w:t xml:space="preserve">This report provides a frank and realistic assessment of the data and reporting requirements set out in the ICB draft Information Schedule for the East Northants Neighbourhood (ENN) New Models of Care programme, also known as the SDA Pilot. It maps each of the 18 proposed indicators against the data currently available from GPAD practice-level exports, identifies specific system dependencies and gaps, and provides honest timelines for resolution.</w:t>
      </w:r>
    </w:p>
    <w:p>
      <w:pPr>
        <w:spacing w:after="120"/>
      </w:pPr>
      <w:r>
        <w:rPr>
          <w:rFonts w:ascii="Arial" w:cs="Arial" w:eastAsia="Arial" w:hAnsi="Arial"/>
          <w:b/>
          <w:bCs/>
          <w:sz w:val="22"/>
          <w:szCs w:val="22"/>
        </w:rPr>
        <w:t xml:space="preserve">The core message is this: </w:t>
      </w:r>
      <w:r>
        <w:rPr>
          <w:rFonts w:ascii="Arial" w:cs="Arial" w:eastAsia="Arial" w:hAnsi="Arial"/>
          <w:sz w:val="22"/>
          <w:szCs w:val="22"/>
        </w:rPr>
        <w:t xml:space="preserve">ENN has strong baseline data for appointment-level activity metrics (volumes, same-day access, DNA rates, workforce mix, appointment modes and durations) at individual practice level. However, approximately half of the ICB’s proposed indicators require data from systems that are </w:t>
      </w:r>
      <w:r>
        <w:rPr>
          <w:rFonts w:ascii="Arial" w:cs="Arial" w:eastAsia="Arial" w:hAnsi="Arial"/>
          <w:b/>
          <w:bCs/>
          <w:sz w:val="22"/>
          <w:szCs w:val="22"/>
        </w:rPr>
        <w:t xml:space="preserve">outside ENN’s direct control</w:t>
      </w:r>
      <w:r>
        <w:rPr>
          <w:rFonts w:ascii="Arial" w:cs="Arial" w:eastAsia="Arial" w:hAnsi="Arial"/>
          <w:sz w:val="22"/>
          <w:szCs w:val="22"/>
        </w:rPr>
        <w:t xml:space="preserve"> — particularly secondary care data from hospital trusts, community services providers, and national datasets. These cross-system dependencies will take significant time to resolve due to standard NHS information governance processes, BI team capacity, and the realities of inter-organisational data sharing.</w:t>
      </w:r>
    </w:p>
    <w:p>
      <w:pPr>
        <w:spacing w:after="120"/>
      </w:pPr>
      <w:r>
        <w:rPr>
          <w:rFonts w:ascii="Arial" w:cs="Arial" w:eastAsia="Arial" w:hAnsi="Arial"/>
          <w:b/>
          <w:bCs/>
          <w:sz w:val="22"/>
          <w:szCs w:val="22"/>
        </w:rPr>
        <w:t xml:space="preserve">A significant advantage for ENN compared to other NMoC pilots is that secondary care referrals are concentrated almost entirely on two trusts within the Northamptonshire ICB footprint: </w:t>
      </w:r>
      <w:r>
        <w:rPr>
          <w:rFonts w:ascii="Arial" w:cs="Arial" w:eastAsia="Arial" w:hAnsi="Arial"/>
          <w:b/>
          <w:bCs/>
          <w:sz w:val="22"/>
          <w:szCs w:val="22"/>
        </w:rPr>
        <w:t xml:space="preserve">Kettering General Hospital (KGH)</w:t>
      </w:r>
      <w:r>
        <w:rPr>
          <w:rFonts w:ascii="Arial" w:cs="Arial" w:eastAsia="Arial" w:hAnsi="Arial"/>
          <w:sz w:val="22"/>
          <w:szCs w:val="22"/>
        </w:rPr>
        <w:t xml:space="preserve"> as the primary acute provider and </w:t>
      </w:r>
      <w:r>
        <w:rPr>
          <w:rFonts w:ascii="Arial" w:cs="Arial" w:eastAsia="Arial" w:hAnsi="Arial"/>
          <w:b/>
          <w:bCs/>
          <w:sz w:val="22"/>
          <w:szCs w:val="22"/>
        </w:rPr>
        <w:t xml:space="preserve">Northampton General Hospital (NGH)</w:t>
      </w:r>
      <w:r>
        <w:rPr>
          <w:rFonts w:ascii="Arial" w:cs="Arial" w:eastAsia="Arial" w:hAnsi="Arial"/>
          <w:sz w:val="22"/>
          <w:szCs w:val="22"/>
        </w:rPr>
        <w:t xml:space="preserve"> as the secondary provider. Unlike the NRES neighbourhood, ENN has minimal cross-ICB data sharing requirements — there is little interaction with Milton Keynes University Hospital or Oxford University Hospitals. This substantially reduces the complexity and timeline for obtaining secondary care data.</w:t>
      </w:r>
    </w:p>
    <w:p>
      <w:pPr>
        <w:spacing w:after="120"/>
      </w:pPr>
      <w:r>
        <w:rPr>
          <w:rFonts w:ascii="Arial" w:cs="Arial" w:eastAsia="Arial" w:hAnsi="Arial"/>
          <w:sz w:val="22"/>
          <w:szCs w:val="22"/>
        </w:rPr>
        <w:t xml:space="preserve">The ICB should therefore expect a phased reporting capability rather than a complete metrics pack from day one of the pilot, but the path to comprehensive reporting is simpler than for cross-boundary neighbourhoods.</w:t>
      </w:r>
    </w:p>
    <w:p>
      <w:pPr>
        <w:pStyle w:val="Heading2"/>
        <w:spacing w:after="150" w:before="300"/>
      </w:pPr>
      <w:r>
        <w:rPr>
          <w:rFonts w:ascii="Arial" w:cs="Arial" w:eastAsia="Arial" w:hAnsi="Arial"/>
        </w:rP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500"/>
        <w:gridCol w:w="3826"/>
      </w:tblGrid>
      <w:tr>
        <w:tc>
          <w:tcPr>
            <w:tcW w:type="dxa" w:w="2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9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1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8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Dependency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Data fully available from GPAD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E7D32"/>
                <w:sz w:val="18"/>
                <w:szCs w:val="18"/>
              </w:rPr>
              <w:t xml:space="preserve">✓ Available</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None — ready now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Partial data / proxy measures available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E65100"/>
                <w:sz w:val="18"/>
                <w:szCs w:val="18"/>
              </w:rPr>
              <w:t xml:space="preserve">⚠ Partial</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SystmOne configuration, coding standards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Data not available — external systems required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C62828"/>
                <w:sz w:val="18"/>
                <w:szCs w:val="18"/>
              </w:rPr>
              <w:t xml:space="preserve">✗ Not Available</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ICB BI, hospital trusts, community providers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200"/>
        <w:gridCol w:w="3726"/>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Resolution Difficulty</w:t>
            </w:r>
          </w:p>
        </w:tc>
        <w:tc>
          <w:tcPr>
            <w:tcW w:type="dxa" w:w="9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Typical NHS Timeline</w:t>
            </w:r>
          </w:p>
        </w:tc>
        <w:tc>
          <w:tcPr>
            <w:tcW w:type="dxa" w:w="37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Realistic for ENN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Low — within ENN control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2–4 weeks</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 go-live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Medium — needs ICB coordination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2–6 months</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Go-live + 3 months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High — multi-agency / cross-system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6–18 months</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Formal review (6 months post go-live) at earliest</w:t>
            </w:r>
          </w:p>
        </w:tc>
      </w:tr>
    </w:tbl>
    <w:p>
      <w:r>
        <w:br w:type="page"/>
      </w:r>
    </w:p>
    <w:p>
      <w:pPr>
        <w:pStyle w:val="Heading1"/>
        <w:spacing w:after="150" w:before="300"/>
      </w:pPr>
      <w:r>
        <w:rPr>
          <w:rFonts w:ascii="Arial" w:cs="Arial" w:eastAsia="Arial" w:hAnsi="Arial"/>
        </w:rPr>
        <w:t xml:space="preserve">2. NHS Systems Landscape</w:t>
      </w:r>
    </w:p>
    <w:p>
      <w:pPr>
        <w:spacing w:after="120"/>
      </w:pPr>
      <w:r>
        <w:rPr>
          <w:rFonts w:ascii="Arial" w:cs="Arial" w:eastAsia="Arial" w:hAnsi="Arial"/>
          <w:sz w:val="22"/>
          <w:szCs w:val="22"/>
        </w:rPr>
        <w:t xml:space="preserve">Understanding which NHS systems hold which data is essential to assessing the feasibility of each indicator. The ENN neighbourhood spans multiple data systems and provider organisations, though benefits from being predominantly within the Northamptonshire ICB footprint.</w:t>
      </w:r>
    </w:p>
    <w:p>
      <w:pPr>
        <w:pStyle w:val="Heading2"/>
        <w:spacing w:after="150" w:before="300"/>
      </w:pPr>
      <w:r>
        <w:rPr>
          <w:rFonts w:ascii="Arial" w:cs="Arial" w:eastAsia="Arial" w:hAnsi="Arial"/>
        </w:rPr>
        <w:t xml:space="preserve">2.0 ENN Practice Profiles</w:t>
      </w:r>
    </w:p>
    <w:p>
      <w:pPr>
        <w:spacing w:after="120"/>
      </w:pPr>
      <w:r>
        <w:rPr>
          <w:rFonts w:ascii="Arial" w:cs="Arial" w:eastAsia="Arial" w:hAnsi="Arial"/>
          <w:sz w:val="22"/>
          <w:szCs w:val="22"/>
        </w:rPr>
        <w:t xml:space="preserve">The ten practices in the ENN neighbourhood are located across East Northamptonshire, centred around the towns of Rushden, Higham Ferrers, Irthlingborough, Raunds, Thrapston, and Oundle. This geography is primarily served by Kettering General Hospital (KGH) as the main acute provider, with Northampton General Hospital (NGH) as a secondary referral destination. Unlike cross-boundary neighbourhoods, ENN has minimal interaction with Milton Keynes University Hospital or Oxford University Hospitals, which significantly simplifies the secondary care data landscape.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1000"/>
        <w:gridCol w:w="1600"/>
        <w:gridCol w:w="3426"/>
      </w:tblGrid>
      <w:tr>
        <w:tc>
          <w:tcPr>
            <w:tcW w:type="dxa" w:w="1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Practice</w:t>
            </w:r>
          </w:p>
        </w:tc>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ODS Code</w:t>
            </w:r>
          </w:p>
        </w:tc>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List Size (est.)</w:t>
            </w:r>
          </w:p>
        </w:tc>
        <w:tc>
          <w:tcPr>
            <w:tcW w:type="dxa" w:w="1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Clinical System</w:t>
            </w:r>
          </w:p>
        </w:tc>
        <w:tc>
          <w:tcPr>
            <w:tcW w:type="dxa" w:w="1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PCN / Cluster</w:t>
            </w:r>
          </w:p>
        </w:tc>
        <w:tc>
          <w:tcPr>
            <w:tcW w:type="dxa" w:w="34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Likely Hospital Referrals &amp; Notes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Harborough Field Surgery</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K83007</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~13,991</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TPP SystmOne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East Northants South</w:t>
            </w:r>
          </w:p>
        </w:tc>
        <w:tc>
          <w:tcPr>
            <w:tcW w:type="dxa" w:w="3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KGH (primary), NGH (secondary). Dispensing practice. Largest by list size in southern cluster.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Oundle Medical Practice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K83023</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~10,600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TPP SystmOne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East Northants North</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KGH (primary). Market town practice serving Oundle and surrounding villages. Some patients also access Peterborough City Hospital for specialist services.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Rushden Medical Centre</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K83024</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~9,143</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TPP SystmOne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East Northants South</w:t>
            </w:r>
          </w:p>
        </w:tc>
        <w:tc>
          <w:tcPr>
            <w:tcW w:type="dxa" w:w="3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KGH (primary). Town centre location in Rushden. Predominantly KGH referral patterns.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Spinney Brook Medical Centre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K83028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~11,537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TPP SystmOne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East Northants South</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KGH (primary). Serves Irthlingborough and surrounding area.</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The Cottages</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K83030</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~9,372</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TPP SystmOne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East Northants South</w:t>
            </w:r>
          </w:p>
        </w:tc>
        <w:tc>
          <w:tcPr>
            <w:tcW w:type="dxa" w:w="3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KGH (primary). Hub practice. Serves Raunds and surrounding villages.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Parklands Medical Centre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K83044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~13,612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TPP SystmOne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East Northants South</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KGH (primary), NGH (secondary). Second largest practice by list size.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Nene Valley Surgery</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K83065</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~6,921</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TPP SystmOne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East Northants South</w:t>
            </w:r>
          </w:p>
        </w:tc>
        <w:tc>
          <w:tcPr>
            <w:tcW w:type="dxa" w:w="3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KGH (primary). Serves Thrapston and Nene Valley corridor.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Marshalls Road Surgery</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K83069</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~3,156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TPP SystmOne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East Northants South</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KGH (primary). Smallest ENN practice. Serves Raunds area.</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Higham Ferrers Surgery</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K83080</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~5,569</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TPP SystmOne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East Northants South</w:t>
            </w:r>
          </w:p>
        </w:tc>
        <w:tc>
          <w:tcPr>
            <w:tcW w:type="dxa" w:w="3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KGH (primary). Market town practice.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The Meadows Surgery</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K83616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~6,340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TPP SystmOne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East Northants South</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KGH (primary). Hub practice. Serves Kettering/Corby fringe area.</w:t>
            </w:r>
          </w:p>
        </w:tc>
      </w:tr>
    </w:tbl>
    <w:p>
      <w:pPr>
        <w:spacing w:after="200"/>
      </w:pPr>
    </w:p>
    <w:p>
      <w:pPr>
        <w:spacing w:after="120"/>
      </w:pPr>
      <w:r>
        <w:rPr>
          <w:rFonts w:ascii="Arial" w:cs="Arial" w:eastAsia="Arial" w:hAnsi="Arial"/>
          <w:b/>
          <w:bCs/>
          <w:sz w:val="22"/>
          <w:szCs w:val="22"/>
        </w:rPr>
        <w:t xml:space="preserve">Nine of the ten practices use TPP SystmOne; at least one uses EMIS Web (to be confirmed)</w:t>
      </w:r>
      <w:r>
        <w:rPr>
          <w:rFonts w:ascii="Arial" w:cs="Arial" w:eastAsia="Arial" w:hAnsi="Arial"/>
          <w:sz w:val="22"/>
          <w:szCs w:val="22"/>
        </w:rPr>
        <w:t xml:space="preserve">, which is a significant operational advantage for standardised reporting and template deployment. At least one practice uses EMIS Web (to be confirmed), which adds minor complexity for template deployment and reporting — clinical templates and coding standards must be implemented in both EPRs, and reporting queries will need SystmOne and EMIS versions. However, this is substantially simpler than neighbourhoods with an even split. Approximate list sizes total ~90,241. The total annual appointment requirement is 74,846 with 1,438 weekly appointments required across the neighbourhood.</w:t>
      </w:r>
    </w:p>
    <w:p>
      <w:pPr>
        <w:spacing w:after="120"/>
      </w:pPr>
      <w:r>
        <w:rPr>
          <w:rFonts w:ascii="Arial" w:cs="Arial" w:eastAsia="Arial" w:hAnsi="Arial"/>
          <w:b/>
          <w:bCs/>
          <w:sz w:val="22"/>
          <w:szCs w:val="22"/>
        </w:rPr>
        <w:t xml:space="preserve">Key geographical advantage: </w:t>
      </w:r>
      <w:r>
        <w:rPr>
          <w:rFonts w:ascii="Arial" w:cs="Arial" w:eastAsia="Arial" w:hAnsi="Arial"/>
          <w:sz w:val="22"/>
          <w:szCs w:val="22"/>
        </w:rPr>
        <w:t xml:space="preserve">ENN patients are predominantly referred to KGH and NGH, both within the Northamptonshire ICB footprint. This eliminates the cross-ICB data sharing challenges that affect other NMoC pilot sites and means secondary care data can be obtained through a single ICB BI team request rather than requiring multi-ICB agreements.</w:t>
      </w:r>
    </w:p>
    <w:p>
      <w:pPr>
        <w:pStyle w:val="Heading2"/>
        <w:spacing w:after="150" w:before="300"/>
      </w:pPr>
      <w:r>
        <w:rPr>
          <w:rFonts w:ascii="Arial" w:cs="Arial" w:eastAsia="Arial" w:hAnsi="Arial"/>
        </w:rPr>
        <w:t xml:space="preserve">2.0.1 ENN Hub Structure</w:t>
      </w:r>
    </w:p>
    <w:p>
      <w:pPr>
        <w:spacing w:after="120"/>
      </w:pPr>
      <w:r>
        <w:rPr>
          <w:rFonts w:ascii="Arial" w:cs="Arial" w:eastAsia="Arial" w:hAnsi="Arial"/>
          <w:sz w:val="22"/>
          <w:szCs w:val="22"/>
        </w:rPr>
        <w:t xml:space="preserve">The ENN neighbourhood is organised into three hubs for Same-Day Access delivery. Each hub serves a cluster of practices with the hub practice providing the SDA clinic facility: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100"/>
        <w:gridCol w:w="1100"/>
        <w:gridCol w:w="900"/>
        <w:gridCol w:w="1000"/>
        <w:gridCol w:w="700"/>
        <w:gridCol w:w="726"/>
      </w:tblGrid>
      <w:tr>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ODS Code</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Hub Provider</w:t>
            </w:r>
          </w:p>
        </w:tc>
        <w:tc>
          <w:tcPr>
            <w:tcW w:type="dxa" w:w="11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List Size Served</w:t>
            </w:r>
          </w:p>
        </w:tc>
        <w:tc>
          <w:tcPr>
            <w:tcW w:type="dxa" w:w="11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Annual Appts Req</w:t>
            </w:r>
          </w:p>
        </w:tc>
        <w:tc>
          <w:tcPr>
            <w:tcW w:type="dxa" w:w="9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Weekly Appts</w:t>
            </w:r>
          </w:p>
        </w:tc>
        <w:tc>
          <w:tcPr>
            <w:tcW w:type="dxa" w:w="1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Annual Income</w:t>
            </w:r>
          </w:p>
        </w:tc>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 List</w:t>
            </w:r>
          </w:p>
        </w:tc>
        <w:tc>
          <w:tcPr>
            <w:tcW w:type="dxa" w:w="7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Practices</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K83007</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Harborough Field Surgery</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8"/>
                <w:szCs w:val="18"/>
              </w:rPr>
              <w:t xml:space="preserve">42,315</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8"/>
                <w:szCs w:val="18"/>
              </w:rPr>
              <w:t xml:space="preserve">35,096</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8"/>
                <w:szCs w:val="18"/>
              </w:rPr>
              <w:t xml:space="preserve">675</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8"/>
                <w:szCs w:val="18"/>
              </w:rPr>
              <w:t xml:space="preserve">£1,114,154</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8"/>
                <w:szCs w:val="18"/>
              </w:rPr>
              <w:t xml:space="preserve">46.89%</w:t>
            </w:r>
          </w:p>
        </w:tc>
        <w:tc>
          <w:tcPr>
            <w:tcW w:type="dxa" w:w="7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K83030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The Cottages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8"/>
                <w:szCs w:val="18"/>
              </w:rPr>
              <w:t xml:space="preserve">24,065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8"/>
                <w:szCs w:val="18"/>
              </w:rPr>
              <w:t xml:space="preserve">19,960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8"/>
                <w:szCs w:val="18"/>
              </w:rPr>
              <w:t xml:space="preserve">383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8"/>
                <w:szCs w:val="18"/>
              </w:rPr>
              <w:t xml:space="preserve">£633,631</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8"/>
                <w:szCs w:val="18"/>
              </w:rPr>
              <w:t xml:space="preserve">26.67%</w:t>
            </w:r>
          </w:p>
        </w:tc>
        <w:tc>
          <w:tcPr>
            <w:tcW w:type="dxa" w:w="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K83616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The Meadows Surgery</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8"/>
                <w:szCs w:val="18"/>
              </w:rPr>
              <w:t xml:space="preserve">23,861</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8"/>
                <w:szCs w:val="18"/>
              </w:rPr>
              <w:t xml:space="preserve">19,790</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8"/>
                <w:szCs w:val="18"/>
              </w:rPr>
              <w:t xml:space="preserve">380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8"/>
                <w:szCs w:val="18"/>
              </w:rPr>
              <w:t xml:space="preserve">£628,260</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8"/>
                <w:szCs w:val="18"/>
              </w:rPr>
              <w:t xml:space="preserve">26.44%</w:t>
            </w:r>
          </w:p>
        </w:tc>
        <w:tc>
          <w:tcPr>
            <w:tcW w:type="dxa" w:w="7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r>
      <w:tr>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Total</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right"/>
            </w:pPr>
            <w:r>
              <w:rPr>
                <w:rFonts w:ascii="Arial" w:cs="Arial" w:eastAsia="Arial" w:hAnsi="Arial"/>
                <w:b/>
                <w:bCs/>
                <w:color w:val="000000"/>
                <w:sz w:val="18"/>
                <w:szCs w:val="18"/>
              </w:rPr>
              <w:t xml:space="preserve">90,241</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right"/>
            </w:pPr>
            <w:r>
              <w:rPr>
                <w:rFonts w:ascii="Arial" w:cs="Arial" w:eastAsia="Arial" w:hAnsi="Arial"/>
                <w:b/>
                <w:bCs/>
                <w:color w:val="000000"/>
                <w:sz w:val="18"/>
                <w:szCs w:val="18"/>
              </w:rPr>
              <w:t xml:space="preserve">74,846</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right"/>
            </w:pPr>
            <w:r>
              <w:rPr>
                <w:rFonts w:ascii="Arial" w:cs="Arial" w:eastAsia="Arial" w:hAnsi="Arial"/>
                <w:b/>
                <w:bCs/>
                <w:color w:val="000000"/>
                <w:sz w:val="18"/>
                <w:szCs w:val="18"/>
              </w:rPr>
              <w:t xml:space="preserve">1,438</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right"/>
            </w:pPr>
            <w:r>
              <w:rPr>
                <w:rFonts w:ascii="Arial" w:cs="Arial" w:eastAsia="Arial" w:hAnsi="Arial"/>
                <w:b/>
                <w:bCs/>
                <w:color w:val="000000"/>
                <w:sz w:val="18"/>
                <w:szCs w:val="18"/>
              </w:rPr>
              <w:t xml:space="preserve">£2,376,046</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right"/>
            </w:pPr>
            <w:r>
              <w:rPr>
                <w:rFonts w:ascii="Arial" w:cs="Arial" w:eastAsia="Arial" w:hAnsi="Arial"/>
                <w:b/>
                <w:bCs/>
                <w:color w:val="000000"/>
                <w:sz w:val="18"/>
                <w:szCs w:val="18"/>
              </w:rPr>
              <w:t xml:space="preserve">100%</w:t>
            </w:r>
          </w:p>
        </w:tc>
        <w:tc>
          <w:tcPr>
            <w:tcW w:type="dxa" w:w="7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w:t>
            </w:r>
          </w:p>
        </w:tc>
      </w:tr>
    </w:tbl>
    <w:p>
      <w:r>
        <w:br w:type="page"/>
      </w:r>
    </w:p>
    <w:p>
      <w:pPr>
        <w:pStyle w:val="Heading2"/>
        <w:spacing w:after="150" w:before="300"/>
      </w:pPr>
      <w:r>
        <w:rPr>
          <w:rFonts w:ascii="Arial" w:cs="Arial" w:eastAsia="Arial" w:hAnsi="Arial"/>
        </w:rPr>
        <w:t xml:space="preserve">2.1 Primary Care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3426"/>
      </w:tblGrid>
      <w:tr>
        <w:tc>
          <w:tcPr>
            <w:tcW w:type="dxa" w:w="1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dxa" w:w="1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Provider</w:t>
            </w:r>
          </w:p>
        </w:tc>
        <w:tc>
          <w:tcPr>
            <w:tcW w:type="dxa" w:w="2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Held</w:t>
            </w:r>
          </w:p>
        </w:tc>
        <w:tc>
          <w:tcPr>
            <w:tcW w:type="dxa" w:w="34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Access for ENN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TPP SystmOne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TPP (Leeds)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clinical records, appointments, prescriptions, referrals, templates, QOF data for SystmOne practices (at least 9 of 10).</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Direct — majority of ENN practices. Reports via SystmOne Reporting, Strategic Reporting, or bespoke searches.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EMIS Web</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EMIS Group (Leeds)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Clinical records, appointments, prescriptions, referrals for at least one ENN practice (TBC). Reporting via EMIS Population Manager.</w:t>
            </w:r>
          </w:p>
        </w:tc>
        <w:tc>
          <w:tcPr>
            <w:tcW w:type="dxa" w:w="3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Direct — at least one practice. Templates and coding must be implemented in both EPRs. NARP working on pushing Patient Need Groups into both systems.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GPAD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NHS England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Aggregated appointment data from GP Connect feeds. Weekly volumes by mode, status, role, duration, category, wait time.</w:t>
            </w:r>
          </w:p>
        </w:tc>
        <w:tc>
          <w:tcPr>
            <w:tcW w:type="dxa" w:w="3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Direct — practice-level exports available. Baseline data to be compiled for all 10 practices.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Ardens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Ardens (Warwick)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Clinical templates, searches, protocols. Widely used for QOF, LTC recall, medication reviews.</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Direct — installed across ENN practices. Key for building standardised LTC cohort searches and proactive recall templates.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CQRS / CPCS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NHS England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Contractual service activity claims (DES, Enhanced Access, Network DES).</w:t>
            </w:r>
          </w:p>
        </w:tc>
        <w:tc>
          <w:tcPr>
            <w:tcW w:type="dxa" w:w="3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Indirect — claims data via PCN. Not granular enough for most metrics but confirms service delivery volumes.</w:t>
            </w:r>
          </w:p>
        </w:tc>
      </w:tr>
    </w:tbl>
    <w:p>
      <w:pPr>
        <w:spacing w:after="200"/>
      </w:pPr>
    </w:p>
    <w:p>
      <w:pPr>
        <w:pStyle w:val="Heading2"/>
        <w:spacing w:after="150" w:before="300"/>
      </w:pPr>
      <w:r>
        <w:rPr>
          <w:rFonts w:ascii="Arial" w:cs="Arial" w:eastAsia="Arial" w:hAnsi="Arial"/>
        </w:rPr>
        <w:t xml:space="preserve">2.2 Secondary Care &amp; Hospital Systems</w:t>
      </w:r>
    </w:p>
    <w:p>
      <w:pPr>
        <w:spacing w:after="120"/>
      </w:pPr>
      <w:r>
        <w:rPr>
          <w:rFonts w:ascii="Arial" w:cs="Arial" w:eastAsia="Arial" w:hAnsi="Arial"/>
          <w:sz w:val="22"/>
          <w:szCs w:val="22"/>
        </w:rPr>
        <w:t xml:space="preserve">ENN patients are referred predominantly to two hospital trusts, both within the Northamptonshire ICB footprint. This is a significant data advantage compared to cross-boundary neighbourhoods.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2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Trust / Provider</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dxa" w:w="2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Held</w:t>
            </w:r>
          </w:p>
        </w:tc>
        <w:tc>
          <w:tcPr>
            <w:tcW w:type="dxa" w:w="32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Access for ENN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Kettering General Hospital (KGH)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Nervecentre / Lorenzo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A&amp;E attendances, inpatient admissions, outpatient referrals for the majority of ENN patients. Primary acute provider for East Northants.</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Via ICB BI team. Within Northamptonshire ICB footprint — single data request process. No cross-ICB barriers.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Northampton General Hospital (NGH)</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Camis / Lorenzo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A&amp;E attendances, inpatient admissions, outpatient referrals for ENN patients referred to NGH. Secondary acute provider.</w:t>
            </w:r>
          </w:p>
        </w:tc>
        <w:tc>
          <w:tcPr>
            <w:tcW w:type="dxa" w:w="3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Via ICB BI team. Same Northamptonshire ICB footprint — same data request process as KGH.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East Midlands Ambulance Service (EMAS)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CAD / ePRF</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999 and ambulance conveyance data for ENN patients.</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Via EMAS data team. Possible but not standard. Low priority for pilot Year 1.</w:t>
            </w:r>
          </w:p>
        </w:tc>
      </w:tr>
    </w:tbl>
    <w:p>
      <w:pPr>
        <w:spacing w:after="120"/>
      </w:pPr>
      <w:r>
        <w:rPr>
          <w:rFonts w:ascii="Arial" w:cs="Arial" w:eastAsia="Arial" w:hAnsi="Arial"/>
          <w:b/>
          <w:bCs/>
          <w:sz w:val="22"/>
          <w:szCs w:val="22"/>
        </w:rPr>
        <w:t xml:space="preserve">
Note: </w:t>
      </w:r>
      <w:r>
        <w:rPr>
          <w:rFonts w:ascii="Arial" w:cs="Arial" w:eastAsia="Arial" w:hAnsi="Arial"/>
          <w:sz w:val="22"/>
          <w:szCs w:val="22"/>
        </w:rPr>
        <w:t xml:space="preserve">Unlike the NRES neighbourhood, ENN does not face cross-ICB data sharing challenges for secondary care. All significant acute activity is captured within the Northamptonshire ICB data warehouse covering both KGH and NGH. This means the ICB BI team can provide a comprehensive secondary care baseline from a single data extract, without requiring agreements with BOB ICB (Oxford) or BLMK ICB (Milton Keynes).</w:t>
      </w:r>
    </w:p>
    <w:p>
      <w:r>
        <w:br w:type="page"/>
      </w:r>
    </w:p>
    <w:p>
      <w:pPr>
        <w:pStyle w:val="Heading2"/>
        <w:spacing w:after="150" w:before="300"/>
      </w:pPr>
      <w:r>
        <w:rPr>
          <w:rFonts w:ascii="Arial" w:cs="Arial" w:eastAsia="Arial" w:hAnsi="Arial"/>
        </w:rPr>
        <w:t xml:space="preserve">2.3 National &amp; ICB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026"/>
      </w:tblGrid>
      <w:tr>
        <w:tc>
          <w:tcPr>
            <w:tcW w:type="dxa" w:w="1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dxa" w:w="1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2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w:t>
            </w:r>
          </w:p>
        </w:tc>
        <w:tc>
          <w:tcPr>
            <w:tcW w:type="dxa" w:w="30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Access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SUS / HES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NHS England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Hospital Episode Statistics — all inpatient, outpatient, A&amp;E activity nationally.</w:t>
            </w:r>
          </w:p>
        </w:tc>
        <w:tc>
          <w:tcPr>
            <w:tcW w:type="dxa" w:w="3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Via ICB BI warehouse. Northamptonshire ICB has access. 2–3 month data lag. Single-ICB extract covers all ENN acute activity.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ECDS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NHS England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Emergency Care Data Set — detailed A&amp;E attendance records.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Via ICB BI. Available for KGH and NGH. No cross-boundary complexity.</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NHS England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Electronic Referral Service — all GP referrals to secondary care by specialty.</w:t>
            </w:r>
          </w:p>
        </w:tc>
        <w:tc>
          <w:tcPr>
            <w:tcW w:type="dxa" w:w="3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Via ICB BI. Available at practice ODS code level. Good for referral pattern analysis.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OHID Fingertips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OHID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Population health profiles, QOF prevalence, deprivation data, health inequalities indicators.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Publicly available. Useful for population health context and equity analysis. No IG barriers.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NARP</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Northamptonshire ICB (Graphnet)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Population health dashboards, Patient Need Groups, hospital activity (A&amp;E admissions, elective/non-elective), QOF prevalence, cohort identification, Remote Monitoring.</w:t>
            </w:r>
          </w:p>
        </w:tc>
        <w:tc>
          <w:tcPr>
            <w:tcW w:type="dxa" w:w="3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Via ICB DDaT team (Tunde Adediran). Can request neighbourhood-level views for ENN practices.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NCR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Northamptonshire ICB (Graphnet)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Shared care record across partner organisations. Includes ReSPECT forms, EPaCCS, clinical documents, alerts.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Via ICB DDaT team (Katie Di Stefano). Cross-organisational view of patient contacts relevant to LTC cohorts.</w:t>
            </w:r>
          </w:p>
        </w:tc>
      </w:tr>
    </w:tbl>
    <w:p>
      <w:r>
        <w:br w:type="page"/>
      </w:r>
    </w:p>
    <w:p>
      <w:pPr>
        <w:pStyle w:val="Heading1"/>
        <w:spacing w:after="150" w:before="300"/>
      </w:pPr>
      <w:r>
        <w:rPr>
          <w:rFonts w:ascii="Arial" w:cs="Arial" w:eastAsia="Arial" w:hAnsi="Arial"/>
        </w:rPr>
        <w:t xml:space="preserve">3. Detailed Indicator Assessment</w:t>
      </w:r>
    </w:p>
    <w:p>
      <w:pPr>
        <w:spacing w:after="120"/>
      </w:pPr>
      <w:r>
        <w:rPr>
          <w:rFonts w:ascii="Arial" w:cs="Arial" w:eastAsia="Arial" w:hAnsi="Arial"/>
          <w:sz w:val="22"/>
          <w:szCs w:val="22"/>
        </w:rPr>
        <w:t xml:space="preserve">This section assesses each of the 18 indicators from the ICB draft Information Schedule. For each indicator we provide: current data status, what is available as a baseline, what is missing, which systems are needed, the realistic difficulty and timeline, and the recommended approach.</w:t>
      </w:r>
    </w:p>
    <w:p>
      <w:pPr>
        <w:spacing w:after="120"/>
      </w:pPr>
      <w:r>
        <w:rPr>
          <w:rFonts w:ascii="Arial" w:cs="Arial" w:eastAsia="Arial" w:hAnsi="Arial"/>
          <w:b/>
          <w:bCs/>
          <w:sz w:val="22"/>
          <w:szCs w:val="22"/>
        </w:rPr>
        <w:t xml:space="preserve">Timeline conventions used in this report: </w:t>
      </w:r>
      <w:r>
        <w:rPr>
          <w:rFonts w:ascii="Arial" w:cs="Arial" w:eastAsia="Arial" w:hAnsi="Arial"/>
          <w:sz w:val="22"/>
          <w:szCs w:val="22"/>
        </w:rPr>
        <w:t xml:space="preserve">Pre go-live = before ENN service launch. Go-live + 1m = first operational data available. Go-live + 3m = first meaningful trends. Go-live + 6m = formal review point. Go-live + 12m = annual comparison possible.</w:t>
      </w:r>
    </w:p>
    <w:p>
      <w:pPr>
        <w:pStyle w:val="Heading2"/>
        <w:spacing w:after="150" w:before="300"/>
      </w:pPr>
      <w:r>
        <w:rPr>
          <w:rFonts w:ascii="Arial" w:cs="Arial" w:eastAsia="Arial" w:hAnsi="Arial"/>
        </w:rPr>
        <w:t xml:space="preserve">3.1 SDA Activity Metrics</w:t>
      </w:r>
    </w:p>
    <w:p>
      <w:pPr>
        <w:pStyle w:val="Heading3"/>
        <w:spacing w:after="150" w:before="300"/>
      </w:pPr>
      <w:r>
        <w:rPr>
          <w:rFonts w:ascii="Arial" w:cs="Arial" w:eastAsia="Arial" w:hAnsi="Arial"/>
        </w:rPr>
        <w:t xml:space="preserve">Indicator 1: % of Same-Day Demand Managed Outside Core GP</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Partial | </w:t>
      </w:r>
      <w:r>
        <w:rPr>
          <w:rFonts w:ascii="Arial" w:cs="Arial" w:eastAsia="Arial" w:hAnsi="Arial"/>
          <w:b/>
          <w:bCs/>
          <w:sz w:val="22"/>
          <w:szCs w:val="22"/>
        </w:rPr>
        <w:t xml:space="preserve">Difficulty: </w:t>
      </w:r>
      <w:r>
        <w:rPr>
          <w:rFonts w:ascii="Arial" w:cs="Arial" w:eastAsia="Arial" w:hAnsi="Arial"/>
          <w:sz w:val="22"/>
          <w:szCs w:val="22"/>
        </w:rPr>
        <w:t xml:space="preserve">Low | </w:t>
      </w:r>
      <w:r>
        <w:rPr>
          <w:rFonts w:ascii="Arial" w:cs="Arial" w:eastAsia="Arial" w:hAnsi="Arial"/>
          <w:b/>
          <w:bCs/>
          <w:sz w:val="22"/>
          <w:szCs w:val="22"/>
        </w:rPr>
        <w:t xml:space="preserve">Timeline: </w:t>
      </w:r>
      <w:r>
        <w:rPr>
          <w:rFonts w:ascii="Arial" w:cs="Arial" w:eastAsia="Arial" w:hAnsi="Arial"/>
          <w:sz w:val="22"/>
          <w:szCs w:val="22"/>
        </w:rPr>
        <w:t xml:space="preserve">Go-live + 1 month</w:t>
      </w:r>
    </w:p>
    <w:p>
      <w:pPr>
        <w:spacing w:after="120"/>
      </w:pPr>
      <w:r>
        <w:rPr>
          <w:rFonts w:ascii="Arial" w:cs="Arial" w:eastAsia="Arial" w:hAnsi="Arial"/>
          <w:b/>
          <w:bCs/>
          <w:sz w:val="22"/>
          <w:szCs w:val="22"/>
        </w:rPr>
        <w:t xml:space="preserve">Current baseline: </w:t>
      </w:r>
      <w:r>
        <w:rPr>
          <w:rFonts w:ascii="Arial" w:cs="Arial" w:eastAsia="Arial" w:hAnsi="Arial"/>
          <w:sz w:val="22"/>
          <w:szCs w:val="22"/>
        </w:rPr>
        <w:t xml:space="preserve">Baseline data to be compiled from GPAD exports for all 10 ENN practices. Practice-level breakdowns will be available by role (GP, Nurses, Other DPC). The total annual appointment requirement across the neighbourhood is 74,846 appointments with 1,438 weekly appointments required.</w:t>
      </w:r>
    </w:p>
    <w:p>
      <w:pPr>
        <w:spacing w:after="120"/>
      </w:pPr>
      <w:r>
        <w:rPr>
          <w:rFonts w:ascii="Arial" w:cs="Arial" w:eastAsia="Arial" w:hAnsi="Arial"/>
          <w:b/>
          <w:bCs/>
          <w:sz w:val="22"/>
          <w:szCs w:val="22"/>
        </w:rPr>
        <w:t xml:space="preserve">What is missing: </w:t>
      </w:r>
      <w:r>
        <w:rPr>
          <w:rFonts w:ascii="Arial" w:cs="Arial" w:eastAsia="Arial" w:hAnsi="Arial"/>
          <w:sz w:val="22"/>
          <w:szCs w:val="22"/>
        </w:rPr>
        <w:t xml:space="preserve">GPAD does not distinguish between same-day appointments delivered within the core GP rota versus those delivered through the SDA service specifically. Both are coded as same-day in SystmOne.</w:t>
      </w:r>
    </w:p>
    <w:p>
      <w:pPr>
        <w:spacing w:after="120"/>
      </w:pPr>
      <w:r>
        <w:rPr>
          <w:rFonts w:ascii="Arial" w:cs="Arial" w:eastAsia="Arial" w:hAnsi="Arial"/>
          <w:b/>
          <w:bCs/>
          <w:sz w:val="22"/>
          <w:szCs w:val="22"/>
        </w:rPr>
        <w:t xml:space="preserve">Systems required: </w:t>
      </w:r>
      <w:r>
        <w:rPr>
          <w:rFonts w:ascii="Arial" w:cs="Arial" w:eastAsia="Arial" w:hAnsi="Arial"/>
          <w:sz w:val="22"/>
          <w:szCs w:val="22"/>
        </w:rPr>
        <w:t xml:space="preserve">TPP SystmOne — SDA appointments need to be booked into dedicated slot types or a distinct clinic/session that can be reported on separately. This is a configuration task within SystmOne. As the majority of practices use SystmOne, a single template covers most practices, with an EMIS equivalent needed for at least one.</w:t>
      </w:r>
    </w:p>
    <w:p>
      <w:pPr>
        <w:spacing w:after="120"/>
      </w:pPr>
      <w:r>
        <w:rPr>
          <w:rFonts w:ascii="Arial" w:cs="Arial" w:eastAsia="Arial" w:hAnsi="Arial"/>
          <w:b/>
          <w:bCs/>
          <w:sz w:val="22"/>
          <w:szCs w:val="22"/>
        </w:rPr>
        <w:t xml:space="preserve">Recommended approach: </w:t>
      </w:r>
      <w:r>
        <w:rPr>
          <w:rFonts w:ascii="Arial" w:cs="Arial" w:eastAsia="Arial" w:hAnsi="Arial"/>
          <w:sz w:val="22"/>
          <w:szCs w:val="22"/>
        </w:rPr>
        <w:t xml:space="preserve">Before go-live, configure distinct session types for SDA clinics at each hub practice (Harborough Field Surgery, The Cottages, The Meadows Surgery). Post-launch, GPAD or SystmOne reporting can then filter SDA-specific same-day activity from core GP same-day. This is achievable pre go-live with minimal effort.</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Low. Entirely within ENN control. Predominantly single system simplifies deployment, with EMIS equivalent needed for at least one practice.</w:t>
      </w:r>
    </w:p>
    <w:p>
      <w:pPr>
        <w:pStyle w:val="Heading3"/>
        <w:spacing w:after="150" w:before="300"/>
      </w:pPr>
      <w:r>
        <w:rPr>
          <w:rFonts w:ascii="Arial" w:cs="Arial" w:eastAsia="Arial" w:hAnsi="Arial"/>
        </w:rPr>
        <w:t xml:space="preserve">Indicator 2: Referral Breakdown — Urgent Care vs Complex/LTC Same-Day</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Partial | </w:t>
      </w:r>
      <w:r>
        <w:rPr>
          <w:rFonts w:ascii="Arial" w:cs="Arial" w:eastAsia="Arial" w:hAnsi="Arial"/>
          <w:b/>
          <w:bCs/>
          <w:sz w:val="22"/>
          <w:szCs w:val="22"/>
        </w:rPr>
        <w:t xml:space="preserve">Difficulty: </w:t>
      </w:r>
      <w:r>
        <w:rPr>
          <w:rFonts w:ascii="Arial" w:cs="Arial" w:eastAsia="Arial" w:hAnsi="Arial"/>
          <w:sz w:val="22"/>
          <w:szCs w:val="22"/>
        </w:rPr>
        <w:t xml:space="preserve">Medium | </w:t>
      </w:r>
      <w:r>
        <w:rPr>
          <w:rFonts w:ascii="Arial" w:cs="Arial" w:eastAsia="Arial" w:hAnsi="Arial"/>
          <w:b/>
          <w:bCs/>
          <w:sz w:val="22"/>
          <w:szCs w:val="22"/>
        </w:rPr>
        <w:t xml:space="preserve">Timeline: </w:t>
      </w:r>
      <w:r>
        <w:rPr>
          <w:rFonts w:ascii="Arial" w:cs="Arial" w:eastAsia="Arial" w:hAnsi="Arial"/>
          <w:sz w:val="22"/>
          <w:szCs w:val="22"/>
        </w:rPr>
        <w:t xml:space="preserve">Go-live + 3 months</w:t>
      </w:r>
    </w:p>
    <w:p>
      <w:pPr>
        <w:spacing w:after="120"/>
      </w:pPr>
      <w:r>
        <w:rPr>
          <w:rFonts w:ascii="Arial" w:cs="Arial" w:eastAsia="Arial" w:hAnsi="Arial"/>
          <w:b/>
          <w:bCs/>
          <w:sz w:val="22"/>
          <w:szCs w:val="22"/>
        </w:rPr>
        <w:t xml:space="preserve">Current baseline: </w:t>
      </w:r>
      <w:r>
        <w:rPr>
          <w:rFonts w:ascii="Arial" w:cs="Arial" w:eastAsia="Arial" w:hAnsi="Arial"/>
          <w:sz w:val="22"/>
          <w:szCs w:val="22"/>
        </w:rPr>
        <w:t xml:space="preserve">National Category in GPAD provides a proxy: General Consultation Acute, Clinical Triage, General Consultation Routine, Planned Clinics. However, ‘Routine’ conflates LTC reviews with genuinely routine same-day contacts.</w:t>
      </w:r>
    </w:p>
    <w:p>
      <w:pPr>
        <w:spacing w:after="120"/>
      </w:pPr>
      <w:r>
        <w:rPr>
          <w:rFonts w:ascii="Arial" w:cs="Arial" w:eastAsia="Arial" w:hAnsi="Arial"/>
          <w:b/>
          <w:bCs/>
          <w:sz w:val="22"/>
          <w:szCs w:val="22"/>
        </w:rPr>
        <w:t xml:space="preserve">What is missing: </w:t>
      </w:r>
      <w:r>
        <w:rPr>
          <w:rFonts w:ascii="Arial" w:cs="Arial" w:eastAsia="Arial" w:hAnsi="Arial"/>
          <w:sz w:val="22"/>
          <w:szCs w:val="22"/>
        </w:rPr>
        <w:t xml:space="preserve">No referral reason or triage outcome field in GPAD. Cannot distinguish ‘patient called with urgent need’ from ‘patient attending pre-booked LTC review on same day’.</w:t>
      </w:r>
    </w:p>
    <w:p>
      <w:pPr>
        <w:spacing w:after="120"/>
      </w:pPr>
      <w:r>
        <w:rPr>
          <w:rFonts w:ascii="Arial" w:cs="Arial" w:eastAsia="Arial" w:hAnsi="Arial"/>
          <w:b/>
          <w:bCs/>
          <w:sz w:val="22"/>
          <w:szCs w:val="22"/>
        </w:rPr>
        <w:t xml:space="preserve">Recommended approach: </w:t>
      </w:r>
      <w:r>
        <w:rPr>
          <w:rFonts w:ascii="Arial" w:cs="Arial" w:eastAsia="Arial" w:hAnsi="Arial"/>
          <w:sz w:val="22"/>
          <w:szCs w:val="22"/>
        </w:rPr>
        <w:t xml:space="preserve">Design a lightweight triage categorisation (3–4 options) built into the SDA booking workflow. With all practices on SystmOne, a single template covers the SystmOne practices, with an EMIS equivalent for the remaining practice(s). Expect 2–3 months to embed consistently.</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Medium. Requires consistent use by reception/triage staff across 10 practices. Coding inconsistency is the main risk.</w:t>
      </w:r>
    </w:p>
    <w:p>
      <w:pPr>
        <w:pStyle w:val="Heading3"/>
        <w:spacing w:after="150" w:before="300"/>
      </w:pPr>
      <w:r>
        <w:rPr>
          <w:rFonts w:ascii="Arial" w:cs="Arial" w:eastAsia="Arial" w:hAnsi="Arial"/>
        </w:rPr>
        <w:t xml:space="preserve">Indicator 3: Average Same-Day Wait Time (Booking to Appointment)</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Partial | </w:t>
      </w:r>
      <w:r>
        <w:rPr>
          <w:rFonts w:ascii="Arial" w:cs="Arial" w:eastAsia="Arial" w:hAnsi="Arial"/>
          <w:b/>
          <w:bCs/>
          <w:sz w:val="22"/>
          <w:szCs w:val="22"/>
        </w:rPr>
        <w:t xml:space="preserve">Difficulty: </w:t>
      </w:r>
      <w:r>
        <w:rPr>
          <w:rFonts w:ascii="Arial" w:cs="Arial" w:eastAsia="Arial" w:hAnsi="Arial"/>
          <w:sz w:val="22"/>
          <w:szCs w:val="22"/>
        </w:rPr>
        <w:t xml:space="preserve">Low | </w:t>
      </w:r>
      <w:r>
        <w:rPr>
          <w:rFonts w:ascii="Arial" w:cs="Arial" w:eastAsia="Arial" w:hAnsi="Arial"/>
          <w:b/>
          <w:bCs/>
          <w:sz w:val="22"/>
          <w:szCs w:val="22"/>
        </w:rPr>
        <w:t xml:space="preserve">Timeline: </w:t>
      </w:r>
      <w:r>
        <w:rPr>
          <w:rFonts w:ascii="Arial" w:cs="Arial" w:eastAsia="Arial" w:hAnsi="Arial"/>
          <w:sz w:val="22"/>
          <w:szCs w:val="22"/>
        </w:rPr>
        <w:t xml:space="preserve">Go-live + 1 month</w:t>
      </w:r>
    </w:p>
    <w:p>
      <w:pPr>
        <w:spacing w:after="120"/>
      </w:pPr>
      <w:r>
        <w:rPr>
          <w:rFonts w:ascii="Arial" w:cs="Arial" w:eastAsia="Arial" w:hAnsi="Arial"/>
          <w:b/>
          <w:bCs/>
          <w:sz w:val="22"/>
          <w:szCs w:val="22"/>
        </w:rPr>
        <w:t xml:space="preserve">Current baseline: </w:t>
      </w:r>
      <w:r>
        <w:rPr>
          <w:rFonts w:ascii="Arial" w:cs="Arial" w:eastAsia="Arial" w:hAnsi="Arial"/>
          <w:sz w:val="22"/>
          <w:szCs w:val="22"/>
        </w:rPr>
        <w:t xml:space="preserve">Wait time bands available from GPAD: Same Day, 1 Day, 2–7 Days, etc.</w:t>
      </w:r>
    </w:p>
    <w:p>
      <w:pPr>
        <w:spacing w:after="120"/>
      </w:pPr>
      <w:r>
        <w:rPr>
          <w:rFonts w:ascii="Arial" w:cs="Arial" w:eastAsia="Arial" w:hAnsi="Arial"/>
          <w:b/>
          <w:bCs/>
          <w:sz w:val="22"/>
          <w:szCs w:val="22"/>
        </w:rPr>
        <w:t xml:space="preserve">What is missing: </w:t>
      </w:r>
      <w:r>
        <w:rPr>
          <w:rFonts w:ascii="Arial" w:cs="Arial" w:eastAsia="Arial" w:hAnsi="Arial"/>
          <w:sz w:val="22"/>
          <w:szCs w:val="22"/>
        </w:rPr>
        <w:t xml:space="preserve">Exact wait in minutes or hours. ‘Same Day’ could mean 15 minutes or 8 hours.</w:t>
      </w:r>
    </w:p>
    <w:p>
      <w:pPr>
        <w:spacing w:after="120"/>
      </w:pPr>
      <w:r>
        <w:rPr>
          <w:rFonts w:ascii="Arial" w:cs="Arial" w:eastAsia="Arial" w:hAnsi="Arial"/>
          <w:b/>
          <w:bCs/>
          <w:sz w:val="22"/>
          <w:szCs w:val="22"/>
        </w:rPr>
        <w:t xml:space="preserve">Recommended approach: </w:t>
      </w:r>
      <w:r>
        <w:rPr>
          <w:rFonts w:ascii="Arial" w:cs="Arial" w:eastAsia="Arial" w:hAnsi="Arial"/>
          <w:sz w:val="22"/>
          <w:szCs w:val="22"/>
        </w:rPr>
        <w:t xml:space="preserve">Commission SystmOne reports that extract booking time vs appointment time for SDA same-day slots. The predominantly single-system environment means one report specification covers most practices, with an equivalent EMIS report needed for the EMIS practice(s). Can be ready within 2–4 weeks of go-live.</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Low. Standard SystmOne reporting capability.</w:t>
      </w:r>
    </w:p>
    <w:p>
      <w:pPr>
        <w:pStyle w:val="Heading3"/>
        <w:spacing w:after="150" w:before="300"/>
      </w:pPr>
      <w:r>
        <w:rPr>
          <w:rFonts w:ascii="Arial" w:cs="Arial" w:eastAsia="Arial" w:hAnsi="Arial"/>
        </w:rPr>
        <w:t xml:space="preserve">Indicator 4: % of Appointments for Proactive Complex Care / LTC</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Partial | </w:t>
      </w:r>
      <w:r>
        <w:rPr>
          <w:rFonts w:ascii="Arial" w:cs="Arial" w:eastAsia="Arial" w:hAnsi="Arial"/>
          <w:b/>
          <w:bCs/>
          <w:sz w:val="22"/>
          <w:szCs w:val="22"/>
        </w:rPr>
        <w:t xml:space="preserve">Difficulty: </w:t>
      </w:r>
      <w:r>
        <w:rPr>
          <w:rFonts w:ascii="Arial" w:cs="Arial" w:eastAsia="Arial" w:hAnsi="Arial"/>
          <w:sz w:val="22"/>
          <w:szCs w:val="22"/>
        </w:rPr>
        <w:t xml:space="preserve">High | </w:t>
      </w:r>
      <w:r>
        <w:rPr>
          <w:rFonts w:ascii="Arial" w:cs="Arial" w:eastAsia="Arial" w:hAnsi="Arial"/>
          <w:b/>
          <w:bCs/>
          <w:sz w:val="22"/>
          <w:szCs w:val="22"/>
        </w:rPr>
        <w:t xml:space="preserve">Timeline: </w:t>
      </w:r>
      <w:r>
        <w:rPr>
          <w:rFonts w:ascii="Arial" w:cs="Arial" w:eastAsia="Arial" w:hAnsi="Arial"/>
          <w:sz w:val="22"/>
          <w:szCs w:val="22"/>
        </w:rPr>
        <w:t xml:space="preserve">Go-live + 6 months minimum</w:t>
      </w:r>
    </w:p>
    <w:p>
      <w:pPr>
        <w:spacing w:after="120"/>
      </w:pPr>
      <w:r>
        <w:rPr>
          <w:rFonts w:ascii="Arial" w:cs="Arial" w:eastAsia="Arial" w:hAnsi="Arial"/>
          <w:b/>
          <w:bCs/>
          <w:sz w:val="22"/>
          <w:szCs w:val="22"/>
        </w:rPr>
        <w:t xml:space="preserve">What is missing: </w:t>
      </w:r>
      <w:r>
        <w:rPr>
          <w:rFonts w:ascii="Arial" w:cs="Arial" w:eastAsia="Arial" w:hAnsi="Arial"/>
          <w:sz w:val="22"/>
          <w:szCs w:val="22"/>
        </w:rPr>
        <w:t xml:space="preserve">This is the most significant gap. ‘Proactive’ is not a category in GPAD or SystmOne by default. There is no way to distinguish a proactive LTC review initiated by the practice from a reactive same-day contact for an LTC patient. Furthermore, the ICB’s requirement for unique patient counts requires patient-level data that is not available in aggregated GPAD exports.</w:t>
      </w:r>
    </w:p>
    <w:p>
      <w:pPr>
        <w:spacing w:after="120"/>
      </w:pPr>
      <w:r>
        <w:rPr>
          <w:rFonts w:ascii="Arial" w:cs="Arial" w:eastAsia="Arial" w:hAnsi="Arial"/>
          <w:b/>
          <w:bCs/>
          <w:sz w:val="22"/>
          <w:szCs w:val="22"/>
        </w:rPr>
        <w:t xml:space="preserve">Systems required: </w:t>
      </w:r>
      <w:r>
        <w:rPr>
          <w:rFonts w:ascii="Arial" w:cs="Arial" w:eastAsia="Arial" w:hAnsi="Arial"/>
          <w:sz w:val="22"/>
          <w:szCs w:val="22"/>
        </w:rPr>
        <w:t xml:space="preserve">NARP Cohort Identification tool for cohort denominators and baseline health profiles. SystmOne for clinical coding — practices need templates/SNOMED codes to tag proactive LTC contacts. Ardens for standardised recall searches and review templates. SystmOne Strategic Reporting for unique patient counts.</w:t>
      </w:r>
    </w:p>
    <w:p>
      <w:pPr>
        <w:spacing w:after="120"/>
      </w:pPr>
      <w:r>
        <w:rPr>
          <w:rFonts w:ascii="Arial" w:cs="Arial" w:eastAsia="Arial" w:hAnsi="Arial"/>
          <w:b/>
          <w:bCs/>
          <w:sz w:val="22"/>
          <w:szCs w:val="22"/>
        </w:rPr>
        <w:t xml:space="preserve">Recommended approach: </w:t>
      </w:r>
      <w:r>
        <w:rPr>
          <w:rFonts w:ascii="Arial" w:cs="Arial" w:eastAsia="Arial" w:hAnsi="Arial"/>
          <w:sz w:val="22"/>
          <w:szCs w:val="22"/>
        </w:rPr>
        <w:t xml:space="preserve">Phased approach: start with 1–2 cohorts (e.g. Pre-Diabetes + COPD) rather than all four simultaneously. The predominantly single-system environment simplifies template deployment, though EMIS equivalent(s) will be needed. Expect 3–6 months to embed coding practices.</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High. Depends on clinical leadership agreeing definitions, 10 practice teams adopting templates consistently. This is the single largest workstream for LTC metrics.</w:t>
      </w:r>
    </w:p>
    <w:p>
      <w:pPr>
        <w:pStyle w:val="Heading3"/>
        <w:spacing w:after="150" w:before="300"/>
      </w:pPr>
      <w:r>
        <w:rPr>
          <w:rFonts w:ascii="Arial" w:cs="Arial" w:eastAsia="Arial" w:hAnsi="Arial"/>
        </w:rPr>
        <w:t xml:space="preserve">Indicator 5: Referral % for Specialty/Hospital vs Referred to Hub</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Not Available | </w:t>
      </w:r>
      <w:r>
        <w:rPr>
          <w:rFonts w:ascii="Arial" w:cs="Arial" w:eastAsia="Arial" w:hAnsi="Arial"/>
          <w:b/>
          <w:bCs/>
          <w:sz w:val="22"/>
          <w:szCs w:val="22"/>
        </w:rPr>
        <w:t xml:space="preserve">Difficulty: </w:t>
      </w:r>
      <w:r>
        <w:rPr>
          <w:rFonts w:ascii="Arial" w:cs="Arial" w:eastAsia="Arial" w:hAnsi="Arial"/>
          <w:sz w:val="22"/>
          <w:szCs w:val="22"/>
        </w:rPr>
        <w:t xml:space="preserve">Medium–High | </w:t>
      </w:r>
      <w:r>
        <w:rPr>
          <w:rFonts w:ascii="Arial" w:cs="Arial" w:eastAsia="Arial" w:hAnsi="Arial"/>
          <w:b/>
          <w:bCs/>
          <w:sz w:val="22"/>
          <w:szCs w:val="22"/>
        </w:rPr>
        <w:t xml:space="preserve">Timeline: </w:t>
      </w:r>
      <w:r>
        <w:rPr>
          <w:rFonts w:ascii="Arial" w:cs="Arial" w:eastAsia="Arial" w:hAnsi="Arial"/>
          <w:sz w:val="22"/>
          <w:szCs w:val="22"/>
        </w:rPr>
        <w:t xml:space="preserve">Go-live + 3–6 months</w:t>
      </w:r>
    </w:p>
    <w:p>
      <w:pPr>
        <w:spacing w:after="120"/>
      </w:pPr>
      <w:r>
        <w:rPr>
          <w:rFonts w:ascii="Arial" w:cs="Arial" w:eastAsia="Arial" w:hAnsi="Arial"/>
          <w:b/>
          <w:bCs/>
          <w:sz w:val="22"/>
          <w:szCs w:val="22"/>
        </w:rPr>
        <w:t xml:space="preserve">Key advantage: </w:t>
      </w:r>
      <w:r>
        <w:rPr>
          <w:rFonts w:ascii="Arial" w:cs="Arial" w:eastAsia="Arial" w:hAnsi="Arial"/>
          <w:sz w:val="22"/>
          <w:szCs w:val="22"/>
        </w:rPr>
        <w:t xml:space="preserve">Unlike cross-boundary neighbourhoods, ENN referrals are predominantly to KGH and NGH, both within the Northamptonshire ICB footprint. e-RS referral data can be obtained through a single ICB BI team request covering both trusts. No cross-ICB data sharing agreements required.</w:t>
      </w:r>
    </w:p>
    <w:p>
      <w:pPr>
        <w:spacing w:after="120"/>
      </w:pPr>
      <w:r>
        <w:rPr>
          <w:rFonts w:ascii="Arial" w:cs="Arial" w:eastAsia="Arial" w:hAnsi="Arial"/>
          <w:b/>
          <w:bCs/>
          <w:sz w:val="22"/>
          <w:szCs w:val="22"/>
        </w:rPr>
        <w:t xml:space="preserve">Recommended approach: </w:t>
      </w:r>
      <w:r>
        <w:rPr>
          <w:rFonts w:ascii="Arial" w:cs="Arial" w:eastAsia="Arial" w:hAnsi="Arial"/>
          <w:sz w:val="22"/>
          <w:szCs w:val="22"/>
        </w:rPr>
        <w:t xml:space="preserve">ICB BI team extracts e-RS referral data for the 10 ENN practice ODS codes covering KGH and NGH. Achievable within go-live + 3 months. Oundle patients with occasional Peterborough referrals are a minor gap but not material to overall reporting.</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Medium. Substantially lower risk than cross-boundary neighbourhoods. Dependent on ICB BI team capacity.</w:t>
      </w:r>
    </w:p>
    <w:p>
      <w:pPr>
        <w:pStyle w:val="Heading3"/>
        <w:spacing w:after="150" w:before="300"/>
      </w:pPr>
      <w:r>
        <w:rPr>
          <w:rFonts w:ascii="Arial" w:cs="Arial" w:eastAsia="Arial" w:hAnsi="Arial"/>
        </w:rPr>
        <w:t xml:space="preserve">Indicator 6: Unplanned Hospital / A&amp;E Admissions</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Not Available | </w:t>
      </w:r>
      <w:r>
        <w:rPr>
          <w:rFonts w:ascii="Arial" w:cs="Arial" w:eastAsia="Arial" w:hAnsi="Arial"/>
          <w:b/>
          <w:bCs/>
          <w:sz w:val="22"/>
          <w:szCs w:val="22"/>
        </w:rPr>
        <w:t xml:space="preserve">Difficulty: </w:t>
      </w:r>
      <w:r>
        <w:rPr>
          <w:rFonts w:ascii="Arial" w:cs="Arial" w:eastAsia="Arial" w:hAnsi="Arial"/>
          <w:sz w:val="22"/>
          <w:szCs w:val="22"/>
        </w:rPr>
        <w:t xml:space="preserve">Medium | </w:t>
      </w:r>
      <w:r>
        <w:rPr>
          <w:rFonts w:ascii="Arial" w:cs="Arial" w:eastAsia="Arial" w:hAnsi="Arial"/>
          <w:b/>
          <w:bCs/>
          <w:sz w:val="22"/>
          <w:szCs w:val="22"/>
        </w:rPr>
        <w:t xml:space="preserve">Timeline: </w:t>
      </w:r>
      <w:r>
        <w:rPr>
          <w:rFonts w:ascii="Arial" w:cs="Arial" w:eastAsia="Arial" w:hAnsi="Arial"/>
          <w:sz w:val="22"/>
          <w:szCs w:val="22"/>
        </w:rPr>
        <w:t xml:space="preserve">Go-live + 3–6 months</w:t>
      </w:r>
    </w:p>
    <w:p>
      <w:pPr>
        <w:spacing w:after="120"/>
      </w:pPr>
      <w:r>
        <w:rPr>
          <w:rFonts w:ascii="Arial" w:cs="Arial" w:eastAsia="Arial" w:hAnsi="Arial"/>
          <w:b/>
          <w:bCs/>
          <w:sz w:val="22"/>
          <w:szCs w:val="22"/>
        </w:rPr>
        <w:t xml:space="preserve">Key advantage: </w:t>
      </w:r>
      <w:r>
        <w:rPr>
          <w:rFonts w:ascii="Arial" w:cs="Arial" w:eastAsia="Arial" w:hAnsi="Arial"/>
          <w:sz w:val="22"/>
          <w:szCs w:val="22"/>
        </w:rPr>
        <w:t xml:space="preserve">All significant acute activity is at KGH and NGH within the Northamptonshire ICB footprint. NARP already holds A&amp;E admission data including emergency admissions by LSOA, admission rates by age band, and primary diagnosis breakdown. A single ICB BI extract covers the full ENN population without cross-ICB complexity.</w:t>
      </w:r>
    </w:p>
    <w:p>
      <w:pPr>
        <w:spacing w:after="120"/>
      </w:pPr>
      <w:r>
        <w:rPr>
          <w:rFonts w:ascii="Arial" w:cs="Arial" w:eastAsia="Arial" w:hAnsi="Arial"/>
          <w:b/>
          <w:bCs/>
          <w:sz w:val="22"/>
          <w:szCs w:val="22"/>
        </w:rPr>
        <w:t xml:space="preserve">Recommended approach: </w:t>
      </w:r>
      <w:r>
        <w:rPr>
          <w:rFonts w:ascii="Arial" w:cs="Arial" w:eastAsia="Arial" w:hAnsi="Arial"/>
          <w:sz w:val="22"/>
          <w:szCs w:val="22"/>
        </w:rPr>
        <w:t xml:space="preserve">Two-track: (1) Quick win via NARP — request neighbourhood-level dashboard filtered to the 10 ENN practice populations. (2) Formal extract via ICB BI for detailed monthly counts by practice ODS code. Baseline = 12 months pre-pilot. Note: SUS data has a 2–3 month publication lag.</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Medium. Significantly lower than cross-boundary scenarios. ICB BI team capacity is the main constraint.</w:t>
      </w:r>
    </w:p>
    <w:p>
      <w:pPr>
        <w:pStyle w:val="Heading3"/>
        <w:spacing w:after="150" w:before="300"/>
      </w:pPr>
      <w:r>
        <w:rPr>
          <w:rFonts w:ascii="Arial" w:cs="Arial" w:eastAsia="Arial" w:hAnsi="Arial"/>
        </w:rPr>
        <w:t xml:space="preserve">Indicator 7: Appointments per 1,000 Registered Patients per Week</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Available | </w:t>
      </w:r>
      <w:r>
        <w:rPr>
          <w:rFonts w:ascii="Arial" w:cs="Arial" w:eastAsia="Arial" w:hAnsi="Arial"/>
          <w:b/>
          <w:bCs/>
          <w:sz w:val="22"/>
          <w:szCs w:val="22"/>
        </w:rPr>
        <w:t xml:space="preserve">Difficulty: </w:t>
      </w:r>
      <w:r>
        <w:rPr>
          <w:rFonts w:ascii="Arial" w:cs="Arial" w:eastAsia="Arial" w:hAnsi="Arial"/>
          <w:sz w:val="22"/>
          <w:szCs w:val="22"/>
        </w:rPr>
        <w:t xml:space="preserve">Low | </w:t>
      </w:r>
      <w:r>
        <w:rPr>
          <w:rFonts w:ascii="Arial" w:cs="Arial" w:eastAsia="Arial" w:hAnsi="Arial"/>
          <w:b/>
          <w:bCs/>
          <w:sz w:val="22"/>
          <w:szCs w:val="22"/>
        </w:rPr>
        <w:t xml:space="preserve">Timeline: </w:t>
      </w:r>
      <w:r>
        <w:rPr>
          <w:rFonts w:ascii="Arial" w:cs="Arial" w:eastAsia="Arial" w:hAnsi="Arial"/>
          <w:sz w:val="22"/>
          <w:szCs w:val="22"/>
        </w:rPr>
        <w:t xml:space="preserve">Available now</w:t>
      </w:r>
    </w:p>
    <w:p>
      <w:pPr>
        <w:spacing w:after="120"/>
      </w:pPr>
      <w:r>
        <w:rPr>
          <w:rFonts w:ascii="Arial" w:cs="Arial" w:eastAsia="Arial" w:hAnsi="Arial"/>
          <w:b/>
          <w:bCs/>
          <w:sz w:val="22"/>
          <w:szCs w:val="22"/>
        </w:rPr>
        <w:t xml:space="preserve">Current baseline: </w:t>
      </w:r>
      <w:r>
        <w:rPr>
          <w:rFonts w:ascii="Arial" w:cs="Arial" w:eastAsia="Arial" w:hAnsi="Arial"/>
          <w:sz w:val="22"/>
          <w:szCs w:val="22"/>
        </w:rPr>
        <w:t xml:space="preserve">Based on the 90,241 registered patients and 74,846 annual appointment requirement (1,438 weekly), the appointment rate is approximately 15.9 per 1,000 patients per week for SDA appointments. Total practice appointment rates (including core GP) available from GPAD.</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Very low.</w:t>
      </w:r>
    </w:p>
    <w:p>
      <w:r>
        <w:br w:type="page"/>
      </w:r>
    </w:p>
    <w:p>
      <w:pPr>
        <w:pStyle w:val="Heading2"/>
        <w:spacing w:after="150" w:before="300"/>
      </w:pPr>
      <w:r>
        <w:rPr>
          <w:rFonts w:ascii="Arial" w:cs="Arial" w:eastAsia="Arial" w:hAnsi="Arial"/>
        </w:rPr>
        <w:t xml:space="preserve">3.2 Operational &amp; System Metrics</w:t>
      </w:r>
    </w:p>
    <w:p>
      <w:pPr>
        <w:pStyle w:val="Heading3"/>
        <w:spacing w:after="150" w:before="300"/>
      </w:pPr>
      <w:r>
        <w:rPr>
          <w:rFonts w:ascii="Arial" w:cs="Arial" w:eastAsia="Arial" w:hAnsi="Arial"/>
        </w:rPr>
        <w:t xml:space="preserve">Indicator 8: Integration with Community Urgent Care / Shared Workforce</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Not Available | </w:t>
      </w:r>
      <w:r>
        <w:rPr>
          <w:rFonts w:ascii="Arial" w:cs="Arial" w:eastAsia="Arial" w:hAnsi="Arial"/>
          <w:b/>
          <w:bCs/>
          <w:sz w:val="22"/>
          <w:szCs w:val="22"/>
        </w:rPr>
        <w:t xml:space="preserve">Difficulty: </w:t>
      </w:r>
      <w:r>
        <w:rPr>
          <w:rFonts w:ascii="Arial" w:cs="Arial" w:eastAsia="Arial" w:hAnsi="Arial"/>
          <w:sz w:val="22"/>
          <w:szCs w:val="22"/>
        </w:rPr>
        <w:t xml:space="preserve">Medium | </w:t>
      </w:r>
      <w:r>
        <w:rPr>
          <w:rFonts w:ascii="Arial" w:cs="Arial" w:eastAsia="Arial" w:hAnsi="Arial"/>
          <w:b/>
          <w:bCs/>
          <w:sz w:val="22"/>
          <w:szCs w:val="22"/>
        </w:rPr>
        <w:t xml:space="preserve">Timeline: </w:t>
      </w:r>
      <w:r>
        <w:rPr>
          <w:rFonts w:ascii="Arial" w:cs="Arial" w:eastAsia="Arial" w:hAnsi="Arial"/>
          <w:sz w:val="22"/>
          <w:szCs w:val="22"/>
        </w:rPr>
        <w:t xml:space="preserve">Go-live + 3–6 months</w:t>
      </w:r>
    </w:p>
    <w:p>
      <w:pPr>
        <w:spacing w:after="120"/>
      </w:pPr>
      <w:r>
        <w:rPr>
          <w:rFonts w:ascii="Arial" w:cs="Arial" w:eastAsia="Arial" w:hAnsi="Arial"/>
          <w:sz w:val="22"/>
          <w:szCs w:val="22"/>
        </w:rPr>
        <w:t xml:space="preserve">No data on referrals to/from VCSEs, Local Authority services, or community partners. Recommended starting with monthly VCSE referral count via manual tracking or SystmOne referral code. Workforce metrics via existing rota management.</w:t>
      </w:r>
    </w:p>
    <w:p>
      <w:pPr>
        <w:pStyle w:val="Heading3"/>
        <w:spacing w:after="150" w:before="300"/>
      </w:pPr>
      <w:r>
        <w:rPr>
          <w:rFonts w:ascii="Arial" w:cs="Arial" w:eastAsia="Arial" w:hAnsi="Arial"/>
        </w:rPr>
        <w:t xml:space="preserve">Indicator 9: Winter Surge Capacity</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Available | </w:t>
      </w:r>
      <w:r>
        <w:rPr>
          <w:rFonts w:ascii="Arial" w:cs="Arial" w:eastAsia="Arial" w:hAnsi="Arial"/>
          <w:b/>
          <w:bCs/>
          <w:sz w:val="22"/>
          <w:szCs w:val="22"/>
        </w:rPr>
        <w:t xml:space="preserve">Difficulty: </w:t>
      </w:r>
      <w:r>
        <w:rPr>
          <w:rFonts w:ascii="Arial" w:cs="Arial" w:eastAsia="Arial" w:hAnsi="Arial"/>
          <w:sz w:val="22"/>
          <w:szCs w:val="22"/>
        </w:rPr>
        <w:t xml:space="preserve">Low | </w:t>
      </w:r>
      <w:r>
        <w:rPr>
          <w:rFonts w:ascii="Arial" w:cs="Arial" w:eastAsia="Arial" w:hAnsi="Arial"/>
          <w:b/>
          <w:bCs/>
          <w:sz w:val="22"/>
          <w:szCs w:val="22"/>
        </w:rPr>
        <w:t xml:space="preserve">Timeline: </w:t>
      </w:r>
      <w:r>
        <w:rPr>
          <w:rFonts w:ascii="Arial" w:cs="Arial" w:eastAsia="Arial" w:hAnsi="Arial"/>
          <w:sz w:val="22"/>
          <w:szCs w:val="22"/>
        </w:rPr>
        <w:t xml:space="preserve">Available now</w:t>
      </w:r>
    </w:p>
    <w:p>
      <w:pPr>
        <w:spacing w:after="120"/>
      </w:pPr>
      <w:r>
        <w:rPr>
          <w:rFonts w:ascii="Arial" w:cs="Arial" w:eastAsia="Arial" w:hAnsi="Arial"/>
          <w:sz w:val="22"/>
          <w:szCs w:val="22"/>
        </w:rPr>
        <w:t xml:space="preserve">Seasonal patterns will be captured via GPAD. Post-pilot comparison (Winter 2026/27) will demonstrate whether the SDA model sustains or improves winter surge capacity.</w:t>
      </w:r>
    </w:p>
    <w:p>
      <w:pPr>
        <w:pStyle w:val="Heading2"/>
        <w:spacing w:after="150" w:before="300"/>
      </w:pPr>
      <w:r>
        <w:rPr>
          <w:rFonts w:ascii="Arial" w:cs="Arial" w:eastAsia="Arial" w:hAnsi="Arial"/>
        </w:rPr>
        <w:t xml:space="preserve">3.3 Outcomes for Patients</w:t>
      </w:r>
    </w:p>
    <w:p>
      <w:pPr>
        <w:pStyle w:val="Heading3"/>
        <w:spacing w:after="150" w:before="300"/>
      </w:pPr>
      <w:r>
        <w:rPr>
          <w:rFonts w:ascii="Arial" w:cs="Arial" w:eastAsia="Arial" w:hAnsi="Arial"/>
        </w:rPr>
        <w:t xml:space="preserve">Indicator 10: Patient Satisfaction / Friends &amp; Family Test</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Not Available | </w:t>
      </w:r>
      <w:r>
        <w:rPr>
          <w:rFonts w:ascii="Arial" w:cs="Arial" w:eastAsia="Arial" w:hAnsi="Arial"/>
          <w:b/>
          <w:bCs/>
          <w:sz w:val="22"/>
          <w:szCs w:val="22"/>
        </w:rPr>
        <w:t xml:space="preserve">Difficulty: </w:t>
      </w:r>
      <w:r>
        <w:rPr>
          <w:rFonts w:ascii="Arial" w:cs="Arial" w:eastAsia="Arial" w:hAnsi="Arial"/>
          <w:sz w:val="22"/>
          <w:szCs w:val="22"/>
        </w:rPr>
        <w:t xml:space="preserve">Medium | </w:t>
      </w:r>
      <w:r>
        <w:rPr>
          <w:rFonts w:ascii="Arial" w:cs="Arial" w:eastAsia="Arial" w:hAnsi="Arial"/>
          <w:b/>
          <w:bCs/>
          <w:sz w:val="22"/>
          <w:szCs w:val="22"/>
        </w:rPr>
        <w:t xml:space="preserve">Timeline: </w:t>
      </w:r>
      <w:r>
        <w:rPr>
          <w:rFonts w:ascii="Arial" w:cs="Arial" w:eastAsia="Arial" w:hAnsi="Arial"/>
          <w:sz w:val="22"/>
          <w:szCs w:val="22"/>
        </w:rPr>
        <w:t xml:space="preserve">Go-live + 2 months</w:t>
      </w:r>
    </w:p>
    <w:p>
      <w:pPr>
        <w:spacing w:after="120"/>
      </w:pPr>
      <w:r>
        <w:rPr>
          <w:rFonts w:ascii="Arial" w:cs="Arial" w:eastAsia="Arial" w:hAnsi="Arial"/>
          <w:sz w:val="22"/>
          <w:szCs w:val="22"/>
        </w:rPr>
        <w:t xml:space="preserve">Recommend deploying a short SMS-based FFT survey to SDA patients within 48 hours of their appointment. Run a pre-pilot baseline survey (200+ responses target) then monthly post-launch.</w:t>
      </w:r>
    </w:p>
    <w:p>
      <w:pPr>
        <w:pStyle w:val="Heading3"/>
        <w:spacing w:after="150" w:before="300"/>
      </w:pPr>
      <w:r>
        <w:rPr>
          <w:rFonts w:ascii="Arial" w:cs="Arial" w:eastAsia="Arial" w:hAnsi="Arial"/>
        </w:rPr>
        <w:t xml:space="preserve">Indicators 11 &amp; 12: Community Pathway Access Rates / A&amp;E Attendance Comparison</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Not Available | </w:t>
      </w:r>
      <w:r>
        <w:rPr>
          <w:rFonts w:ascii="Arial" w:cs="Arial" w:eastAsia="Arial" w:hAnsi="Arial"/>
          <w:b/>
          <w:bCs/>
          <w:sz w:val="22"/>
          <w:szCs w:val="22"/>
        </w:rPr>
        <w:t xml:space="preserve">Difficulty: </w:t>
      </w:r>
      <w:r>
        <w:rPr>
          <w:rFonts w:ascii="Arial" w:cs="Arial" w:eastAsia="Arial" w:hAnsi="Arial"/>
          <w:sz w:val="22"/>
          <w:szCs w:val="22"/>
        </w:rPr>
        <w:t xml:space="preserve">Medium–High | </w:t>
      </w:r>
      <w:r>
        <w:rPr>
          <w:rFonts w:ascii="Arial" w:cs="Arial" w:eastAsia="Arial" w:hAnsi="Arial"/>
          <w:b/>
          <w:bCs/>
          <w:sz w:val="22"/>
          <w:szCs w:val="22"/>
        </w:rPr>
        <w:t xml:space="preserve">Timeline: </w:t>
      </w:r>
      <w:r>
        <w:rPr>
          <w:rFonts w:ascii="Arial" w:cs="Arial" w:eastAsia="Arial" w:hAnsi="Arial"/>
          <w:sz w:val="22"/>
          <w:szCs w:val="22"/>
        </w:rPr>
        <w:t xml:space="preserve">Go-live + 6–12 months</w:t>
      </w:r>
    </w:p>
    <w:p>
      <w:pPr>
        <w:spacing w:after="120"/>
      </w:pPr>
      <w:r>
        <w:rPr>
          <w:rFonts w:ascii="Arial" w:cs="Arial" w:eastAsia="Arial" w:hAnsi="Arial"/>
          <w:b/>
          <w:bCs/>
          <w:sz w:val="22"/>
          <w:szCs w:val="22"/>
        </w:rPr>
        <w:t xml:space="preserve">Key advantage: </w:t>
      </w:r>
      <w:r>
        <w:rPr>
          <w:rFonts w:ascii="Arial" w:cs="Arial" w:eastAsia="Arial" w:hAnsi="Arial"/>
          <w:sz w:val="22"/>
          <w:szCs w:val="22"/>
        </w:rPr>
        <w:t xml:space="preserve">With all significant acute activity within the Northamptonshire ICB footprint (KGH and NGH), the A&amp;E comparison data can be obtained from a single ICB BI extract. NARP already has hospital activity data at neighbourhood level. No cross-ICB complexity reduces the timeline by an estimated 6–12 months compared to cross-boundary neighbourhoods.</w:t>
      </w:r>
    </w:p>
    <w:p>
      <w:pPr>
        <w:pStyle w:val="Heading2"/>
        <w:spacing w:after="150" w:before="300"/>
      </w:pPr>
      <w:r>
        <w:rPr>
          <w:rFonts w:ascii="Arial" w:cs="Arial" w:eastAsia="Arial" w:hAnsi="Arial"/>
        </w:rPr>
        <w:t xml:space="preserve">3.4 Financial &amp; Efficiency</w:t>
      </w:r>
    </w:p>
    <w:p>
      <w:pPr>
        <w:pStyle w:val="Heading3"/>
        <w:spacing w:after="150" w:before="300"/>
      </w:pPr>
      <w:r>
        <w:rPr>
          <w:rFonts w:ascii="Arial" w:cs="Arial" w:eastAsia="Arial" w:hAnsi="Arial"/>
        </w:rPr>
        <w:t xml:space="preserve">Indicator 13: Cost per Appointment vs Baseline GP Provision</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Partial | </w:t>
      </w:r>
      <w:r>
        <w:rPr>
          <w:rFonts w:ascii="Arial" w:cs="Arial" w:eastAsia="Arial" w:hAnsi="Arial"/>
          <w:b/>
          <w:bCs/>
          <w:sz w:val="22"/>
          <w:szCs w:val="22"/>
        </w:rPr>
        <w:t xml:space="preserve">Difficulty: </w:t>
      </w:r>
      <w:r>
        <w:rPr>
          <w:rFonts w:ascii="Arial" w:cs="Arial" w:eastAsia="Arial" w:hAnsi="Arial"/>
          <w:sz w:val="22"/>
          <w:szCs w:val="22"/>
        </w:rPr>
        <w:t xml:space="preserve">Medium | </w:t>
      </w:r>
      <w:r>
        <w:rPr>
          <w:rFonts w:ascii="Arial" w:cs="Arial" w:eastAsia="Arial" w:hAnsi="Arial"/>
          <w:b/>
          <w:bCs/>
          <w:sz w:val="22"/>
          <w:szCs w:val="22"/>
        </w:rPr>
        <w:t xml:space="preserve">Timeline: </w:t>
      </w:r>
      <w:r>
        <w:rPr>
          <w:rFonts w:ascii="Arial" w:cs="Arial" w:eastAsia="Arial" w:hAnsi="Arial"/>
          <w:sz w:val="22"/>
          <w:szCs w:val="22"/>
        </w:rPr>
        <w:t xml:space="preserve">Go-live + 3 months</w:t>
      </w:r>
    </w:p>
    <w:p>
      <w:pPr>
        <w:spacing w:after="120"/>
      </w:pPr>
      <w:r>
        <w:rPr>
          <w:rFonts w:ascii="Arial" w:cs="Arial" w:eastAsia="Arial" w:hAnsi="Arial"/>
          <w:b/>
          <w:bCs/>
          <w:sz w:val="22"/>
          <w:szCs w:val="22"/>
        </w:rPr>
        <w:t xml:space="preserve">Current baseline: </w:t>
      </w:r>
      <w:r>
        <w:rPr>
          <w:rFonts w:ascii="Arial" w:cs="Arial" w:eastAsia="Arial" w:hAnsi="Arial"/>
          <w:sz w:val="22"/>
          <w:szCs w:val="22"/>
        </w:rPr>
        <w:t xml:space="preserve">The total annual income across the three hubs is £2,376,046. Appointment volumes available by practice, role, mode, and duration.</w:t>
      </w:r>
    </w:p>
    <w:p>
      <w:pPr>
        <w:spacing w:after="120"/>
      </w:pPr>
      <w:r>
        <w:rPr>
          <w:rFonts w:ascii="Arial" w:cs="Arial" w:eastAsia="Arial" w:hAnsi="Arial"/>
          <w:sz w:val="22"/>
          <w:szCs w:val="22"/>
        </w:rPr>
        <w:t xml:space="preserve">Recommended approach: Calculate SDA cost per appointment from Month 1 (total staffing cost / appointments delivered). Compare against published GP appointment cost benchmarks.</w:t>
      </w:r>
    </w:p>
    <w:p>
      <w:pPr>
        <w:pStyle w:val="Heading3"/>
        <w:spacing w:after="150" w:before="300"/>
      </w:pPr>
      <w:r>
        <w:rPr>
          <w:rFonts w:ascii="Arial" w:cs="Arial" w:eastAsia="Arial" w:hAnsi="Arial"/>
        </w:rPr>
        <w:t xml:space="preserve">Indicator 14: Estimated Cost Avoidance</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Not Available | </w:t>
      </w:r>
      <w:r>
        <w:rPr>
          <w:rFonts w:ascii="Arial" w:cs="Arial" w:eastAsia="Arial" w:hAnsi="Arial"/>
          <w:b/>
          <w:bCs/>
          <w:sz w:val="22"/>
          <w:szCs w:val="22"/>
        </w:rPr>
        <w:t xml:space="preserve">Difficulty: </w:t>
      </w:r>
      <w:r>
        <w:rPr>
          <w:rFonts w:ascii="Arial" w:cs="Arial" w:eastAsia="Arial" w:hAnsi="Arial"/>
          <w:sz w:val="22"/>
          <w:szCs w:val="22"/>
        </w:rPr>
        <w:t xml:space="preserve">High | </w:t>
      </w:r>
      <w:r>
        <w:rPr>
          <w:rFonts w:ascii="Arial" w:cs="Arial" w:eastAsia="Arial" w:hAnsi="Arial"/>
          <w:b/>
          <w:bCs/>
          <w:sz w:val="22"/>
          <w:szCs w:val="22"/>
        </w:rPr>
        <w:t xml:space="preserve">Timeline: </w:t>
      </w:r>
      <w:r>
        <w:rPr>
          <w:rFonts w:ascii="Arial" w:cs="Arial" w:eastAsia="Arial" w:hAnsi="Arial"/>
          <w:sz w:val="22"/>
          <w:szCs w:val="22"/>
        </w:rPr>
        <w:t xml:space="preserve">Go-live + 12 months</w:t>
      </w:r>
    </w:p>
    <w:p>
      <w:pPr>
        <w:spacing w:after="120"/>
      </w:pPr>
      <w:r>
        <w:rPr>
          <w:rFonts w:ascii="Arial" w:cs="Arial" w:eastAsia="Arial" w:hAnsi="Arial"/>
          <w:sz w:val="22"/>
          <w:szCs w:val="22"/>
        </w:rPr>
        <w:t xml:space="preserve">Cannot be calculated until secondary care baseline is established and post-pilot comparison is possible. Earliest credible estimate: 12 months post go-live.</w:t>
      </w:r>
    </w:p>
    <w:p>
      <w:r>
        <w:br w:type="page"/>
      </w:r>
    </w:p>
    <w:p>
      <w:pPr>
        <w:pStyle w:val="Heading2"/>
        <w:spacing w:after="150" w:before="300"/>
      </w:pPr>
      <w:r>
        <w:rPr>
          <w:rFonts w:ascii="Arial" w:cs="Arial" w:eastAsia="Arial" w:hAnsi="Arial"/>
        </w:rPr>
        <w:t xml:space="preserve">3.5 Complex Care / Long-Term Conditions</w:t>
      </w:r>
    </w:p>
    <w:p>
      <w:pPr>
        <w:spacing w:after="120"/>
      </w:pPr>
      <w:r>
        <w:rPr>
          <w:rFonts w:ascii="Arial" w:cs="Arial" w:eastAsia="Arial" w:hAnsi="Arial"/>
          <w:i/>
          <w:iCs/>
          <w:sz w:val="22"/>
          <w:szCs w:val="22"/>
        </w:rPr>
        <w:t xml:space="preserve">Michael Chapman’s email specifically highlights the LTC workstream: </w:t>
      </w:r>
      <w:r>
        <w:rPr>
          <w:rFonts w:ascii="Arial" w:cs="Arial" w:eastAsia="Arial" w:hAnsi="Arial"/>
          <w:b/>
          <w:bCs/>
          <w:i/>
          <w:iCs/>
          <w:sz w:val="22"/>
          <w:szCs w:val="22"/>
        </w:rPr>
        <w:t xml:space="preserve">“it would be helpful to develop a clearer understanding of the planned approach and what data will be monitored. We want to ensure that equity across all patient groups is factored in from the outset, and that the outcomes we report aren’t disproportionately influenced by a small subset of patients. We would need to see that the number of unique patients are increasing rather than more work being done with the patients already being seen.”</w:t>
      </w:r>
    </w:p>
    <w:p>
      <w:pPr>
        <w:pStyle w:val="Heading3"/>
        <w:spacing w:after="150" w:before="300"/>
      </w:pPr>
      <w:r>
        <w:rPr>
          <w:rFonts w:ascii="Arial" w:cs="Arial" w:eastAsia="Arial" w:hAnsi="Arial"/>
        </w:rPr>
        <w:t xml:space="preserve">Indicators 15–18: LTC Contact Types, Proactive Care, Admissions, Cohort Activity</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Partial to Not Available | </w:t>
      </w:r>
      <w:r>
        <w:rPr>
          <w:rFonts w:ascii="Arial" w:cs="Arial" w:eastAsia="Arial" w:hAnsi="Arial"/>
          <w:b/>
          <w:bCs/>
          <w:sz w:val="22"/>
          <w:szCs w:val="22"/>
        </w:rPr>
        <w:t xml:space="preserve">Difficulty: </w:t>
      </w:r>
      <w:r>
        <w:rPr>
          <w:rFonts w:ascii="Arial" w:cs="Arial" w:eastAsia="Arial" w:hAnsi="Arial"/>
          <w:sz w:val="22"/>
          <w:szCs w:val="22"/>
        </w:rPr>
        <w:t xml:space="preserve">High | </w:t>
      </w:r>
      <w:r>
        <w:rPr>
          <w:rFonts w:ascii="Arial" w:cs="Arial" w:eastAsia="Arial" w:hAnsi="Arial"/>
          <w:b/>
          <w:bCs/>
          <w:sz w:val="22"/>
          <w:szCs w:val="22"/>
        </w:rPr>
        <w:t xml:space="preserve">Timeline: </w:t>
      </w:r>
      <w:r>
        <w:rPr>
          <w:rFonts w:ascii="Arial" w:cs="Arial" w:eastAsia="Arial" w:hAnsi="Arial"/>
          <w:sz w:val="22"/>
          <w:szCs w:val="22"/>
        </w:rPr>
        <w:t xml:space="preserve">Go-live + 6–12 months for initial metrics</w:t>
      </w:r>
    </w:p>
    <w:p>
      <w:pPr>
        <w:spacing w:after="120"/>
      </w:pPr>
      <w:r>
        <w:rPr>
          <w:rFonts w:ascii="Arial" w:cs="Arial" w:eastAsia="Arial" w:hAnsi="Arial"/>
          <w:sz w:val="22"/>
          <w:szCs w:val="22"/>
        </w:rPr>
        <w:t xml:space="preserve">What is missing across all four indicators: no first vs follow-up contact distinction, no ‘proactive’ tag, no unique patient count from aggregated GPAD data, no cohort definitions clinically agreed, no linked secondary care data for LTC-specific admissions, no deprivation or demographic breakdown for equity analysis.</w:t>
      </w:r>
    </w:p>
    <w:p>
      <w:pPr>
        <w:spacing w:after="120"/>
      </w:pPr>
      <w:r>
        <w:rPr>
          <w:rFonts w:ascii="Arial" w:cs="Arial" w:eastAsia="Arial" w:hAnsi="Arial"/>
          <w:b/>
          <w:bCs/>
          <w:sz w:val="22"/>
          <w:szCs w:val="22"/>
        </w:rPr>
        <w:t xml:space="preserve">Recommended approach — phased: </w:t>
      </w:r>
    </w:p>
    <w:p>
      <w:pPr>
        <w:pStyle w:val="ListParagraph"/>
        <w:numPr>
          <w:ilvl w:val="0"/>
          <w:numId w:val="2"/>
        </w:numPr>
        <w:spacing w:after="80"/>
      </w:pPr>
      <w:r>
        <w:rPr>
          <w:rFonts w:ascii="Arial" w:cs="Arial" w:eastAsia="Arial" w:hAnsi="Arial"/>
          <w:sz w:val="22"/>
          <w:szCs w:val="22"/>
        </w:rPr>
        <w:t xml:space="preserve">Phase 1 (Months 1–3): Clinical directors agree cohort definitions for 2 priority conditions (suggest Pre-Diabetes + COPD). Ardens searches built to identify cohort sizes at each practice.</w:t>
      </w:r>
    </w:p>
    <w:p>
      <w:pPr>
        <w:pStyle w:val="ListParagraph"/>
        <w:numPr>
          <w:ilvl w:val="0"/>
          <w:numId w:val="2"/>
        </w:numPr>
        <w:spacing w:after="80"/>
      </w:pPr>
      <w:r>
        <w:rPr>
          <w:rFonts w:ascii="Arial" w:cs="Arial" w:eastAsia="Arial" w:hAnsi="Arial"/>
          <w:sz w:val="22"/>
          <w:szCs w:val="22"/>
        </w:rPr>
        <w:t xml:space="preserve">Phase 2 (Months 3–6): SystmOne templates deployed across all 10 practices (predominantly single system simplifies rollout, with EMIS equivalent needed). Practices begin coding proactive LTC contacts. First unique patient counts extracted.</w:t>
      </w:r>
    </w:p>
    <w:p>
      <w:pPr>
        <w:pStyle w:val="ListParagraph"/>
        <w:numPr>
          <w:ilvl w:val="0"/>
          <w:numId w:val="2"/>
        </w:numPr>
        <w:spacing w:after="80"/>
      </w:pPr>
      <w:r>
        <w:rPr>
          <w:rFonts w:ascii="Arial" w:cs="Arial" w:eastAsia="Arial" w:hAnsi="Arial"/>
          <w:sz w:val="22"/>
          <w:szCs w:val="22"/>
        </w:rPr>
        <w:t xml:space="preserve">Phase 3 (Month 6): First LTC metrics reported at formal review. Expect partial data only (3–4 months of coded contacts).</w:t>
      </w:r>
    </w:p>
    <w:p>
      <w:pPr>
        <w:pStyle w:val="ListParagraph"/>
        <w:numPr>
          <w:ilvl w:val="0"/>
          <w:numId w:val="2"/>
        </w:numPr>
        <w:spacing w:after="80"/>
      </w:pPr>
      <w:r>
        <w:rPr>
          <w:rFonts w:ascii="Arial" w:cs="Arial" w:eastAsia="Arial" w:hAnsi="Arial"/>
          <w:sz w:val="22"/>
          <w:szCs w:val="22"/>
        </w:rPr>
        <w:t xml:space="preserve">Phase 4 (Month 12): Full 12-month comparison possible for priority cohorts. Remaining cohorts (EoL, Post-Hospital Discharge) added.</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High. This is the largest single workstream. The predominantly SystmOne environment is an advantage for consistent template deployment, though at least one EMIS practice adds minor complexity.</w:t>
      </w:r>
    </w:p>
    <w:p>
      <w:r>
        <w:br w:type="page"/>
      </w:r>
    </w:p>
    <w:p>
      <w:pPr>
        <w:pStyle w:val="Heading1"/>
        <w:spacing w:after="150" w:before="300"/>
      </w:pPr>
      <w:r>
        <w:rPr>
          <w:rFonts w:ascii="Arial" w:cs="Arial" w:eastAsia="Arial" w:hAnsi="Arial"/>
        </w:rPr>
        <w:t xml:space="preserve">4. Achievability Matrix — Expanded Assessment</w:t>
      </w:r>
    </w:p>
    <w:p>
      <w:pPr>
        <w:spacing w:after="120"/>
      </w:pPr>
      <w:r>
        <w:rPr>
          <w:rFonts w:ascii="Arial" w:cs="Arial" w:eastAsia="Arial" w:hAnsi="Arial"/>
          <w:sz w:val="22"/>
          <w:szCs w:val="22"/>
        </w:rPr>
        <w:t xml:space="preserve">This section provides a detailed assessment of each of the 18 ICB indicators: what the ICB is asking for, what data connectivity and system feeds are required, the key difficulties, and the expected phase and timeline for delivery. The summary table follows at the end of this section.</w:t>
      </w:r>
    </w:p>
    <w:p>
      <w:pPr>
        <w:spacing w:after="100" w:before="300"/>
      </w:pPr>
      <w:r>
        <w:rPr>
          <w:rFonts w:ascii="Arial" w:cs="Arial" w:eastAsia="Arial" w:hAnsi="Arial"/>
          <w:b/>
          <w:bCs/>
          <w:color w:val="2E7D32"/>
          <w:sz w:val="24"/>
          <w:szCs w:val="24"/>
        </w:rPr>
        <w:t xml:space="preserve">4.1  Indicator 1: % of Same-Day Demand Managed Outside Core GP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What the ICB Is Asking For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The ICB wants to see what proportion of same-day patient demand is being handled by the SDA service rather than by core GP appointments. This demonstrates that the NMoC model is absorbing urgent demand and freeing GP capacity for planned and complex care. The metric should show the SDA service’s share of total same-day contacts at each practice and across the neighbourhood.</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Connectivity &amp; System Feeds Required</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GPAD practice-level exports provide total same-day appointment volumes by role type. However, GPAD cannot distinguish between core GP same-day slots and SDA-delivered same-day slots — both appear identically. Requires SystmOne configuration: dedicated SDA session types or clinic codes at each hub practice (Harborough Field Surgery, The Cottages, The Meadows Surgery) so that SDA activity can be filtered from core GP activity. Predominantly SystmOne (at least 9 of 10) — single template deployment.</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Difficulties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Low difficulty. Entirely within ENN control. The only requirement is SystmOne session configuration at the 3 hub practices before go-live. No external system dependencies. No IG barriers. The predominantly single-system environment simplifies configuration, though the EMIS practice(s) will need equivalent setup.</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Phase &amp; Timeline</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Pre go-live: configure SDA session types. Go-live + 1 month: first SDA vs core GP split reportable. Go-live + 3 months: meaningful trend data. Phase 1 indicator — available early.</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r>
          </w:p>
        </w:tc>
      </w:tr>
    </w:tbl>
    <w:p>
      <w:pPr>
        <w:spacing w:after="60"/>
      </w:pPr>
    </w:p>
    <w:p>
      <w:pPr>
        <w:spacing w:after="100" w:before="300"/>
      </w:pPr>
      <w:r>
        <w:rPr>
          <w:rFonts w:ascii="Arial" w:cs="Arial" w:eastAsia="Arial" w:hAnsi="Arial"/>
          <w:b/>
          <w:bCs/>
          <w:color w:val="2E7D32"/>
          <w:sz w:val="24"/>
          <w:szCs w:val="24"/>
        </w:rPr>
        <w:t xml:space="preserve">4.2  Indicator 2: Referral Breakdown — Urgent Care vs Complex/LTC Same-Day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What the ICB Is Asking For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The ICB wants to understand the clinical mix of SDA demand: what proportion of same-day contacts are genuinely urgent presentations versus complex or long-term condition reviews that happen to be delivered on the same day. This distinguishes reactive urgent care from proactive LTC management within the SDA model, helping the ICB assess whether the service is addressing the right patient cohorts.</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Connectivity &amp; System Feeds Required</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GPAD National Category provides a proxy (General Consultation Acute, Clinical Triage, Routine, Planned Clinics) but ‘Routine’ conflates LTC reviews with genuinely routine contacts. Requires a new SystmOne triage template or workflow at the point of booking that categorises each SDA referral as Urgent, Routine, or Complex/LTC. Ardens could provide a standardised template. Predominantly SystmOne environment simplifies deployment, though an equivalent EMIS template will be needed for at least one practice.</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Difficulties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Medium difficulty. Requires clinical agreement on categorisation options and consistent use by reception and triage staff across 10 practices and 3 hubs. Coding inconsistency is the main risk. Needs practice manager training and monthly data quality audits. Not a system interface challenge but a behaviour change challenge.</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Phase &amp; Timeline</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Go-live: triage template deployed. Go-live + 1–2 months: embedding period while staff adopt consistently. Go-live + 3 months: first reliable data. Phase 1–2 indicator.</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r>
          </w:p>
        </w:tc>
      </w:tr>
    </w:tbl>
    <w:p>
      <w:pPr>
        <w:spacing w:after="60"/>
      </w:pPr>
    </w:p>
    <w:p>
      <w:pPr>
        <w:spacing w:after="100" w:before="300"/>
      </w:pPr>
      <w:r>
        <w:rPr>
          <w:rFonts w:ascii="Arial" w:cs="Arial" w:eastAsia="Arial" w:hAnsi="Arial"/>
          <w:b/>
          <w:bCs/>
          <w:color w:val="2E7D32"/>
          <w:sz w:val="24"/>
          <w:szCs w:val="24"/>
        </w:rPr>
        <w:t xml:space="preserve">4.3  Indicator 3: Average Same-Day Wait Time (Booking to Appointment)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What the ICB Is Asking For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The ICB wants to know how long patients wait between booking a same-day appointment and being seen. The current GPAD data shows only that a contact was ‘same day’ — which could mean 15 minutes or 8 hours. The ICB needs granular wait times (ideally in minutes) to demonstrate that SDA delivers genuinely rapid access, not just same-calendar-day access.</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Connectivity &amp; System Feeds Required</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SystmOne records exact booking timestamp and appointment start time for every contact. A SystmOne Strategic Reporting search or bespoke report can calculate the difference in minutes for same-day SDA appointments. GPAD cannot provide this granularity. The predominantly single-system environment means one report specification covers most practices, with an equivalent EMIS report needed for the EMIS practice(s). No external feeds required.</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Difficulties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Low difficulty. Standard SystmOne reporting capability. No system changes needed — the data already exists in SystmOne, it just needs a report built to extract and calculate it. No IG barriers. No external dependencies.</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Phase &amp; Timeline</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Go-live + 2–4 weeks: report built and tested. Go-live + 1 month: first data available. Go-live + 3 months: trend analysis. Phase 1 indicator.</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r>
          </w:p>
        </w:tc>
      </w:tr>
    </w:tbl>
    <w:p>
      <w:pPr>
        <w:spacing w:after="60"/>
      </w:pPr>
    </w:p>
    <w:p>
      <w:pPr>
        <w:spacing w:after="100" w:before="300"/>
      </w:pPr>
      <w:r>
        <w:rPr>
          <w:rFonts w:ascii="Arial" w:cs="Arial" w:eastAsia="Arial" w:hAnsi="Arial"/>
          <w:b/>
          <w:bCs/>
          <w:color w:val="2E7D32"/>
          <w:sz w:val="24"/>
          <w:szCs w:val="24"/>
        </w:rPr>
        <w:t xml:space="preserve">4.4  Indicator 4: % of Appointments for Proactive Complex Care / LTC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What the ICB Is Asking For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The ICB wants to see what proportion of SDA and practice appointments are dedicated to proactive, practice-initiated contact with patients who have long-term conditions — as opposed to reactive demand. The ICB specifically requires unique patient counts (‘the number of unique patients increasing, not just more work with existing patients’) and equity analysis across patient groups (deprivation, demographics).</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Connectivity &amp; System Feeds Required</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Multiple systems required: (1) NARP Cohort Identification tool for cohort denominators, Patient Need Groups, and baseline health profiles (HbA1c, BP, BMI, smoking, deprivation, Risk of Emergency Admission scores). (2) SystmOne clinical templates with SNOMED codes to tag proactive LTC contacts at point of care. (3) Ardens for standardised recall searches and QOF-based review templates. (4) SystmOne Strategic Reporting for unique patient counts (patient-level, not appointment-level). (5) NARP is working on feeding Patient Need Groups back into SystmOne, which would embed cohort identification directly into clinical workflows.</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Difficulties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High difficulty. This is the most significant gap and the largest single workstream. ‘Proactive’ is not a standard category in any NHS system. Requires: (a) clinical agreement on cohort definitions and inclusion/exclusion criteria, (b) template design and deployment across 10 practices, (c) consistent clinical coding by GPs and ACPs, (d) patient-level data extraction requiring DPIA review. Depends on clinical leadership engagement and coding discipline across all practices.</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Phase &amp; Timeline</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Go-live + 3 months: cohort definitions agreed, templates designed. Go-live + 6 months: first coded data from 1–2 priority cohorts (Pre-Diabetes + COPD). Go-live + 12 months: full annual comparison for priority cohorts; remaining cohorts (EoL, Post-Hospital Discharge) added. Phase 2–3 indicator.</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r>
          </w:p>
        </w:tc>
      </w:tr>
    </w:tbl>
    <w:p>
      <w:pPr>
        <w:spacing w:after="60"/>
      </w:pPr>
    </w:p>
    <w:p>
      <w:pPr>
        <w:spacing w:after="100" w:before="300"/>
      </w:pPr>
      <w:r>
        <w:rPr>
          <w:rFonts w:ascii="Arial" w:cs="Arial" w:eastAsia="Arial" w:hAnsi="Arial"/>
          <w:b/>
          <w:bCs/>
          <w:color w:val="2E7D32"/>
          <w:sz w:val="24"/>
          <w:szCs w:val="24"/>
        </w:rPr>
        <w:t xml:space="preserve">4.5  Indicator 5: Referral % for Specialty/Hospital vs Referred to 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What the ICB Is Asking For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The ICB wants to track referral destinations: what proportion of patients are referred onward to secondary care specialties versus being managed within the SDA hub or community services. This demonstrates whether the NMoC model is reducing unnecessary hospital referrals and managing more care locally. The metric should show referral flows by specialty and destination.</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Connectivity &amp; System Feeds Required</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e-RS (Electronic Referral Service) for secondary care referral volumes by specialty and practice ODS code — available via ICB BI team. SystmOne referral module for internal and community referrals. Key advantage: ENN referrals are predominantly to KGH and NGH, both within the Northamptonshire ICB footprint. Single ICB BI request covers all significant acute referral data. No cross-ICB agreements needed (unlike cross-boundary neighbourhoods requiring BOB/BLMK ICB cooperation).</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Difficulties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Medium–High difficulty. e-RS data for KGH and NGH is obtainable through a single ICB BI request but depends on BI team capacity and prioritisation. Internal/community referral tracking requires SystmOne referral codes to be configured and used consistently. Minor gap: occasional Peterborough referrals from Oundle practice, not material to overall reporting.</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Phase &amp; Timeline</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Go-live + 3 months: ICB BI team extracts e-RS referral data for 10 ENN practice ODS codes. Go-live + 6 months: baseline referral patterns established with trend tracking. Phase 2 indicator.</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r>
          </w:p>
        </w:tc>
      </w:tr>
    </w:tbl>
    <w:p>
      <w:pPr>
        <w:spacing w:after="60"/>
      </w:pPr>
    </w:p>
    <w:p>
      <w:pPr>
        <w:spacing w:after="100" w:before="300"/>
      </w:pPr>
      <w:r>
        <w:rPr>
          <w:rFonts w:ascii="Arial" w:cs="Arial" w:eastAsia="Arial" w:hAnsi="Arial"/>
          <w:b/>
          <w:bCs/>
          <w:color w:val="2E7D32"/>
          <w:sz w:val="24"/>
          <w:szCs w:val="24"/>
        </w:rPr>
        <w:t xml:space="preserve">4.6  Indicator 6: Unplanned Hospital / A&amp;E Admissions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What the ICB Is Asking For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The ICB wants pre/post comparison data showing whether the SDA model reduces unplanned A&amp;E attendances and non-elective admissions for ENN patients. This is a core outcome indicator demonstrating system-level impact. Requires A&amp;E attendance counts and non-elective admission counts for patients registered at the 10 ENN practices, ideally with admission reason coding.</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Connectivity &amp; System Feeds Required</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Two data routes: (1) NARP — already holds A&amp;E admission data including emergency admissions by LSOA, admission rates by age band, and primary diagnosis breakdown via the Graphnet Data Lakehouse. Can be filtered to ENN practice populations. (2) SUS/HES via ICB BI data warehouse for formal monthly extracts by practice ODS code. ECDS for A&amp;E-specific detail. Key advantage: all significant acute activity is at KGH and NGH within the Northamptonshire ICB footprint — single data extract covers the full ENN population.</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Difficulties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Medium difficulty. Significantly lower than for cross-boundary neighbourhoods because no cross-ICB data sharing agreements are needed. Main constraints: ICB BI team capacity (NRES and ENN are competing for the same BI resource), SUS/HES publication lag (2–3 months), and the time needed to build a robust pre-pilot baseline. NARP quick-win route could provide indicative data within weeks.</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Phase &amp; Timeline</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Go-live: commission ICB BI baseline extract (12 months pre-pilot). Go-live + 3 months: NARP neighbourhood dashboard available with indicative A&amp;E data. Go-live + 6 months: first SUS-based comparison (covering ~4 months of pilot data due to publication lag). Go-live + 12 months: full annual comparison. Phase 2 indicator.</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r>
          </w:p>
        </w:tc>
      </w:tr>
    </w:tbl>
    <w:p>
      <w:pPr>
        <w:spacing w:after="60"/>
      </w:pPr>
    </w:p>
    <w:p>
      <w:pPr>
        <w:spacing w:after="100" w:before="300"/>
      </w:pPr>
      <w:r>
        <w:rPr>
          <w:rFonts w:ascii="Arial" w:cs="Arial" w:eastAsia="Arial" w:hAnsi="Arial"/>
          <w:b/>
          <w:bCs/>
          <w:color w:val="2E7D32"/>
          <w:sz w:val="24"/>
          <w:szCs w:val="24"/>
        </w:rPr>
        <w:t xml:space="preserve">4.7  Indicator 7: Appointments per 1,000 Registered Patients per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What the ICB Is Asking For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The ICB wants a standardised activity rate that allows comparison between ENN and other neighbourhoods, PCNs, and the national benchmark. The national target for GP-specific appointments is 70 per 1,000 patients per week. This metric normalises activity volumes against population size to show whether the SDA model is delivering adequate access.</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Connectivity &amp; System Feeds Required</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GPAD practice-level exports provide total appointment volumes by week. NHS Digital Patients Registered at a GP Practice dataset (published quarterly) provides individual practice list sizes. Current ENN total: 90,241 registered patients, 1,438 weekly SDA appointments required (approximately 15.9 per 1,000 for SDA component). Total practice appointment rates including core GP available from GPAD. No external system interfaces required — publicly available data.</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Difficulties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Very low difficulty. All data sources are already available. List sizes are public. GPAD exports are routine. Only requires a simple calculation in the dashboard. No IG barriers, no system dependencies, no clinical coding requirements.</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Phase &amp; Timeline</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Available now. Pre go-live: baseline rate calculated. Updated weekly/monthly from go-live. Phase 1 indicator — ready immediately.</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r>
          </w:p>
        </w:tc>
      </w:tr>
    </w:tbl>
    <w:p>
      <w:pPr>
        <w:spacing w:after="60"/>
      </w:pPr>
    </w:p>
    <w:p>
      <w:pPr>
        <w:spacing w:after="100" w:before="300"/>
      </w:pPr>
      <w:r>
        <w:rPr>
          <w:rFonts w:ascii="Arial" w:cs="Arial" w:eastAsia="Arial" w:hAnsi="Arial"/>
          <w:b/>
          <w:bCs/>
          <w:color w:val="2E7D32"/>
          <w:sz w:val="24"/>
          <w:szCs w:val="24"/>
        </w:rPr>
        <w:t xml:space="preserve">4.8  Indicator 8: Integration with Community Urgent Care / Shared Workforce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What the ICB Is Asking For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The ICB wants evidence that the SDA model is integrating with community urgent care pathways, VCSEs, Local Authority services, and community partners — not operating in isolation. Metrics include cross-organisational referral flows, shared workforce utilisation (WTE, skill mix, vacancies), and integrated triage rates showing patients being directed to the most appropriate service.</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Connectivity &amp; System Feeds Required</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No single system covers this. Requires: (a) SystmOne referral/task codes for SDA-to-VCSE pathways, (b) a shared tracking mechanism such as monthly returns from VCSE partners or a simple database, (c) workforce data from ENN quarterly HR returns and rota management. For community services integration, NARP and NCR may provide some cross-organisational visibility once data feeds are established.</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Difficulties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Medium difficulty. Not a technical connectivity challenge but an organisational coordination challenge. Depends on VCSE partner engagement and willingness to provide data. No standardised NHS system captures community referral flows — manual tracking or bespoke SystmOne coding needed. Workforce metrics are straightforward via existing rota management.</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Phase &amp; Timeline</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Go-live + 1 month: workforce metrics from rota management. Go-live + 3 months: manual VCSE referral tracking established. Go-live + 6 months: integrated reporting with community partner data. Phase 2 indicator.</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r>
          </w:p>
        </w:tc>
      </w:tr>
    </w:tbl>
    <w:p>
      <w:pPr>
        <w:spacing w:after="60"/>
      </w:pPr>
    </w:p>
    <w:p>
      <w:pPr>
        <w:spacing w:after="100" w:before="300"/>
      </w:pPr>
      <w:r>
        <w:rPr>
          <w:rFonts w:ascii="Arial" w:cs="Arial" w:eastAsia="Arial" w:hAnsi="Arial"/>
          <w:b/>
          <w:bCs/>
          <w:color w:val="2E7D32"/>
          <w:sz w:val="24"/>
          <w:szCs w:val="24"/>
        </w:rPr>
        <w:t xml:space="preserve">4.9  Indicator 9: Winter Surge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What the ICB Is Asking For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The ICB wants to see whether the SDA model maintains or improves primary care capacity during winter surge periods (October–March) when demand peaks due to respiratory illness, flu vaccination clinics, and seasonal pressures. This demonstrates resilience of the model under maximum demand.</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Connectivity &amp; System Feeds Required</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GPAD provides all required data: weekly appointment volumes, seasonal patterns, practice-level breakdowns. No additional system feeds required. Dashboard monthly/quarterly views show seasonal variation clearly. Post-pilot comparison (Winter 2026/27) will demonstrate the SDA model’s impact on winter capacity.</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Difficulties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Very low difficulty. All data available from existing GPAD exports. No new system connections, no clinical coding changes, no IG requirements. Simply requires time to pass for the comparison period.</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Phase &amp; Timeline</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Available now as baseline. Go-live + 6–9 months: first winter period data (if go-live is Q2 2026). Go-live + 12 months: full winter comparison. Phase 1 indicator.</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r>
          </w:p>
        </w:tc>
      </w:tr>
    </w:tbl>
    <w:p>
      <w:pPr>
        <w:spacing w:after="60"/>
      </w:pPr>
    </w:p>
    <w:p>
      <w:pPr>
        <w:spacing w:after="100" w:before="300"/>
      </w:pPr>
      <w:r>
        <w:rPr>
          <w:rFonts w:ascii="Arial" w:cs="Arial" w:eastAsia="Arial" w:hAnsi="Arial"/>
          <w:b/>
          <w:bCs/>
          <w:color w:val="2E7D32"/>
          <w:sz w:val="24"/>
          <w:szCs w:val="24"/>
        </w:rPr>
        <w:t xml:space="preserve">4.10  Indicator 10: Patient Satisfaction / Friends &amp; Family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What the ICB Is Asking For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The ICB wants patient experience data specifically for SDA contacts — not just general practice FFT scores. Michael Chapman emphasises collecting ‘real patient stories/outcomes’ more frequently than the standard annual GP Patient Survey. The metric should include both quantitative FFT scores and qualitative patient feedback to demonstrate that same-day access is valued by patients and delivering a good experience.</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Connectivity &amp; System Feeds Required</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Requires a survey platform: AccuRx patient messaging (SMS surveys), Mjog, or a standalone tool such as Notewell AI Survey Manager. SystmOne provides patient contact details (mobile numbers) to send surveys. No external NHS system feeds required. Survey responses need a collection and reporting mechanism — either within the survey platform or imported into the ENN dashboard.</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Difficulties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Medium difficulty. Not a system connectivity challenge but a response rate and methodology challenge. Primary care SMS survey response rates typically run 10–20%, so sufficient SDA appointment volume is needed for statistically meaningful results. Needs clinical agreement on survey questions and timing (recommend within 48 hours of SDA appointment). Qualitative feedback requires manual review and theming.</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Phase &amp; Timeline</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Pre go-live: baseline survey (200+ responses target). Go-live + 2 months: monthly FFT collection established. Go-live + 6 months: trend data with qualitative themes. Phase 1–2 indicator.</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r>
          </w:p>
        </w:tc>
      </w:tr>
    </w:tbl>
    <w:p>
      <w:pPr>
        <w:spacing w:after="60"/>
      </w:pPr>
    </w:p>
    <w:p>
      <w:pPr>
        <w:spacing w:after="100" w:before="300"/>
      </w:pPr>
      <w:r>
        <w:rPr>
          <w:rFonts w:ascii="Arial" w:cs="Arial" w:eastAsia="Arial" w:hAnsi="Arial"/>
          <w:b/>
          <w:bCs/>
          <w:color w:val="2E7D32"/>
          <w:sz w:val="24"/>
          <w:szCs w:val="24"/>
        </w:rPr>
        <w:t xml:space="preserve">4.11  Indicator 11: Community Pathway Access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What the ICB Is Asking For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The ICB wants to track how many ENN patients are accessing community diagnostic and treatment pathways (Community Diagnostic Centres, MSK, cardiology, respiratory, mental health) as an alternative to hospital referral. This demonstrates whether the SDA model is supporting patients to access community-based care rather than defaulting to secondary care. Should show volumes by pathway type and practice.</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Connectivity &amp; System Feeds Required</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Multiple systems required: (1) NARP — Population Health Workbench (currently in testing) could surface community pathway utilisation once data feeds are established. (2) NCR — shared care record with cross-organisational patient contact data; pursuing NHFT diagnostic data sharing which could support community pathway tracking. (3) SystmOne referral module for community service referrals. (4) Community service provider data returns (manual or automated). No cross-ICB complexity for community services within Northamptonshire.</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Difficulties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High difficulty. Community pathway data is fragmented across multiple providers with no single system of record. Community service providers (NHFT, VCSEs) use different systems and there is no standardised referral tracking across the community estate. NARP Population Health Workbench and NCR are developing capability but are not yet production-ready for this use case. Manual data collection from community providers may be needed as an interim measure.</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Phase &amp; Timeline</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Go-live + 6 months: partial data from SystmOne referral codes and manual community provider returns. Go-live + 12 months: more comprehensive data as NARP/NCR capabilities mature. Phase 3 indicator — treat as Year 1 development objective.</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r>
          </w:p>
        </w:tc>
      </w:tr>
    </w:tbl>
    <w:p>
      <w:pPr>
        <w:spacing w:after="60"/>
      </w:pPr>
    </w:p>
    <w:p>
      <w:pPr>
        <w:spacing w:after="100" w:before="300"/>
      </w:pPr>
      <w:r>
        <w:rPr>
          <w:rFonts w:ascii="Arial" w:cs="Arial" w:eastAsia="Arial" w:hAnsi="Arial"/>
          <w:b/>
          <w:bCs/>
          <w:color w:val="2E7D32"/>
          <w:sz w:val="24"/>
          <w:szCs w:val="24"/>
        </w:rPr>
        <w:t xml:space="preserve">4.12  Indicator 12: A&amp;E Attendance Comparison (Pre/Post 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What the ICB Is Asking For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The ICB wants a direct before-and-after comparison of A&amp;E attendances for ENN patients: baseline (12 months pre-pilot) versus post-pilot periods. This is the key system-level outcome indicator showing whether same-day primary care access reduces emergency department demand. Should be broken down by practice, specialty, and acuity where possible.</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Connectivity &amp; System Feeds Required</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Same data sources as Indicator 6: (1) NARP Hospital Activity dashboard filtered to ENN practice populations — already holds A&amp;E attendance data by LSOA, age band, and diagnosis. (2) SUS/HES via ICB BI warehouse for formal monthly extracts. (3) ECDS for detailed A&amp;E attendance records. Key advantage: all significant A&amp;E activity is at KGH and NGH within the Northamptonshire ICB footprint. Single ICB BI extract covers the full population.</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Difficulties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Medium–High difficulty. The data connectivity is straightforward (single ICB, no cross-boundary), but the analytical challenge is significant: (a) SUS/HES has a 2–3 month publication lag, so at the 6-month review only ~4 months of pilot data will be available, (b) attribution is difficult — proving that SDA caused any A&amp;E reduction (vs seasonal variation, other initiatives, or demographic changes) requires careful statistical methodology, (c) ICB BI team capacity is constrained.</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Phase &amp; Timeline</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Go-live: commission baseline extract immediately (time-critical). Go-live + 3 months: NARP indicative data. Go-live + 6 months: first SUS-based comparison (~4 months pilot data). Go-live + 12 months: full annual comparison — earliest credible impact assessment. Phase 2–3 indicator.</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r>
          </w:p>
        </w:tc>
      </w:tr>
    </w:tbl>
    <w:p>
      <w:pPr>
        <w:spacing w:after="60"/>
      </w:pPr>
    </w:p>
    <w:p>
      <w:pPr>
        <w:spacing w:after="100" w:before="300"/>
      </w:pPr>
      <w:r>
        <w:rPr>
          <w:rFonts w:ascii="Arial" w:cs="Arial" w:eastAsia="Arial" w:hAnsi="Arial"/>
          <w:b/>
          <w:bCs/>
          <w:color w:val="2E7D32"/>
          <w:sz w:val="24"/>
          <w:szCs w:val="24"/>
        </w:rPr>
        <w:t xml:space="preserve">4.13  Indicator 13: Cost per Appointment vs Baseline GP Provision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What the ICB Is Asking For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The ICB wants a cost-effectiveness comparison: what does each SDA appointment cost compared to a standard GP appointment? This demonstrates whether the NMoC model delivers value for money. Should include staffing costs (sessional rates by role), overhead allocation, and comparison against published national benchmarks (PSSRU Unit Costs of Health and Social Care: GP consultation £39–45).</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Connectivity &amp; System Feeds Required</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Internal financial data only — no external NHS system feeds required. Sources: (1) ENN programme budget and hub income data (£2,376,046 total across 3 hubs), (2) sessional staffing costs by role from the Locum Services Agreement, (3) GPAD appointment volumes for denominator, (4) PSSRU/Curtis &amp; Burns national reference costs for benchmarking. Calculation: total SDA staffing cost ÷ SDA appointments delivered.</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Difficulties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Medium difficulty. Not a data connectivity challenge but a methodology challenge. Needs agreement with ICB finance on how overheads are allocated (premises, consumables, management time). The comparison is sensitive to allocation methodology. Different overhead approaches can produce materially different cost-per-appointment figures. Clinical role mix (GP vs ACP/ANP) also affects unit cost significantly.</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Phase &amp; Timeline</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Go-live + 2 months: first cost per appointment calculation. Go-live + 3 months: comparison against national benchmarks. Monthly reporting thereafter. Phase 1–2 indicator.</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r>
          </w:p>
        </w:tc>
      </w:tr>
    </w:tbl>
    <w:p>
      <w:pPr>
        <w:spacing w:after="60"/>
      </w:pPr>
    </w:p>
    <w:p>
      <w:pPr>
        <w:spacing w:after="100" w:before="300"/>
      </w:pPr>
      <w:r>
        <w:rPr>
          <w:rFonts w:ascii="Arial" w:cs="Arial" w:eastAsia="Arial" w:hAnsi="Arial"/>
          <w:b/>
          <w:bCs/>
          <w:color w:val="2E7D32"/>
          <w:sz w:val="24"/>
          <w:szCs w:val="24"/>
        </w:rPr>
        <w:t xml:space="preserve">4.14  Indicator 14: Estimated Cost Avoidance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What the ICB Is Asking For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The ICB wants a quantified estimate of costs avoided through the SDA model: reduced A&amp;E attendances (£180 per attendance), avoided non-elective admissions (£2,500 per admission), and reduced ambulance conveyances (£280 per conveyance). This is the headline financial case for the NMoC model and will be critical for business case development and future commissioning decisions.</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Connectivity &amp; System Feeds Required</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Entirely dependent on Indicators 6 and 12 being resolved first. Requires: (1) validated pre/post A&amp;E attendance and admission counts from SUS/HES via ICB BI, (2) NHS Reference Costs (published annually by NHS England) for unit cost multipliers, (3) statistical methodology to attribute changes to the SDA model. No direct system connectivity required beyond what Indicators 6 and 12 already need.</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Difficulties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High difficulty. Cannot be calculated until secondary care baseline is established and sufficient post-pilot comparison data exists. Even with the data, the attribution challenge is significant — proving that the SDA model caused a reduction in A&amp;E attendances (rather than other factors such as seasonal variation, other NHS initiatives, or population changes) requires rigorous methodology. Any estimate before 12 months will be based on modelled assumptions, not measured data.</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Phase &amp; Timeline</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Go-live + 12 months: earliest credible estimate based on measured data (12 months pilot vs 12 months baseline). Earlier modelled estimates possible from Month 6 but should be clearly flagged as indicative. Phase 3 indicator — recommend the ICB accept this as a Year 2 metric.</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r>
          </w:p>
        </w:tc>
      </w:tr>
    </w:tbl>
    <w:p>
      <w:pPr>
        <w:spacing w:after="60"/>
      </w:pPr>
    </w:p>
    <w:p>
      <w:pPr>
        <w:spacing w:after="100" w:before="300"/>
      </w:pPr>
      <w:r>
        <w:rPr>
          <w:rFonts w:ascii="Arial" w:cs="Arial" w:eastAsia="Arial" w:hAnsi="Arial"/>
          <w:b/>
          <w:bCs/>
          <w:color w:val="2E7D32"/>
          <w:sz w:val="24"/>
          <w:szCs w:val="24"/>
        </w:rPr>
        <w:t xml:space="preserve">4.15  Indicator 15: LTC Contact Types — First vs Follow-Up, F2F vs Remote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What the ICB Is Asking For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The ICB wants to understand the nature of LTC contacts: are they first assessments or follow-up reviews? Are they delivered face-to-face, by telephone, or by video? This shows the depth and continuity of LTC care and whether the model is reaching new patients (first contacts) as well as providing ongoing management (follow-ups). Should be reported by condition cohort and practice.</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Connectivity &amp; System Feeds Required</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GPAD provides appointment mode data (F2F, telephone, video) and duration bands, but cannot distinguish first from follow-up contacts or link appointments to specific patient cohorts. Requires: (1) SystmOne clinical templates with SNOMED codes that tag contacts as first/follow-up for each LTC cohort, (2) SystmOne Strategic Reporting for patient-level extraction (needed for first-contact identification — a patient’s first proactive contact is only identifiable through longitudinal patient records), (3) Ardens recall searches to identify cohort membership.</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Difficulties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High difficulty. Requires new clinical coding practices to be embedded across all 10 practices. ‘First vs follow-up’ distinction requires patient-level longitudinal data, not just appointment counts. DPIA may need updating to cover patient-level data extraction between practices and the programme. Depends on Indicator 4 workstream (cohort definitions, templates) being completed first.</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Phase &amp; Timeline</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Go-live + 6 months: first data from priority cohorts (dependent on Phase 2 template deployment from Indicator 4). Go-live + 12 months: full reporting across priority cohorts. Phase 3 indicator.</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r>
          </w:p>
        </w:tc>
      </w:tr>
    </w:tbl>
    <w:p>
      <w:pPr>
        <w:spacing w:after="60"/>
      </w:pPr>
    </w:p>
    <w:p>
      <w:pPr>
        <w:spacing w:after="100" w:before="300"/>
      </w:pPr>
      <w:r>
        <w:rPr>
          <w:rFonts w:ascii="Arial" w:cs="Arial" w:eastAsia="Arial" w:hAnsi="Arial"/>
          <w:b/>
          <w:bCs/>
          <w:color w:val="2E7D32"/>
          <w:sz w:val="24"/>
          <w:szCs w:val="24"/>
        </w:rPr>
        <w:t xml:space="preserve">4.16  Indicator 16: Proactive LTC Contacts — Practice-Initiated vs Patient-Initiated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What the ICB Is Asking For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The ICB wants to measure whether practices are proactively reaching out to LTC patients (practice-initiated recall and review) rather than only seeing them when patients present with symptoms (patient-initiated contacts). This is the key indicator of whether the NMoC model is shifting from reactive to proactive care. The ICB specifically requires unique patient counts to ensure the service is reaching more patients, not just generating more contacts with the same patients.</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Connectivity &amp; System Feeds Required</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Requires all the systems from Indicator 4 plus: (1) SystmOne templates that explicitly code whether a contact was initiated by the practice (proactive recall) or by the patient (reactive presentation), (2) SystmOne Strategic Reporting for unique patient counts per cohort per period, (3) NARP Patient Need Groups for denominator (how many patients in each cohort exist at each practice, to calculate the proportion receiving proactive contact). NARP’s work on pushing Patient Need Groups into SystmOne would directly support this by embedding cohort flags in clinical records.</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Difficulties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High difficulty. This is the hardest indicator to measure accurately. ‘Proactive’ vs ‘reactive’ is not a standard NHS data field — it requires a new coding discipline at point of care. Consistent use by clinicians across 10 practices is the biggest challenge. Unique patient counting requires patient-level data access with appropriate IG frameworks. The predominantly SystmOne environment helps but does not eliminate the clinical coding challenge.</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Phase &amp; Timeline</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Go-live + 6 months: first partial data from priority cohorts. Go-live + 12 months: meaningful trend data showing month-on-month unique patient growth. Phase 3 indicator.</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r>
          </w:p>
        </w:tc>
      </w:tr>
    </w:tbl>
    <w:p>
      <w:pPr>
        <w:spacing w:after="60"/>
      </w:pPr>
    </w:p>
    <w:p>
      <w:pPr>
        <w:spacing w:after="100" w:before="300"/>
      </w:pPr>
      <w:r>
        <w:rPr>
          <w:rFonts w:ascii="Arial" w:cs="Arial" w:eastAsia="Arial" w:hAnsi="Arial"/>
          <w:b/>
          <w:bCs/>
          <w:color w:val="2E7D32"/>
          <w:sz w:val="24"/>
          <w:szCs w:val="24"/>
        </w:rPr>
        <w:t xml:space="preserve">4.17  Indicator 17: LTC-Specific Hospital Admissions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What the ICB Is Asking For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The ICB wants to track hospital admissions specifically for patients in defined LTC cohorts (Pre-Diabetes, COPD, End of Life, Post-Hospital Discharge): are admissions for these patients reducing over time as the SDA model provides proactive primary care? This requires linking primary care cohort membership with secondary care admission data at patient level.</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Connectivity &amp; System Feeds Required</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Requires linked data across primary and secondary care: (1) SystmOne cohort membership data (which patients are in each LTC cohort at each practice), (2) SUS/HES admission data via ICB BI warehouse matched to ENN practice populations, (3) NARP Cohort Identification tool for cohort denominators and risk stratification, (4) NCR shared care record for cross-organisational patient tracking. Key advantage: KGH and NGH within single ICB footprint means patient-level linkage is feasible through the ICB BI warehouse/Graphnet Data Lakehouse without cross-ICB agreements.</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Difficulties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High difficulty. Patient-level data linkage between primary and secondary care requires: (a) robust cohort definitions and consistent coding (from Indicator 4), (b) IG/DPIA approval for patient-level data sharing, (c) ICB BI team capacity to perform the linkage analysis, (d) sufficient time post-pilot for admission patterns to show measurable change. However, the single-ICB data landscape is a significant advantage — all linkage can be done through one data warehouse.</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Phase &amp; Timeline</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Go-live + 6 months: baseline cohort admission rates established (retrospective). Go-live + 12 months: first pre/post comparison for priority cohorts. Phase 3 indicator — meaningful impact data unlikely before 12 months.</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r>
          </w:p>
        </w:tc>
      </w:tr>
    </w:tbl>
    <w:p>
      <w:pPr>
        <w:spacing w:after="60"/>
      </w:pPr>
    </w:p>
    <w:p>
      <w:pPr>
        <w:spacing w:after="100" w:before="300"/>
      </w:pPr>
      <w:r>
        <w:rPr>
          <w:rFonts w:ascii="Arial" w:cs="Arial" w:eastAsia="Arial" w:hAnsi="Arial"/>
          <w:b/>
          <w:bCs/>
          <w:color w:val="2E7D32"/>
          <w:sz w:val="24"/>
          <w:szCs w:val="24"/>
        </w:rPr>
        <w:t xml:space="preserve">4.18  Indicator 18: LTC Cohort Activity — Unique Patients, Equity, Demographics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What the ICB Is Asking For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The ICB wants comprehensive cohort-level reporting showing: how many unique patients in each LTC cohort are receiving proactive care, whether coverage is equitable across deprivation quintiles and demographic groups, whether the number of unique patients is growing over time (not just activity with existing patients), and whether outcomes differ by patient group. This is the ICB’s equity and inclusion requirement — ensuring the NMoC model benefits all patient groups, not just those who are easiest to engage.</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Data Connectivity &amp; System Feeds Required</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Requires the full stack of systems: (1) SystmOne for clinical coding and cohort membership, (2) SystmOne Strategic Reporting for unique patient counts by practice, cohort, and period, (3) NARP for deprivation analysis (IMD 2019 by LSOA), Patient Need Groups, and population health profiles, (4) OHID Fingertips for prevalence benchmarks and health inequalities context (publicly available), (5) NCR for ReSPECT form data (relevant to End of Life cohort). Demographic breakdown requires NHS Spine/PDS data linked through SystmOne (ethnicity, age, sex already in GP records).</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Difficulties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High difficulty. This is the most comprehensive and analytically demanding indicator. Requires: (a) all Indicator 4 prerequisites (cohort definitions, templates, coding), (b) patient-level data extraction with demographic and deprivation overlays, (c) equity analysis methodology agreed with ICB, (d) practice-level and cohort-level reporting dashboards built. The Notewell AI Dashboard can support this once the underlying coded data exists. DPIA scope needs confirming for demographic data processing.</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Phase &amp; Timeline</w:t>
            </w:r>
          </w:p>
        </w:tc>
        <w:tc>
          <w:tcPr>
            <w:tcW w:type="dxa" w:w="7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sz w:val="18"/>
                <w:szCs w:val="18"/>
              </w:rPr>
              <w:t xml:space="preserve">Go-live + 6 months: first cohort size and demographic profile data for priority cohorts. Go-live + 12 months: unique patient growth trends, deprivation analysis, equity assessment across all priority cohorts. Phase 3 indicator.</w:t>
            </w:r>
          </w:p>
        </w:tc>
      </w:tr>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r>
          </w:p>
        </w:tc>
      </w:tr>
    </w:tbl>
    <w:p>
      <w:pPr>
        <w:spacing w:after="60"/>
      </w:pPr>
    </w:p>
    <w:p>
      <w:pPr>
        <w:pStyle w:val="Heading2"/>
        <w:spacing w:after="150" w:before="300"/>
      </w:pPr>
      <w:r>
        <w:rPr>
          <w:rFonts w:ascii="Arial" w:cs="Arial" w:eastAsia="Arial" w:hAnsi="Arial"/>
        </w:rPr>
        <w:t xml:space="preserve">4.19 Summary Table</w:t>
      </w:r>
    </w:p>
    <w:p>
      <w:pPr>
        <w:spacing w:after="120"/>
      </w:pPr>
      <w:r>
        <w:rPr>
          <w:rFonts w:ascii="Arial" w:cs="Arial" w:eastAsia="Arial" w:hAnsi="Arial"/>
          <w:sz w:val="22"/>
          <w:szCs w:val="22"/>
        </w:rPr>
        <w:t xml:space="preserve">✓ = Fully reportable. ○ = Partial / first data available. Empty = Not yet achievable. CDs = Clinical Directors.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900"/>
        <w:gridCol w:w="900"/>
        <w:gridCol w:w="900"/>
        <w:gridCol w:w="2826"/>
      </w:tblGrid>
      <w:tr>
        <w:tc>
          <w:tcPr>
            <w:tcW w:type="dxa" w:w="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Indicator</w:t>
            </w:r>
          </w:p>
        </w:tc>
        <w:tc>
          <w:tcPr>
            <w:tcW w:type="dxa" w:w="9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Pre Go-Live</w:t>
            </w:r>
          </w:p>
        </w:tc>
        <w:tc>
          <w:tcPr>
            <w:tcW w:type="dxa" w:w="9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Go-Live +3m</w:t>
            </w:r>
          </w:p>
        </w:tc>
        <w:tc>
          <w:tcPr>
            <w:tcW w:type="dxa" w:w="9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Go-Live +6m</w:t>
            </w:r>
          </w:p>
        </w:tc>
        <w:tc>
          <w:tcPr>
            <w:tcW w:type="dxa" w:w="9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Go-Live +12m</w:t>
            </w:r>
          </w:p>
        </w:tc>
        <w:tc>
          <w:tcPr>
            <w:tcW w:type="dxa" w:w="28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 same-day outside GP</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Urgent vs LTC breakdown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ENN</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Avg wait time (minutes)</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 proactive LTC</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ENN + CDs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Referral % specialty/hub</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NARP + ICB BI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Unplanned admissions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NARP + ICB BI</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7</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Appts per 1,000/wk</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Integration / workforce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ENN</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9</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Winter surge capacity</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Patient satisfaction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ENN Comms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11</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Community pathways</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NARP/NCR + BI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A&amp;E comparison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NARP + ICB BI</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13</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Cost per appointment</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ENN Finance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Cost avoidance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ICB BI + Fin</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15</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LTC F2F first/follow-up</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ENN + CDs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Proactive contacts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ENN + CDs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17</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LTC admissions</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NARP + ICB BI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Cohort activity</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ENN + CDs</w:t>
            </w:r>
          </w:p>
        </w:tc>
      </w:tr>
    </w:tbl>
    <w:p>
      <w:r>
        <w:br w:type="page"/>
      </w:r>
    </w:p>
    <w:p>
      <w:pPr>
        <w:pStyle w:val="Heading1"/>
        <w:spacing w:after="150" w:before="300"/>
      </w:pPr>
      <w:r>
        <w:rPr>
          <w:rFonts w:ascii="Arial" w:cs="Arial" w:eastAsia="Arial" w:hAnsi="Arial"/>
        </w:rPr>
        <w:t xml:space="preserve">5. Managing ICB Expectations</w:t>
      </w:r>
    </w:p>
    <w:p>
      <w:pPr>
        <w:pStyle w:val="Heading2"/>
        <w:spacing w:after="150" w:before="300"/>
      </w:pPr>
      <w:r>
        <w:rPr>
          <w:rFonts w:ascii="Arial" w:cs="Arial" w:eastAsia="Arial" w:hAnsi="Arial"/>
        </w:rPr>
        <w:t xml:space="preserve">5.1 The First 3 Months Will Show Limited Impact Data</w:t>
      </w:r>
    </w:p>
    <w:p>
      <w:pPr>
        <w:spacing w:after="120"/>
      </w:pPr>
      <w:r>
        <w:rPr>
          <w:rFonts w:ascii="Arial" w:cs="Arial" w:eastAsia="Arial" w:hAnsi="Arial"/>
          <w:sz w:val="22"/>
          <w:szCs w:val="22"/>
        </w:rPr>
        <w:t xml:space="preserve">The first 3 months post go-live will be an embedding period where practices adjust to the new model, staff become familiar with new processes, and coding practices stabilise. During this period, ENN can report on operational volumes (appointments delivered, DNA rates, workforce deployment) but not on outcomes (patient satisfaction, A&amp;E impact, cost avoidance). The ICB should expect operational dashboards from Month 1 and outcome metrics from Month 6 at the earliest.</w:t>
      </w:r>
    </w:p>
    <w:p>
      <w:pPr>
        <w:pStyle w:val="Heading2"/>
        <w:spacing w:after="150" w:before="300"/>
      </w:pPr>
      <w:r>
        <w:rPr>
          <w:rFonts w:ascii="Arial" w:cs="Arial" w:eastAsia="Arial" w:hAnsi="Arial"/>
        </w:rPr>
        <w:t xml:space="preserve">5.2 Secondary Care Data Has a Built-In Lag</w:t>
      </w:r>
    </w:p>
    <w:p>
      <w:pPr>
        <w:spacing w:after="120"/>
      </w:pPr>
      <w:r>
        <w:rPr>
          <w:rFonts w:ascii="Arial" w:cs="Arial" w:eastAsia="Arial" w:hAnsi="Arial"/>
          <w:sz w:val="22"/>
          <w:szCs w:val="22"/>
        </w:rPr>
        <w:t xml:space="preserve">SUS/HES data is published with a 2–3 month lag. This means that at the 6-month review, the most recent secondary care data available will cover only approximately 4 months of pilot data. A robust pre/post comparison requires 12 months of pilot data.</w:t>
      </w:r>
    </w:p>
    <w:p>
      <w:pPr>
        <w:pStyle w:val="Heading2"/>
        <w:spacing w:after="150" w:before="300"/>
      </w:pPr>
      <w:r>
        <w:rPr>
          <w:rFonts w:ascii="Arial" w:cs="Arial" w:eastAsia="Arial" w:hAnsi="Arial"/>
        </w:rPr>
        <w:t xml:space="preserve">5.3 ENN Benefits from Single-ICB Secondary Care Data</w:t>
      </w:r>
    </w:p>
    <w:p>
      <w:pPr>
        <w:spacing w:after="120"/>
      </w:pPr>
      <w:r>
        <w:rPr>
          <w:rFonts w:ascii="Arial" w:cs="Arial" w:eastAsia="Arial" w:hAnsi="Arial"/>
          <w:b/>
          <w:bCs/>
          <w:sz w:val="22"/>
          <w:szCs w:val="22"/>
        </w:rPr>
        <w:t xml:space="preserve">A significant advantage for ENN is that secondary care referrals are concentrated almost entirely on KGH and NGH, both within the Northamptonshire ICB footprint.</w:t>
      </w:r>
      <w:r>
        <w:rPr>
          <w:rFonts w:ascii="Arial" w:cs="Arial" w:eastAsia="Arial" w:hAnsi="Arial"/>
          <w:sz w:val="22"/>
          <w:szCs w:val="22"/>
        </w:rPr>
        <w:t xml:space="preserve"> This eliminates the cross-ICB data sharing challenges that typically add 6–18 months to data acquisition timelines. The ICB BI team can provide a comprehensive secondary care baseline from a single data extract, covering the full ENN population. The only minor gap is occasional Peterborough referrals from the Oundle practice, which is not material to overall reporting.</w:t>
      </w:r>
    </w:p>
    <w:p>
      <w:pPr>
        <w:pStyle w:val="Heading2"/>
        <w:spacing w:after="150" w:before="300"/>
      </w:pPr>
      <w:r>
        <w:rPr>
          <w:rFonts w:ascii="Arial" w:cs="Arial" w:eastAsia="Arial" w:hAnsi="Arial"/>
        </w:rPr>
        <w:t xml:space="preserve">5.4 LTC Metrics Require Service Design Before Data Can Flow</w:t>
      </w:r>
    </w:p>
    <w:p>
      <w:pPr>
        <w:spacing w:after="120"/>
      </w:pPr>
      <w:r>
        <w:rPr>
          <w:rFonts w:ascii="Arial" w:cs="Arial" w:eastAsia="Arial" w:hAnsi="Arial"/>
          <w:sz w:val="22"/>
          <w:szCs w:val="22"/>
        </w:rPr>
        <w:t xml:space="preserve">Unlike SDA metrics (which can be measured from existing appointment data), the LTC/Complex Care metrics require new clinical processes to be designed and implemented before any data exists. Cohort definitions, clinical templates, coding standards, and recall workflows all need to be agreed, built, deployed, and embedded across 10 practices. The predominantly SystmOne environment simplifies template deployment but does not eliminate the clinical agreement and change management challenge. The ICB should frame LTC metrics as a Year 1 development objective rather than a go-live requirement.</w:t>
      </w:r>
    </w:p>
    <w:p>
      <w:pPr>
        <w:pStyle w:val="Heading2"/>
        <w:spacing w:after="150" w:before="300"/>
      </w:pPr>
      <w:r>
        <w:rPr>
          <w:rFonts w:ascii="Arial" w:cs="Arial" w:eastAsia="Arial" w:hAnsi="Arial"/>
        </w:rPr>
        <w:t xml:space="preserve">5.5 What ENN Can Confidently Deliver From Day One</w:t>
      </w:r>
    </w:p>
    <w:p>
      <w:pPr>
        <w:spacing w:after="120"/>
      </w:pPr>
      <w:r>
        <w:rPr>
          <w:rFonts w:ascii="Arial" w:cs="Arial" w:eastAsia="Arial" w:hAnsi="Arial"/>
          <w:sz w:val="22"/>
          <w:szCs w:val="22"/>
        </w:rPr>
        <w:t xml:space="preserve">Despite the gaps above, ENN enters the pilot with key structural advantages:</w:t>
      </w:r>
    </w:p>
    <w:p>
      <w:pPr>
        <w:pStyle w:val="ListParagraph"/>
        <w:numPr>
          <w:ilvl w:val="0"/>
          <w:numId w:val="3"/>
        </w:numPr>
        <w:spacing w:after="80"/>
      </w:pPr>
      <w:r>
        <w:rPr>
          <w:rFonts w:ascii="Arial" w:cs="Arial" w:eastAsia="Arial" w:hAnsi="Arial"/>
          <w:sz w:val="22"/>
          <w:szCs w:val="22"/>
        </w:rPr>
        <w:t xml:space="preserve">Predominantly TPP SystmOne (at least 9 of 10 practices, with at least one on EMIS Web) — predominantly single clinical system (SystmOne) simplifies reporting and template deployment, with EMIS equivalent needed for at least one practice</w:t>
      </w:r>
    </w:p>
    <w:p>
      <w:pPr>
        <w:pStyle w:val="ListParagraph"/>
        <w:numPr>
          <w:ilvl w:val="0"/>
          <w:numId w:val="3"/>
        </w:numPr>
        <w:spacing w:after="80"/>
      </w:pPr>
      <w:r>
        <w:rPr>
          <w:rFonts w:ascii="Arial" w:cs="Arial" w:eastAsia="Arial" w:hAnsi="Arial"/>
          <w:sz w:val="22"/>
          <w:szCs w:val="22"/>
        </w:rPr>
        <w:t xml:space="preserve">Three defined hub practices (Harborough Field Surgery, The Cottages, The Meadows Surgery) with clear catchment populations totalling 90,241 registered patients</w:t>
      </w:r>
    </w:p>
    <w:p>
      <w:pPr>
        <w:pStyle w:val="ListParagraph"/>
        <w:numPr>
          <w:ilvl w:val="0"/>
          <w:numId w:val="3"/>
        </w:numPr>
        <w:spacing w:after="80"/>
      </w:pPr>
      <w:r>
        <w:rPr>
          <w:rFonts w:ascii="Arial" w:cs="Arial" w:eastAsia="Arial" w:hAnsi="Arial"/>
          <w:sz w:val="22"/>
          <w:szCs w:val="22"/>
        </w:rPr>
        <w:t xml:space="preserve">74,846 annual appointment requirement with 1,438 weekly appointments across the neighbourhood</w:t>
      </w:r>
    </w:p>
    <w:p>
      <w:pPr>
        <w:pStyle w:val="ListParagraph"/>
        <w:numPr>
          <w:ilvl w:val="0"/>
          <w:numId w:val="3"/>
        </w:numPr>
        <w:spacing w:after="80"/>
      </w:pPr>
      <w:r>
        <w:rPr>
          <w:rFonts w:ascii="Arial" w:cs="Arial" w:eastAsia="Arial" w:hAnsi="Arial"/>
          <w:sz w:val="22"/>
          <w:szCs w:val="22"/>
        </w:rPr>
        <w:t xml:space="preserve">Total annual programme income of £2,376,046 across the three hubs</w:t>
      </w:r>
    </w:p>
    <w:p>
      <w:pPr>
        <w:pStyle w:val="ListParagraph"/>
        <w:numPr>
          <w:ilvl w:val="0"/>
          <w:numId w:val="3"/>
        </w:numPr>
        <w:spacing w:after="80"/>
      </w:pPr>
      <w:r>
        <w:rPr>
          <w:rFonts w:ascii="Arial" w:cs="Arial" w:eastAsia="Arial" w:hAnsi="Arial"/>
          <w:sz w:val="22"/>
          <w:szCs w:val="22"/>
        </w:rPr>
        <w:t xml:space="preserve">Secondary care within single ICB footprint (KGH and NGH) — no cross-ICB data barriers</w:t>
      </w:r>
    </w:p>
    <w:p>
      <w:pPr>
        <w:pStyle w:val="ListParagraph"/>
        <w:numPr>
          <w:ilvl w:val="0"/>
          <w:numId w:val="3"/>
        </w:numPr>
        <w:spacing w:after="80"/>
      </w:pPr>
      <w:r>
        <w:rPr>
          <w:rFonts w:ascii="Arial" w:cs="Arial" w:eastAsia="Arial" w:hAnsi="Arial"/>
          <w:sz w:val="22"/>
          <w:szCs w:val="22"/>
        </w:rPr>
        <w:t xml:space="preserve">Notewell AI Dashboard capability for practice-level, role-level, and period-level analysis</w:t>
      </w:r>
    </w:p>
    <w:p>
      <w:pPr>
        <w:pStyle w:val="ListParagraph"/>
        <w:numPr>
          <w:ilvl w:val="0"/>
          <w:numId w:val="3"/>
        </w:numPr>
        <w:spacing w:after="80"/>
      </w:pPr>
      <w:r>
        <w:rPr>
          <w:rFonts w:ascii="Arial" w:cs="Arial" w:eastAsia="Arial" w:hAnsi="Arial"/>
          <w:sz w:val="22"/>
          <w:szCs w:val="22"/>
        </w:rPr>
        <w:t xml:space="preserve">Clear ICB metrics gap analysis with named owners, timelines, and risk assessments</w:t>
      </w:r>
    </w:p>
    <w:p>
      <w:r>
        <w:br w:type="page"/>
      </w:r>
    </w:p>
    <w:p>
      <w:pPr>
        <w:pStyle w:val="Heading1"/>
        <w:spacing w:after="150" w:before="300"/>
      </w:pPr>
      <w:r>
        <w:rPr>
          <w:rFonts w:ascii="Arial" w:cs="Arial" w:eastAsia="Arial" w:hAnsi="Arial"/>
        </w:rPr>
        <w:t xml:space="preserve">6. Key Risks to Metrics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00"/>
        <w:gridCol w:w="800"/>
        <w:gridCol w:w="4826"/>
      </w:tblGrid>
      <w:tr>
        <w:tc>
          <w:tcPr>
            <w:tcW w:type="dxa" w:w="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Ref</w:t>
            </w:r>
          </w:p>
        </w:tc>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Risk Description</w:t>
            </w:r>
          </w:p>
        </w:tc>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Likelihood</w:t>
            </w:r>
          </w:p>
        </w:tc>
        <w:tc>
          <w:tcPr>
            <w:tcW w:type="dxa" w:w="48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R1</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LTC cohort definitions not agreed, blocking indicators #4, #15–18</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C62828"/>
                <w:sz w:val="18"/>
                <w:szCs w:val="18"/>
              </w:rPr>
              <w:t xml:space="preserve">High</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Medium</w:t>
            </w:r>
          </w:p>
        </w:tc>
        <w:tc>
          <w:tcPr>
            <w:tcW w:type="dxa" w:w="4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Escalate to Programme Board. Clinical Directors to lead. Phased approach: 2 cohorts first.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ICB BI team lacks capacity for secondary care baseline extracts (#6, #11, #12)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62828"/>
                <w:sz w:val="18"/>
                <w:szCs w:val="18"/>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Medium</w:t>
            </w:r>
          </w:p>
        </w:tc>
        <w:tc>
          <w:tcPr>
            <w:tcW w:type="dxa" w:w="4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Early engagement with ICB BI team. Formal data request submitted April 2026. Agree SLA for monthly refresh.</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R3</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Inconsistent clinical coding across 10 practices undermines LTC/proactive metrics</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E65100"/>
                <w:sz w:val="18"/>
                <w:szCs w:val="18"/>
              </w:rPr>
              <w:t xml:space="preserve">Medium</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High</w:t>
            </w:r>
          </w:p>
        </w:tc>
        <w:tc>
          <w:tcPr>
            <w:tcW w:type="dxa" w:w="4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Standardised coding guidance in ENN SOP pack. Monthly data quality audit. Practice manager training pre go-live. Ardens templates enforce consistent coding.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IG/DPIA barriers to patient-level data sharing for cohort tracking</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E65100"/>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Medium</w:t>
            </w:r>
          </w:p>
        </w:tc>
        <w:tc>
          <w:tcPr>
            <w:tcW w:type="dxa" w:w="4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DPIA and DSA documentation in place. Review scope to confirm cohort data sharing is covered. Update before go-live if needed.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R5</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SUS/HES publication lag means insufficient post-pilot data at 6-month review</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E65100"/>
                <w:sz w:val="18"/>
                <w:szCs w:val="18"/>
              </w:rPr>
              <w:t xml:space="preserve">Medium</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High</w:t>
            </w:r>
          </w:p>
        </w:tc>
        <w:tc>
          <w:tcPr>
            <w:tcW w:type="dxa" w:w="4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Set expectations now: 6-month review will show operational metrics + 3–4 months of secondary care data. Full impact assessment at 12 months.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Practice engagement varies across 10 practices during embedding period</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E65100"/>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Medium</w:t>
            </w:r>
          </w:p>
        </w:tc>
        <w:tc>
          <w:tcPr>
            <w:tcW w:type="dxa" w:w="4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Rebecca Gane (ENN Transformation Manager) to coordinate practice-level engagement. Regular practice manager forums. Monthly data quality reviews.</w:t>
            </w:r>
          </w:p>
        </w:tc>
      </w:tr>
    </w:tbl>
    <w:p>
      <w:r>
        <w:br w:type="page"/>
      </w:r>
    </w:p>
    <w:p>
      <w:pPr>
        <w:pStyle w:val="Heading1"/>
        <w:spacing w:after="150" w:before="300"/>
      </w:pPr>
      <w:r>
        <w:rPr>
          <w:rFonts w:ascii="Arial" w:cs="Arial" w:eastAsia="Arial" w:hAnsi="Arial"/>
        </w:rPr>
        <w:t xml:space="preserve">7. Recommendations</w:t>
      </w:r>
    </w:p>
    <w:p>
      <w:pPr>
        <w:pStyle w:val="ListParagraph"/>
        <w:numPr>
          <w:ilvl w:val="0"/>
          <w:numId w:val="2"/>
        </w:numPr>
        <w:spacing w:after="120"/>
      </w:pPr>
      <w:r>
        <w:rPr>
          <w:rFonts w:ascii="Arial" w:cs="Arial" w:eastAsia="Arial" w:hAnsi="Arial"/>
          <w:b/>
          <w:bCs/>
          <w:sz w:val="22"/>
          <w:szCs w:val="22"/>
        </w:rPr>
        <w:t xml:space="preserve">Accept a phased metrics approach. </w:t>
      </w:r>
      <w:r>
        <w:rPr>
          <w:rFonts w:ascii="Arial" w:cs="Arial" w:eastAsia="Arial" w:hAnsi="Arial"/>
          <w:sz w:val="22"/>
          <w:szCs w:val="22"/>
        </w:rPr>
        <w:t xml:space="preserve">Operational metrics from Month 1, outcome metrics from Month 6, impact assessment at Month 12. Do not expect comprehensive reporting from day one.</w:t>
      </w:r>
    </w:p>
    <w:p>
      <w:pPr>
        <w:pStyle w:val="ListParagraph"/>
        <w:numPr>
          <w:ilvl w:val="0"/>
          <w:numId w:val="2"/>
        </w:numPr>
        <w:spacing w:after="120"/>
      </w:pPr>
      <w:r>
        <w:rPr>
          <w:rFonts w:ascii="Arial" w:cs="Arial" w:eastAsia="Arial" w:hAnsi="Arial"/>
          <w:b/>
          <w:bCs/>
          <w:sz w:val="22"/>
          <w:szCs w:val="22"/>
        </w:rPr>
        <w:t xml:space="preserve">Commission secondary care baseline data from the ICB BI team at go-live. </w:t>
      </w:r>
      <w:r>
        <w:rPr>
          <w:rFonts w:ascii="Arial" w:cs="Arial" w:eastAsia="Arial" w:hAnsi="Arial"/>
          <w:sz w:val="22"/>
          <w:szCs w:val="22"/>
        </w:rPr>
        <w:t xml:space="preserve">This is time-critical — delay risks losing the pre-pilot baseline window. ENN benefits from single-ICB data coverage (KGH and NGH), making this a simpler request than for cross-boundary neighbourhoods.</w:t>
      </w:r>
    </w:p>
    <w:p>
      <w:pPr>
        <w:pStyle w:val="ListParagraph"/>
        <w:numPr>
          <w:ilvl w:val="0"/>
          <w:numId w:val="2"/>
        </w:numPr>
        <w:spacing w:after="120"/>
      </w:pPr>
      <w:r>
        <w:rPr>
          <w:rFonts w:ascii="Arial" w:cs="Arial" w:eastAsia="Arial" w:hAnsi="Arial"/>
          <w:b/>
          <w:bCs/>
          <w:sz w:val="22"/>
          <w:szCs w:val="22"/>
        </w:rPr>
        <w:t xml:space="preserve">Prioritise LTC cohort definitions </w:t>
      </w:r>
      <w:r>
        <w:rPr>
          <w:rFonts w:ascii="Arial" w:cs="Arial" w:eastAsia="Arial" w:hAnsi="Arial"/>
          <w:sz w:val="22"/>
          <w:szCs w:val="22"/>
        </w:rPr>
        <w:t xml:space="preserve">as the single most important pre-requisite for the complex care metrics. Without agreed definitions, no meaningful LTC data can be collected.</w:t>
      </w:r>
    </w:p>
    <w:p>
      <w:pPr>
        <w:pStyle w:val="ListParagraph"/>
        <w:numPr>
          <w:ilvl w:val="0"/>
          <w:numId w:val="2"/>
        </w:numPr>
        <w:spacing w:after="120"/>
      </w:pPr>
      <w:r>
        <w:rPr>
          <w:rFonts w:ascii="Arial" w:cs="Arial" w:eastAsia="Arial" w:hAnsi="Arial"/>
          <w:b/>
          <w:bCs/>
          <w:sz w:val="22"/>
          <w:szCs w:val="22"/>
        </w:rPr>
        <w:t xml:space="preserve">Leverage the predominantly SystmOne environment </w:t>
      </w:r>
      <w:r>
        <w:rPr>
          <w:rFonts w:ascii="Arial" w:cs="Arial" w:eastAsia="Arial" w:hAnsi="Arial"/>
          <w:sz w:val="22"/>
          <w:szCs w:val="22"/>
        </w:rPr>
        <w:t xml:space="preserve">to deploy standardised templates, coding guidance, and reporting across all practices. SystmOne templates cover the majority; an EMIS equivalent will be needed for the EMIS practice(s). This remains a significant operational advantage over more evenly split dual-system neighbourhoods.</w:t>
      </w:r>
    </w:p>
    <w:p>
      <w:pPr>
        <w:pStyle w:val="ListParagraph"/>
        <w:numPr>
          <w:ilvl w:val="0"/>
          <w:numId w:val="2"/>
        </w:numPr>
        <w:spacing w:after="120"/>
      </w:pPr>
      <w:r>
        <w:rPr>
          <w:rFonts w:ascii="Arial" w:cs="Arial" w:eastAsia="Arial" w:hAnsi="Arial"/>
          <w:b/>
          <w:bCs/>
          <w:sz w:val="22"/>
          <w:szCs w:val="22"/>
        </w:rPr>
        <w:t xml:space="preserve">Use the ENN Notewell AI Dashboard </w:t>
      </w:r>
      <w:r>
        <w:rPr>
          <w:rFonts w:ascii="Arial" w:cs="Arial" w:eastAsia="Arial" w:hAnsi="Arial"/>
          <w:sz w:val="22"/>
          <w:szCs w:val="22"/>
        </w:rPr>
        <w:t xml:space="preserve">as the primary reporting tool for operational metrics, updated monthly. This provides practice-level, role-level, and period-level analysis.</w:t>
      </w:r>
    </w:p>
    <w:p>
      <w:pPr>
        <w:pStyle w:val="ListParagraph"/>
        <w:numPr>
          <w:ilvl w:val="0"/>
          <w:numId w:val="2"/>
        </w:numPr>
        <w:spacing w:after="120"/>
      </w:pPr>
      <w:r>
        <w:rPr>
          <w:rFonts w:ascii="Arial" w:cs="Arial" w:eastAsia="Arial" w:hAnsi="Arial"/>
          <w:b/>
          <w:bCs/>
          <w:sz w:val="22"/>
          <w:szCs w:val="22"/>
        </w:rPr>
        <w:t xml:space="preserve">Establish a joint ENN-ICB reporting working group </w:t>
      </w:r>
      <w:r>
        <w:rPr>
          <w:rFonts w:ascii="Arial" w:cs="Arial" w:eastAsia="Arial" w:hAnsi="Arial"/>
          <w:sz w:val="22"/>
          <w:szCs w:val="22"/>
        </w:rPr>
        <w:t xml:space="preserve">(Rebecca Gane, Michael Chapman, ICB BI lead, Tunde Adediran) meeting monthly from go-live to track metrics development.</w:t>
      </w:r>
    </w:p>
    <w:p>
      <w:pPr>
        <w:pStyle w:val="ListParagraph"/>
        <w:numPr>
          <w:ilvl w:val="0"/>
          <w:numId w:val="2"/>
        </w:numPr>
        <w:spacing w:after="120"/>
      </w:pPr>
      <w:r>
        <w:rPr>
          <w:rFonts w:ascii="Arial" w:cs="Arial" w:eastAsia="Arial" w:hAnsi="Arial"/>
          <w:b/>
          <w:bCs/>
          <w:sz w:val="22"/>
          <w:szCs w:val="22"/>
        </w:rPr>
        <w:t xml:space="preserve">Request NARP neighbourhood-level views for the ENN population as an immediate priority. </w:t>
      </w:r>
      <w:r>
        <w:rPr>
          <w:rFonts w:ascii="Arial" w:cs="Arial" w:eastAsia="Arial" w:hAnsi="Arial"/>
          <w:sz w:val="22"/>
          <w:szCs w:val="22"/>
        </w:rPr>
        <w:t xml:space="preserve">NARP already holds A&amp;E admission data, Patient Need Groups, cohort identification tools, and hospital activity that could accelerate delivery of indicators #4, #6, #11, #12, and #15–18.</w:t>
      </w:r>
    </w:p>
    <w:p>
      <w:pPr>
        <w:spacing w:before="400"/>
      </w:pPr>
    </w:p>
    <w:p>
      <w:pPr>
        <w:spacing w:after="120"/>
        <w:jc w:val="center"/>
      </w:pPr>
      <w:r>
        <w:rPr>
          <w:rFonts w:ascii="Arial" w:cs="Arial" w:eastAsia="Arial" w:hAnsi="Arial"/>
          <w:i/>
          <w:iCs/>
          <w:color w:val="999999"/>
          <w:sz w:val="22"/>
          <w:szCs w:val="22"/>
        </w:rPr>
        <w:t xml:space="preserve">— End of Report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Confidential — East Northants Neighbourhood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space="4"/>
      </w:pBdr>
    </w:pPr>
    <w:r>
      <w:rPr>
        <w:rFonts w:ascii="Arial" w:cs="Arial" w:eastAsia="Arial" w:hAnsi="Arial"/>
        <w:i/>
        <w:iCs/>
        <w:color w:val="666666"/>
        <w:sz w:val="16"/>
        <w:szCs w:val="16"/>
      </w:rPr>
      <w:t xml:space="preserve">ENN NMoC Pilot — ICB Key Metrics &amp; Reporting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D3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2026-04-07T15:03:56.303Z</dcterms:created>
  <dcterms:modified xsi:type="dcterms:W3CDTF">2026-04-07T15:03:56.304Z</dcterms:modified>
</cp:coreProperties>
</file>

<file path=docProps/custom.xml><?xml version="1.0" encoding="utf-8"?>
<Properties xmlns="http://schemas.openxmlformats.org/officeDocument/2006/custom-properties" xmlns:vt="http://schemas.openxmlformats.org/officeDocument/2006/docPropsVTypes"/>
</file>