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2.png" ContentType="image/png"/>
  <Override PartName="/word/media/rId33.png" ContentType="image/png"/>
  <Override PartName="/word/media/rId34.png" ContentType="image/png"/>
  <Override PartName="/word/media/rId25.png" ContentType="image/png"/>
  <Override PartName="/word/media/rId26.png" ContentType="image/png"/>
  <Override PartName="/word/media/rId2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Access</w:t>
      </w:r>
      <w:r>
        <w:t xml:space="preserve"> </w:t>
      </w:r>
      <w:r>
        <w:t xml:space="preserve">to</w:t>
      </w:r>
      <w:r>
        <w:t xml:space="preserve"> </w:t>
      </w:r>
      <w:r>
        <w:t xml:space="preserve">Rabies</w:t>
      </w:r>
      <w:r>
        <w:t xml:space="preserve"> </w:t>
      </w:r>
      <w:r>
        <w:t xml:space="preserve">Post-Exposure</w:t>
      </w:r>
      <w:r>
        <w:t xml:space="preserve"> </w:t>
      </w:r>
      <w:r>
        <w:t xml:space="preserve">Prophylaxis</w:t>
      </w:r>
      <w:r>
        <w:t xml:space="preserve"> </w:t>
      </w:r>
      <w:r>
        <w:t xml:space="preserve">in</w:t>
      </w:r>
      <w:r>
        <w:t xml:space="preserve"> </w:t>
      </w:r>
      <w:r>
        <w:t xml:space="preserve">Madagascar</w:t>
      </w:r>
    </w:p>
    <w:p>
      <w:pPr>
        <w:pStyle w:val="Author"/>
      </w:pPr>
      <w:r>
        <w:t xml:space="preserve">Malavika</w:t>
      </w:r>
      <w:r>
        <w:t xml:space="preserve"> </w:t>
      </w:r>
      <w:r>
        <w:t xml:space="preserve">Rajeev</w:t>
      </w:r>
    </w:p>
    <w:p>
      <w:pPr>
        <w:pStyle w:val="Date"/>
      </w:pPr>
      <w:r>
        <w:t xml:space="preserve">July</w:t>
      </w:r>
      <w:r>
        <w:t xml:space="preserve"> </w:t>
      </w:r>
      <w:r>
        <w:t xml:space="preserve">18th,</w:t>
      </w:r>
      <w:r>
        <w:t xml:space="preserve"> </w:t>
      </w:r>
      <w:r>
        <w:t xml:space="preserve">2018</w:t>
      </w:r>
    </w:p>
    <w:p>
      <w:pPr>
        <w:pStyle w:val="Heading4"/>
      </w:pPr>
      <w:bookmarkStart w:id="21" w:name="canine-rabies"/>
      <w:bookmarkEnd w:id="21"/>
      <w:r>
        <w:t xml:space="preserve">Canine rabies</w:t>
      </w:r>
    </w:p>
    <w:p>
      <w:pPr>
        <w:pStyle w:val="Compact"/>
        <w:numPr>
          <w:numId w:val="1001"/>
          <w:ilvl w:val="0"/>
        </w:numPr>
      </w:pPr>
      <w:r>
        <w:t xml:space="preserve">Annually, an estimated 60,000 people die from canine rabies.</w:t>
      </w:r>
    </w:p>
    <w:p>
      <w:pPr>
        <w:pStyle w:val="Compact"/>
        <w:numPr>
          <w:numId w:val="1001"/>
          <w:ilvl w:val="0"/>
        </w:numPr>
      </w:pPr>
      <w:r>
        <w:t xml:space="preserve">These deaths are preventable if people receive prompt post-exposure prophylaxis</w:t>
      </w:r>
    </w:p>
    <w:p>
      <w:pPr>
        <w:pStyle w:val="Compact"/>
        <w:numPr>
          <w:numId w:val="1001"/>
          <w:ilvl w:val="0"/>
        </w:numPr>
      </w:pPr>
      <w:r>
        <w:t xml:space="preserve">In places where rabies is endemic, there are significant barriers to accessing PEP (i.e. socioeconomics, availability)</w:t>
      </w:r>
    </w:p>
    <w:p>
      <w:pPr>
        <w:pStyle w:val="Compact"/>
        <w:numPr>
          <w:numId w:val="1001"/>
          <w:ilvl w:val="0"/>
        </w:numPr>
      </w:pPr>
      <w:r>
        <w:t xml:space="preserve">In Madagascar, rabies is endemic, however surveillance is poor and little data is available. There are 31 clinics, or CTAR (centre de traitment antirabique), that provide post-exposure prophylaxis in the country (Figure 1).</w:t>
      </w:r>
    </w:p>
    <w:p>
      <w:pPr>
        <w:pStyle w:val="FigureWithCaption"/>
      </w:pPr>
      <w:r>
        <w:drawing>
          <wp:inline>
            <wp:extent cx="3810000" cy="2540000"/>
            <wp:effectExtent b="0" l="0" r="0" t="0"/>
            <wp:docPr descr="Figure 1" title="" id="1" name="Picture"/>
            <a:graphic>
              <a:graphicData uri="http://schemas.openxmlformats.org/drawingml/2006/picture">
                <pic:pic>
                  <pic:nvPicPr>
                    <pic:cNvPr descr="figs/figure2.pdf"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w:t>
      </w:r>
    </w:p>
    <w:p>
      <w:pPr>
        <w:pStyle w:val="Heading3"/>
      </w:pPr>
      <w:bookmarkStart w:id="23" w:name="preliminary-data-from-the-moramanga-district"/>
      <w:bookmarkEnd w:id="23"/>
      <w:r>
        <w:t xml:space="preserve">Preliminary data from the Moramanga District</w:t>
      </w:r>
    </w:p>
    <w:p>
      <w:pPr>
        <w:pStyle w:val="Compact"/>
        <w:numPr>
          <w:numId w:val="1002"/>
          <w:ilvl w:val="0"/>
        </w:numPr>
      </w:pPr>
      <w:r>
        <w:t xml:space="preserve">Commune level average travel time to the closest CTAR (generated from global travel time layer from Malaria Atlas Project).</w:t>
      </w:r>
    </w:p>
    <w:p>
      <w:pPr>
        <w:pStyle w:val="Compact"/>
        <w:numPr>
          <w:numId w:val="1002"/>
          <w:ilvl w:val="0"/>
        </w:numPr>
      </w:pPr>
      <w:r>
        <w:t xml:space="preserve">Human population per commune extracted from World Pop</w:t>
      </w:r>
    </w:p>
    <w:p>
      <w:pPr>
        <w:pStyle w:val="Compact"/>
        <w:numPr>
          <w:numId w:val="1002"/>
          <w:ilvl w:val="0"/>
        </w:numPr>
      </w:pPr>
      <w:r>
        <w:t xml:space="preserve">16 months of data on reported animal bites from the Moramanga District in Madagascar</w:t>
      </w:r>
    </w:p>
    <w:p>
      <w:pPr>
        <w:pStyle w:val="Compact"/>
        <w:numPr>
          <w:numId w:val="1002"/>
          <w:ilvl w:val="0"/>
        </w:numPr>
      </w:pPr>
      <w:r>
        <w:t xml:space="preserve">In the next month, we will have 4 years of data on reported animal bites from 20 of the 31 CTAR.</w:t>
      </w:r>
    </w:p>
    <w:p>
      <w:pPr>
        <w:pStyle w:val="Heading4"/>
      </w:pPr>
      <w:bookmarkStart w:id="24" w:name="rationale"/>
      <w:bookmarkEnd w:id="24"/>
      <w:r>
        <w:t xml:space="preserve">Rationale</w:t>
      </w:r>
    </w:p>
    <w:p>
      <w:pPr>
        <w:pStyle w:val="FirstParagraph"/>
      </w:pPr>
      <w:r>
        <w:t xml:space="preserve">Standard decision tree models using overall reported bites would estimate rabies exposures (</w:t>
      </w:r>
      <m:oMath>
        <m:r>
          <m:t>R</m:t>
        </m:r>
      </m:oMath>
      <w:r>
        <w:t xml:space="preserve">) as:</w:t>
      </w:r>
    </w:p>
    <w:p>
      <w:pPr>
        <w:pStyle w:val="BodyText"/>
      </w:pPr>
      <m:oMathPara>
        <m:oMathParaPr>
          <m:jc m:val="center"/>
        </m:oMathParaPr>
        <m:oMath>
          <m:r>
            <m:t>R</m:t>
          </m:r>
          <m:r>
            <m:t>=</m:t>
          </m:r>
          <m:f>
            <m:fPr>
              <m:type m:val="bar"/>
            </m:fPr>
            <m:num>
              <m:r>
                <m:t>B</m:t>
              </m:r>
              <m:r>
                <m:t>×</m:t>
              </m:r>
              <m:sSub>
                <m:e>
                  <m:r>
                    <m:t>p</m:t>
                  </m:r>
                </m:e>
                <m:sub>
                  <m:r>
                    <m:t>r</m:t>
                  </m:r>
                  <m:r>
                    <m:t>a</m:t>
                  </m:r>
                  <m:r>
                    <m:t>b</m:t>
                  </m:r>
                  <m:r>
                    <m:t>i</m:t>
                  </m:r>
                  <m:r>
                    <m:t>d</m:t>
                  </m:r>
                </m:sub>
              </m:sSub>
            </m:num>
            <m:den>
              <m:r>
                <m:t>ρ</m:t>
              </m:r>
            </m:den>
          </m:f>
        </m:oMath>
      </m:oMathPara>
    </w:p>
    <w:p>
      <w:pPr>
        <w:pStyle w:val="FirstParagraph"/>
      </w:pPr>
      <w:r>
        <w:t xml:space="preserve">where</w:t>
      </w:r>
      <w:r>
        <w:t xml:space="preserve"> </w:t>
      </w:r>
      <m:oMath>
        <m:r>
          <m:t>B</m:t>
        </m:r>
      </m:oMath>
      <w:r>
        <w:t xml:space="preserve"> </w:t>
      </w:r>
      <w:r>
        <w:t xml:space="preserve">is the total reported bites,</w:t>
      </w:r>
      <w:r>
        <w:t xml:space="preserve"> </w:t>
      </w:r>
      <m:oMath>
        <m:sSub>
          <m:e>
            <m:r>
              <m:t>p</m:t>
            </m:r>
          </m:e>
          <m:sub>
            <m:r>
              <m:t>r</m:t>
            </m:r>
            <m:r>
              <m:t>a</m:t>
            </m:r>
            <m:r>
              <m:t>b</m:t>
            </m:r>
            <m:r>
              <m:t>i</m:t>
            </m:r>
            <m:r>
              <m:t>d</m:t>
            </m:r>
          </m:sub>
        </m:sSub>
      </m:oMath>
      <w:r>
        <w:t xml:space="preserve"> </w:t>
      </w:r>
      <w:r>
        <w:t xml:space="preserve">is the probability that a reported animal bite is a genuine rabies exposure,</w:t>
      </w:r>
      <w:r>
        <w:t xml:space="preserve"> </w:t>
      </w:r>
      <m:oMath>
        <m:r>
          <m:t>ρ</m:t>
        </m:r>
      </m:oMath>
      <w:r>
        <w:t xml:space="preserve"> </w:t>
      </w:r>
      <w:r>
        <w:t xml:space="preserve">is the probability that a rabies exposure is reported.</w:t>
      </w:r>
    </w:p>
    <w:p>
      <w:pPr>
        <w:pStyle w:val="BodyText"/>
      </w:pPr>
      <w:r>
        <w:t xml:space="preserve">We generate high and low estimates of expected rabies incidence (</w:t>
      </w:r>
      <m:oMath>
        <m:r>
          <m:t>R</m:t>
        </m:r>
      </m:oMath>
      <w:r>
        <w:t xml:space="preserve">) using outputs from a recent modeling study that estimated incidence of human exposures per 100,000 dogs in a no-vaccination scenario and given high and low estimates of human:dog ratios. We can do this in Madagascar because there’s no vacc going on!</w:t>
      </w:r>
    </w:p>
    <w:p>
      <w:pPr>
        <w:pStyle w:val="BodyText"/>
      </w:pPr>
      <w:r>
        <w:t xml:space="preserve">Applying this framework to our data on reported bites in the Moramanga District, we see that estimated rabies incidence exceeds expected incidence in areas with high incidence of reported bites and is lower than expected for areas with little data/low incidence of reported bites (Figure 1).</w:t>
      </w:r>
    </w:p>
    <w:p>
      <w:pPr>
        <w:pStyle w:val="BodyText"/>
      </w:pPr>
      <w:r>
        <w:drawing>
          <wp:inline>
            <wp:extent cx="5334000" cy="4267200"/>
            <wp:effectExtent b="0" l="0" r="0" t="0"/>
            <wp:docPr descr="" title="" id="1" name="Picture"/>
            <a:graphic>
              <a:graphicData uri="http://schemas.openxmlformats.org/drawingml/2006/picture">
                <pic:pic>
                  <pic:nvPicPr>
                    <pic:cNvPr descr="accessPEP3_files/figure-docx/standard%20decision%20tree-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ccessPEP3_files/figure-docx/standard%20decision%20tree-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7" w:name="empirical-estimates-of-p_report-for-each-location-across-a-range-of-scenarios"/>
      <w:bookmarkEnd w:id="27"/>
      <w:r>
        <w:t xml:space="preserve">Empirical estimates of p_report for each location across a range of scenarios</w:t>
      </w:r>
    </w:p>
    <w:p>
      <w:pPr>
        <w:pStyle w:val="FirstParagraph"/>
      </w:pPr>
      <w:r>
        <w:t xml:space="preserve">We can calculate p_report empirically assuming incidence and p_rabid is uniform:</w:t>
      </w:r>
    </w:p>
    <w:p>
      <w:pPr>
        <w:pStyle w:val="BodyText"/>
      </w:pPr>
      <m:oMathPara>
        <m:oMathParaPr>
          <m:jc m:val="center"/>
        </m:oMathParaPr>
        <m:oMath>
          <m:r>
            <m:t>ρ</m:t>
          </m:r>
          <m:r>
            <m:t>=</m:t>
          </m:r>
          <m:f>
            <m:fPr>
              <m:type m:val="bar"/>
            </m:fPr>
            <m:num>
              <m:r>
                <m:t>B</m:t>
              </m:r>
              <m:r>
                <m:t>×</m:t>
              </m:r>
              <m:sSub>
                <m:e>
                  <m:r>
                    <m:t>p</m:t>
                  </m:r>
                </m:e>
                <m:sub>
                  <m:r>
                    <m:t>r</m:t>
                  </m:r>
                  <m:r>
                    <m:t>a</m:t>
                  </m:r>
                  <m:r>
                    <m:t>b</m:t>
                  </m:r>
                  <m:r>
                    <m:t>i</m:t>
                  </m:r>
                  <m:r>
                    <m:t>d</m:t>
                  </m:r>
                </m:sub>
              </m:sSub>
            </m:num>
            <m:den>
              <m:r>
                <m:t>R</m:t>
              </m:r>
            </m:den>
          </m:f>
        </m:oMath>
      </m:oMathPara>
    </w:p>
    <w:p>
      <w:pPr>
        <w:pStyle w:val="FirstParagraph"/>
      </w:pPr>
      <w:r>
        <w:t xml:space="preserve">We constrain</w:t>
      </w:r>
      <w:r>
        <w:t xml:space="preserve"> </w:t>
      </w:r>
      <m:oMath>
        <m:sSub>
          <m:e>
            <m:r>
              <m:t>p</m:t>
            </m:r>
          </m:e>
          <m:sub>
            <m:r>
              <m:t>r</m:t>
            </m:r>
            <m:r>
              <m:t>a</m:t>
            </m:r>
            <m:r>
              <m:t>b</m:t>
            </m:r>
            <m:r>
              <m:t>i</m:t>
            </m:r>
            <m:r>
              <m:t>d</m:t>
            </m:r>
          </m:sub>
        </m:sSub>
      </m:oMath>
      <w:r>
        <w:t xml:space="preserve"> </w:t>
      </w:r>
      <w:r>
        <w:t xml:space="preserve">so that</w:t>
      </w:r>
      <w:r>
        <w:t xml:space="preserve"> </w:t>
      </w:r>
      <m:oMath>
        <m:r>
          <m:t>ρ</m:t>
        </m:r>
      </m:oMath>
      <w:r>
        <w:t xml:space="preserve"> </w:t>
      </w:r>
      <w:r>
        <w:t xml:space="preserve">cannot exceed 1:</w:t>
      </w:r>
    </w:p>
    <w:p>
      <w:pPr>
        <w:pStyle w:val="BodyText"/>
      </w:pPr>
      <m:oMathPara>
        <m:oMathParaPr>
          <m:jc m:val="center"/>
        </m:oMathParaPr>
        <m:oMath>
          <m:sSub>
            <m:e>
              <m:r>
                <m:t>p</m:t>
              </m:r>
            </m:e>
            <m:sub>
              <m:r>
                <m:t>r</m:t>
              </m:r>
              <m:r>
                <m:t>a</m:t>
              </m:r>
              <m:r>
                <m:t>b</m:t>
              </m:r>
              <m:r>
                <m:t>i</m:t>
              </m:r>
              <m:r>
                <m:t>d</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if</m:t>
                    </m:r>
                    <m:r>
                      <m:t> </m:t>
                    </m:r>
                    <m:f>
                      <m:fPr>
                        <m:type m:val="bar"/>
                      </m:fPr>
                      <m:num>
                        <m:r>
                          <m:t>R</m:t>
                        </m:r>
                      </m:num>
                      <m:den>
                        <m:r>
                          <m:t>B</m:t>
                        </m:r>
                      </m:den>
                    </m:f>
                    <m:r>
                      <m:t>&gt;</m:t>
                    </m:r>
                    <m:r>
                      <m:t>1</m:t>
                    </m:r>
                  </m:e>
                </m:mr>
                <m:mr>
                  <m:e>
                    <m:f>
                      <m:fPr>
                        <m:type m:val="bar"/>
                      </m:fPr>
                      <m:num>
                        <m:r>
                          <m:t>R</m:t>
                        </m:r>
                      </m:num>
                      <m:den>
                        <m:r>
                          <m:t>B</m:t>
                        </m:r>
                      </m:den>
                    </m:f>
                    <m:r>
                      <m:t>,</m:t>
                    </m:r>
                  </m:e>
                  <m:e>
                    <m:r>
                      <m:rPr>
                        <m:sty m:val="p"/>
                      </m:rPr>
                      <m:t>otherwise</m:t>
                    </m:r>
                  </m:e>
                </m:mr>
              </m:m>
            </m:e>
          </m:d>
        </m:oMath>
      </m:oMathPara>
    </w:p>
    <w:p>
      <w:pPr>
        <w:pStyle w:val="FirstParagraph"/>
      </w:pPr>
      <w:r>
        <w:t xml:space="preserve">which would give us the highest estimates of reporting for a given incidence level (assumes that the maximum # of bites are reported the</w:t>
      </w:r>
      <w:r>
        <w:t xml:space="preserve"> </w:t>
      </w:r>
      <m:oMath>
        <m:f>
          <m:fPr>
            <m:type m:val="bar"/>
          </m:fPr>
          <m:num>
            <m:r>
              <m:t>R</m:t>
            </m:r>
          </m:num>
          <m:den>
            <m:r>
              <m:t>B</m:t>
            </m:r>
          </m:den>
        </m:f>
        <m:r>
          <m:t>&gt;</m:t>
        </m:r>
        <m:r>
          <m:t>1</m:t>
        </m:r>
      </m:oMath>
      <w:r>
        <w:t xml:space="preserve"> </w:t>
      </w:r>
      <w:r>
        <w:t xml:space="preserve">and that reporting = 1 when</w:t>
      </w:r>
      <w:r>
        <w:t xml:space="preserve"> </w:t>
      </w:r>
      <m:oMath>
        <m:f>
          <m:fPr>
            <m:type m:val="bar"/>
          </m:fPr>
          <m:num>
            <m:r>
              <m:t>R</m:t>
            </m:r>
          </m:num>
          <m:den>
            <m:r>
              <m:t>B</m:t>
            </m:r>
          </m:den>
        </m:f>
        <m:r>
          <m:t>&lt;</m:t>
        </m:r>
        <m:r>
          <m:t>1</m:t>
        </m:r>
      </m:oMath>
      <w:r>
        <w:t xml:space="preserve">). We see that generally reporting decreases with travel time, although this relationship will depend on our assumptions of incidence and</w:t>
      </w:r>
      <w:r>
        <w:t xml:space="preserve"> </w:t>
      </w:r>
      <m:oMath>
        <m:sSub>
          <m:e>
            <m:r>
              <m:t>p</m:t>
            </m:r>
          </m:e>
          <m:sub>
            <m:r>
              <m:t>r</m:t>
            </m:r>
            <m:r>
              <m:t>a</m:t>
            </m:r>
            <m:r>
              <m:t>b</m:t>
            </m:r>
            <m:r>
              <m:t>i</m:t>
            </m:r>
            <m:r>
              <m:t>d</m:t>
            </m:r>
          </m:sub>
        </m:sSub>
      </m:oMath>
      <w:r>
        <w:t xml:space="preserve"> </w:t>
      </w:r>
      <w:r>
        <w:t xml:space="preserve">(Figure 2).</w:t>
      </w:r>
    </w:p>
    <w:p>
      <w:pPr>
        <w:pStyle w:val="Heading4"/>
      </w:pPr>
      <w:bookmarkStart w:id="28" w:name="models-of-reporting-by-travel-time-to-clinic"/>
      <w:bookmarkEnd w:id="28"/>
      <w:r>
        <w:t xml:space="preserve">Models of reporting by travel time to clinic</w:t>
      </w:r>
    </w:p>
    <w:p>
      <w:pPr>
        <w:pStyle w:val="FirstParagraph"/>
      </w:pPr>
      <w:r>
        <w:t xml:space="preserve">To generate more probable estimates of rabies burden given what we know about access to PEP in Maadagascar, we estimate a commune specific reporting rate as a function of travel time (</w:t>
      </w:r>
      <m:oMath>
        <m:r>
          <m:t>T</m:t>
        </m:r>
      </m:oMath>
      <w:r>
        <w:t xml:space="preserve">) to the nearest ARMC given an expected rabies exposures incidence and corresponding</w:t>
      </w:r>
      <w:r>
        <w:t xml:space="preserve"> </w:t>
      </w:r>
      <m:oMath>
        <m:sSub>
          <m:e>
            <m:r>
              <m:t>p</m:t>
            </m:r>
          </m:e>
          <m:sub>
            <m:r>
              <m:t>r</m:t>
            </m:r>
            <m:r>
              <m:t>a</m:t>
            </m:r>
            <m:r>
              <m:t>b</m:t>
            </m:r>
            <m:r>
              <m:t>i</m:t>
            </m:r>
            <m:r>
              <m:t>d</m:t>
            </m:r>
          </m:sub>
        </m:sSub>
      </m:oMath>
      <w:r>
        <w:t xml:space="preserve">:</w:t>
      </w:r>
    </w:p>
    <w:p>
      <w:pPr>
        <w:pStyle w:val="BodyText"/>
      </w:pPr>
      <m:oMathPara>
        <m:oMathParaPr>
          <m:jc m:val="center"/>
        </m:oMathParaPr>
        <m:oMath>
          <m:r>
            <m:t>B</m:t>
          </m:r>
          <m:r>
            <m:t>∼</m:t>
          </m:r>
          <m:r>
            <m:t>P</m:t>
          </m:r>
          <m:r>
            <m:t>o</m:t>
          </m:r>
          <m:r>
            <m:t>i</m:t>
          </m:r>
          <m:r>
            <m:t>s</m:t>
          </m:r>
          <m:r>
            <m:t>s</m:t>
          </m:r>
          <m:r>
            <m:t>o</m:t>
          </m:r>
          <m:r>
            <m:t>n</m:t>
          </m:r>
          <m:r>
            <m:t>(</m:t>
          </m:r>
          <m:f>
            <m:fPr>
              <m:type m:val="bar"/>
            </m:fPr>
            <m:num>
              <m:r>
                <m:t>ρ</m:t>
              </m:r>
              <m:r>
                <m:t>R</m:t>
              </m:r>
            </m:num>
            <m:den>
              <m:sSub>
                <m:e>
                  <m:r>
                    <m:t>p</m:t>
                  </m:r>
                </m:e>
                <m:sub>
                  <m:r>
                    <m:t>r</m:t>
                  </m:r>
                  <m:r>
                    <m:t>a</m:t>
                  </m:r>
                  <m:r>
                    <m:t>b</m:t>
                  </m:r>
                  <m:r>
                    <m:t>i</m:t>
                  </m:r>
                  <m:r>
                    <m:t>d</m:t>
                  </m:r>
                </m:sub>
              </m:sSub>
            </m:den>
          </m:f>
          <m:r>
            <m:t>)</m:t>
          </m:r>
        </m:oMath>
      </m:oMathPara>
    </w:p>
    <w:p>
      <w:pPr>
        <w:pStyle w:val="FirstParagraph"/>
      </w:pPr>
      <m:oMathPara>
        <m:oMathParaPr>
          <m:jc m:val="center"/>
        </m:oMathParaPr>
        <m:oMath>
          <m:r>
            <m:t>ρ</m:t>
          </m:r>
          <m:r>
            <m:t>=</m:t>
          </m:r>
          <m:r>
            <m:t>l</m:t>
          </m:r>
          <m:r>
            <m:t>o</m:t>
          </m:r>
          <m:r>
            <m:t>g</m:t>
          </m:r>
          <m:r>
            <m:t>i</m:t>
          </m:r>
          <m:r>
            <m:t>s</m:t>
          </m:r>
          <m:r>
            <m:t>t</m:t>
          </m:r>
          <m:r>
            <m:t>i</m:t>
          </m:r>
          <m:r>
            <m:t>c</m:t>
          </m:r>
          <m:r>
            <m:t>(</m:t>
          </m:r>
          <m:sSub>
            <m:e>
              <m:r>
                <m:t>B</m:t>
              </m:r>
            </m:e>
            <m:sub>
              <m:r>
                <m:t>t</m:t>
              </m:r>
              <m:r>
                <m:t>t</m:t>
              </m:r>
            </m:sub>
          </m:sSub>
          <m:r>
            <m:t>T</m:t>
          </m:r>
          <m:r>
            <m:t>+</m:t>
          </m:r>
          <m:sSub>
            <m:e>
              <m:r>
                <m:t>B</m:t>
              </m:r>
            </m:e>
            <m:sub>
              <m:r>
                <m:t>0</m:t>
              </m:r>
            </m:sub>
          </m:sSub>
          <m:r>
            <m:t>)</m:t>
          </m:r>
        </m:oMath>
      </m:oMathPara>
    </w:p>
    <w:p>
      <w:pPr>
        <w:pStyle w:val="FirstParagraph"/>
      </w:pPr>
      <m:oMathPara>
        <m:oMathParaPr>
          <m:jc m:val="center"/>
        </m:oMathParaPr>
        <m:oMath>
          <m:sSub>
            <m:e>
              <m:r>
                <m:t>p</m:t>
              </m:r>
            </m:e>
            <m:sub>
              <m:r>
                <m:t>r</m:t>
              </m:r>
              <m:r>
                <m:t>a</m:t>
              </m:r>
              <m:r>
                <m:t>b</m:t>
              </m:r>
              <m:r>
                <m:t>i</m:t>
              </m:r>
              <m:r>
                <m:t>d</m:t>
              </m:r>
            </m:sub>
          </m:sSub>
          <m:r>
            <m:t>=</m:t>
          </m:r>
          <m:d>
            <m:dPr>
              <m:begChr m:val="{"/>
              <m:endChr m:val=""/>
              <m:grow/>
            </m:dPr>
            <m:e>
              <m:m>
                <m:mPr>
                  <m:baseJc m:val="center"/>
                  <m:plcHide m:val="1"/>
                  <m:mcs>
                    <m:mc>
                      <m:mcPr>
                        <m:mcJc m:val="left"/>
                        <m:count m:val="1"/>
                      </m:mcPr>
                    </m:mc>
                    <m:mc>
                      <m:mcPr>
                        <m:mcJc m:val="left"/>
                        <m:count m:val="1"/>
                      </m:mcPr>
                    </m:mc>
                  </m:mcs>
                </m:mPr>
                <m:mr>
                  <m:e>
                    <m:r>
                      <m:t>x</m:t>
                    </m:r>
                    <m:r>
                      <m:t>,</m:t>
                    </m:r>
                  </m:e>
                  <m:e>
                    <m:r>
                      <m:rPr>
                        <m:sty m:val="p"/>
                      </m:rPr>
                      <m:t>if</m:t>
                    </m:r>
                    <m:r>
                      <m:t> </m:t>
                    </m:r>
                    <m:f>
                      <m:fPr>
                        <m:type m:val="bar"/>
                      </m:fPr>
                      <m:num>
                        <m:r>
                          <m:t>R</m:t>
                        </m:r>
                      </m:num>
                      <m:den>
                        <m:r>
                          <m:t>B</m:t>
                        </m:r>
                      </m:den>
                    </m:f>
                    <m:r>
                      <m:t>&gt;</m:t>
                    </m:r>
                    <m:r>
                      <m:t>x</m:t>
                    </m:r>
                  </m:e>
                </m:mr>
                <m:mr>
                  <m:e>
                    <m:f>
                      <m:fPr>
                        <m:type m:val="bar"/>
                      </m:fPr>
                      <m:num>
                        <m:r>
                          <m:t>R</m:t>
                        </m:r>
                      </m:num>
                      <m:den>
                        <m:r>
                          <m:t>B</m:t>
                        </m:r>
                      </m:den>
                    </m:f>
                    <m:r>
                      <m:t>,</m:t>
                    </m:r>
                  </m:e>
                  <m:e>
                    <m:r>
                      <m:rPr>
                        <m:sty m:val="p"/>
                      </m:rPr>
                      <m:t>otherwise</m:t>
                    </m:r>
                  </m:e>
                </m:mr>
              </m:m>
            </m:e>
          </m:d>
        </m:oMath>
      </m:oMathPara>
    </w:p>
    <w:p>
      <w:pPr>
        <w:pStyle w:val="FirstParagraph"/>
      </w:pPr>
      <w:r>
        <w:t xml:space="preserve">We estimate the potential relationship between travel time and reporting (</w:t>
      </w:r>
      <m:oMath>
        <m:sSub>
          <m:e>
            <m:r>
              <m:t>B</m:t>
            </m:r>
          </m:e>
          <m:sub>
            <m:r>
              <m:t>t</m:t>
            </m:r>
            <m:r>
              <m:t>t</m:t>
            </m:r>
          </m:sub>
        </m:sSub>
      </m:oMath>
      <w:r>
        <w:t xml:space="preserve"> </w:t>
      </w:r>
      <w:r>
        <w:t xml:space="preserve">and</w:t>
      </w:r>
      <w:r>
        <w:t xml:space="preserve"> </w:t>
      </w:r>
      <m:oMath>
        <m:sSub>
          <m:e>
            <m:r>
              <m:t>B</m:t>
            </m:r>
          </m:e>
          <m:sub>
            <m:r>
              <m:t>0</m:t>
            </m:r>
          </m:sub>
        </m:sSub>
      </m:oMath>
      <w:r>
        <w:t xml:space="preserve">) given high and low estimates of incidence and high, mid, and low proportion rabid (</w:t>
      </w:r>
      <m:oMath>
        <m:r>
          <m:t>x</m:t>
        </m:r>
      </m:oMath>
      <w:r>
        <w:t xml:space="preserve"> </w:t>
      </w:r>
      <w:r>
        <w:t xml:space="preserve">= 0.25, 0.5, or 0.75).</w:t>
      </w:r>
    </w:p>
    <w:p>
      <w:pPr>
        <w:pStyle w:val="BodyText"/>
      </w:pPr>
      <w:r>
        <w:drawing>
          <wp:inline>
            <wp:extent cx="5334000" cy="4267200"/>
            <wp:effectExtent b="0" l="0" r="0" t="0"/>
            <wp:docPr descr="" title="" id="1" name="Picture"/>
            <a:graphic>
              <a:graphicData uri="http://schemas.openxmlformats.org/drawingml/2006/picture">
                <pic:pic>
                  <pic:nvPicPr>
                    <pic:cNvPr descr="accessPEP3_files/figure-docx/Annual%20jags%20model%20with%20p_rabid%20+%20p_report%20estimated,%20high%20incidence-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ccessPEP3_files/figure-docx/Annual%20jags%20model%20with%20p_rabid%20+%20p_report%20estimated,%20high%20incidence-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1" w:name="estimating"/>
      <w:bookmarkEnd w:id="31"/>
      <w:r>
        <w:t xml:space="preserve">Estimating</w:t>
      </w:r>
    </w:p>
    <w:p>
      <w:pPr>
        <w:pStyle w:val="FirstParagraph"/>
      </w:pPr>
      <w:r>
        <w:drawing>
          <wp:inline>
            <wp:extent cx="5334000" cy="4267200"/>
            <wp:effectExtent b="0" l="0" r="0" t="0"/>
            <wp:docPr descr="" title="" id="1" name="Picture"/>
            <a:graphic>
              <a:graphicData uri="http://schemas.openxmlformats.org/drawingml/2006/picture">
                <pic:pic>
                  <pic:nvPicPr>
                    <pic:cNvPr descr="accessPEP3_files/figure-docx/Annual%20jags%20model-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ccessPEP3_files/figure-docx/Annual%20jags%20model-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ccessPEP3_files/figure-docx/Annual%20jags%20model-3.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bd3270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f85087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2" Target="media/rId22.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Access to Rabies Post-Exposure Prophylaxis in Madagascar</dc:title>
  <dc:creator>Malavika Rajeev</dc:creator>
  <dcterms:created xsi:type="dcterms:W3CDTF">2018-07-19T19:13:29Z</dcterms:created>
  <dcterms:modified xsi:type="dcterms:W3CDTF">2018-07-19T19:13:29Z</dcterms:modified>
</cp:coreProperties>
</file>