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Project Management Guidelines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Project Initiation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All projects must have a formally approved business case and identified sponsor before initiation.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2. Planning Requirements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Projects must define scope, schedule, budget, risks, and quality criteria prior to execution.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3. Governance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Projects above $250,000 require steering committee oversight and monthly reporting.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4. Change Management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All scope or budget changes must follow the approved change control process.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5. Closure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Projects must complete formal closure, including benefits review and lessons learned documentation.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