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D33F" w14:textId="77777777" w:rsidR="0028327D" w:rsidRDefault="0028327D" w:rsidP="0028327D">
      <w:pPr>
        <w:pStyle w:val="Title"/>
        <w:rPr>
          <w:rFonts w:ascii="Times New Roman" w:hAnsi="Times New Roman" w:cs="Times New Roman"/>
          <w:sz w:val="48"/>
          <w:szCs w:val="48"/>
          <w:lang w:val="en-GB"/>
        </w:rPr>
      </w:pPr>
      <w:r>
        <w:rPr>
          <w:rFonts w:ascii="Times New Roman" w:hAnsi="Times New Roman" w:cs="Times New Roman"/>
          <w:sz w:val="48"/>
          <w:szCs w:val="48"/>
          <w:lang w:val="en-GB"/>
        </w:rPr>
        <w:t>Synthetic Tabular Data Generation for Privacy-Preserving Machine Learning</w:t>
      </w:r>
    </w:p>
    <w:p w14:paraId="08E74DE0" w14:textId="77777777" w:rsidR="0028327D" w:rsidRPr="0028327D" w:rsidRDefault="0028327D" w:rsidP="0028327D">
      <w:pPr>
        <w:rPr>
          <w:lang w:val="en-GB"/>
        </w:rPr>
      </w:pPr>
    </w:p>
    <w:p w14:paraId="45C2C615" w14:textId="77777777" w:rsidR="00663008" w:rsidRDefault="0028327D" w:rsidP="00663008">
      <w:pPr>
        <w:pStyle w:val="Abstract"/>
        <w:spacing w:after="0"/>
        <w:ind w:firstLine="113"/>
        <w:jc w:val="center"/>
        <w:rPr>
          <w:iCs/>
          <w:sz w:val="22"/>
          <w:szCs w:val="22"/>
          <w:lang w:val="en-GB"/>
        </w:rPr>
      </w:pPr>
      <w:r>
        <w:rPr>
          <w:iCs/>
          <w:sz w:val="22"/>
          <w:szCs w:val="22"/>
          <w:lang w:val="en-GB"/>
        </w:rPr>
        <w:t>MD Rakib Hossain</w:t>
      </w:r>
    </w:p>
    <w:p w14:paraId="31B48DC4" w14:textId="77777777" w:rsidR="00663008" w:rsidRDefault="00663008" w:rsidP="00663008">
      <w:pPr>
        <w:pStyle w:val="Abstract"/>
        <w:spacing w:after="0" w:line="120" w:lineRule="auto"/>
        <w:ind w:firstLine="113"/>
        <w:jc w:val="center"/>
        <w:rPr>
          <w:iCs/>
          <w:sz w:val="22"/>
          <w:szCs w:val="22"/>
          <w:lang w:val="en-GB"/>
        </w:rPr>
      </w:pPr>
    </w:p>
    <w:p w14:paraId="5B4AD356" w14:textId="757933BD" w:rsidR="0028327D" w:rsidRPr="00663008" w:rsidRDefault="0028327D" w:rsidP="00663008">
      <w:pPr>
        <w:pStyle w:val="Abstract"/>
        <w:spacing w:after="0"/>
        <w:ind w:firstLine="113"/>
        <w:jc w:val="center"/>
        <w:rPr>
          <w:iCs/>
          <w:sz w:val="22"/>
          <w:szCs w:val="22"/>
          <w:lang w:val="en-GB"/>
        </w:rPr>
      </w:pPr>
      <w:r>
        <w:rPr>
          <w:b w:val="0"/>
          <w:bCs w:val="0"/>
          <w:iCs/>
          <w:sz w:val="20"/>
          <w:szCs w:val="20"/>
          <w:lang w:val="en-GB"/>
        </w:rPr>
        <w:t>School of Arts, Humanities and Social Science, University of Roehampton, London, UK</w:t>
      </w:r>
    </w:p>
    <w:p w14:paraId="609A7DDB" w14:textId="77777777" w:rsidR="0028327D" w:rsidRPr="0028327D" w:rsidRDefault="0028327D" w:rsidP="00663008">
      <w:pPr>
        <w:pStyle w:val="Abstract"/>
        <w:spacing w:after="0"/>
        <w:ind w:firstLine="113"/>
        <w:jc w:val="center"/>
        <w:rPr>
          <w:b w:val="0"/>
          <w:bCs w:val="0"/>
          <w:iCs/>
          <w:sz w:val="20"/>
          <w:szCs w:val="20"/>
          <w:lang w:val="en-GB"/>
        </w:rPr>
      </w:pPr>
      <w:r>
        <w:rPr>
          <w:b w:val="0"/>
          <w:bCs w:val="0"/>
          <w:iCs/>
          <w:sz w:val="20"/>
          <w:szCs w:val="20"/>
          <w:lang w:val="en-GB"/>
        </w:rPr>
        <w:t>Student ID: A00057300  |  Deep Learning Applications (CMP020L016)</w:t>
      </w:r>
    </w:p>
    <w:p w14:paraId="50B4108D" w14:textId="77777777" w:rsidR="00663008" w:rsidRDefault="0028327D" w:rsidP="00663008">
      <w:pPr>
        <w:pStyle w:val="Abstract"/>
        <w:spacing w:after="0"/>
        <w:ind w:firstLine="113"/>
        <w:jc w:val="center"/>
        <w:rPr>
          <w:i/>
          <w:sz w:val="20"/>
          <w:szCs w:val="20"/>
        </w:rPr>
      </w:pPr>
      <w:hyperlink r:id="rId8" w:history="1">
        <w:r>
          <w:rPr>
            <w:rStyle w:val="Hyperlink"/>
            <w:i/>
            <w:sz w:val="20"/>
            <w:szCs w:val="20"/>
            <w:lang w:val="en-GB"/>
          </w:rPr>
          <w:t>hossainm13@roehampton.ac.uk</w:t>
        </w:r>
      </w:hyperlink>
    </w:p>
    <w:p w14:paraId="3313FCBA" w14:textId="77777777" w:rsidR="000D58AA" w:rsidRDefault="000D58AA" w:rsidP="00663008">
      <w:pPr>
        <w:pStyle w:val="Abstract"/>
        <w:spacing w:after="0"/>
        <w:ind w:firstLine="113"/>
        <w:jc w:val="center"/>
        <w:rPr>
          <w:i/>
          <w:sz w:val="20"/>
          <w:szCs w:val="20"/>
        </w:rPr>
      </w:pPr>
    </w:p>
    <w:tbl>
      <w:tblPr>
        <w:tblW w:w="1060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2"/>
        <w:gridCol w:w="8305"/>
      </w:tblGrid>
      <w:tr w:rsidR="000D58AA" w:rsidRPr="000D58AA" w14:paraId="33C4A2D8" w14:textId="3381AC26" w:rsidTr="000D58AA">
        <w:trPr>
          <w:trHeight w:val="267"/>
        </w:trPr>
        <w:tc>
          <w:tcPr>
            <w:tcW w:w="2302" w:type="dxa"/>
            <w:shd w:val="clear" w:color="auto" w:fill="DEEAF6" w:themeFill="accent1" w:themeFillTint="33"/>
          </w:tcPr>
          <w:p w14:paraId="5E490EAB" w14:textId="78F11102" w:rsidR="000D58AA" w:rsidRPr="000D58AA" w:rsidRDefault="000D58AA" w:rsidP="00663008">
            <w:pPr>
              <w:pStyle w:val="Abstract"/>
              <w:spacing w:after="0"/>
              <w:ind w:firstLine="0"/>
              <w:jc w:val="center"/>
              <w:rPr>
                <w:b w:val="0"/>
                <w:bCs w:val="0"/>
                <w:iCs/>
                <w:sz w:val="17"/>
                <w:szCs w:val="17"/>
              </w:rPr>
            </w:pPr>
            <w:r>
              <w:rPr>
                <w:b w:val="0"/>
                <w:bCs w:val="0"/>
                <w:iCs/>
                <w:sz w:val="17"/>
                <w:szCs w:val="17"/>
              </w:rPr>
              <w:t>GitHub Repository</w:t>
            </w:r>
          </w:p>
        </w:tc>
        <w:tc>
          <w:tcPr>
            <w:tcW w:w="8305" w:type="dxa"/>
            <w:shd w:val="clear" w:color="auto" w:fill="DEEAF6" w:themeFill="accent1" w:themeFillTint="33"/>
          </w:tcPr>
          <w:p w14:paraId="10B5EBC6" w14:textId="6F6ED0D7" w:rsidR="000D58AA" w:rsidRPr="000D58AA" w:rsidRDefault="00192E22" w:rsidP="00663008">
            <w:pPr>
              <w:pStyle w:val="Abstract"/>
              <w:spacing w:after="0"/>
              <w:ind w:firstLine="0"/>
              <w:jc w:val="center"/>
              <w:rPr>
                <w:b w:val="0"/>
                <w:bCs w:val="0"/>
                <w:iCs/>
                <w:sz w:val="20"/>
                <w:szCs w:val="20"/>
              </w:rPr>
            </w:pPr>
            <w:hyperlink r:id="rId9" w:history="1">
              <w:r>
                <w:rPr>
                  <w:rStyle w:val="Hyperlink"/>
                  <w:b w:val="0"/>
                  <w:bCs w:val="0"/>
                  <w:iCs/>
                  <w:sz w:val="20"/>
                  <w:szCs w:val="20"/>
                </w:rPr>
                <w:t>https://github.com/mrakib00/synthetic-data-generation-project</w:t>
              </w:r>
            </w:hyperlink>
          </w:p>
        </w:tc>
      </w:tr>
      <w:tr w:rsidR="000D58AA" w:rsidRPr="000D58AA" w14:paraId="585D2E80" w14:textId="1CFBE764" w:rsidTr="000D58AA">
        <w:trPr>
          <w:trHeight w:val="327"/>
        </w:trPr>
        <w:tc>
          <w:tcPr>
            <w:tcW w:w="2302" w:type="dxa"/>
            <w:shd w:val="clear" w:color="auto" w:fill="BDD6EE" w:themeFill="accent1" w:themeFillTint="66"/>
          </w:tcPr>
          <w:p w14:paraId="5D4C6F78" w14:textId="14006E6F" w:rsidR="000D58AA" w:rsidRPr="000D58AA" w:rsidRDefault="000D58AA" w:rsidP="00663008">
            <w:pPr>
              <w:pStyle w:val="Abstract"/>
              <w:spacing w:after="0"/>
              <w:ind w:firstLine="0"/>
              <w:jc w:val="center"/>
              <w:rPr>
                <w:b w:val="0"/>
                <w:bCs w:val="0"/>
                <w:iCs/>
                <w:sz w:val="20"/>
                <w:szCs w:val="20"/>
              </w:rPr>
            </w:pPr>
            <w:r>
              <w:rPr>
                <w:b w:val="0"/>
                <w:bCs w:val="0"/>
                <w:iCs/>
                <w:sz w:val="20"/>
                <w:szCs w:val="20"/>
              </w:rPr>
              <w:t>Google Colab</w:t>
            </w:r>
          </w:p>
        </w:tc>
        <w:tc>
          <w:tcPr>
            <w:tcW w:w="8305" w:type="dxa"/>
            <w:shd w:val="clear" w:color="auto" w:fill="BDD6EE" w:themeFill="accent1" w:themeFillTint="66"/>
          </w:tcPr>
          <w:p w14:paraId="06E8B63B" w14:textId="51CBE868" w:rsidR="000D58AA" w:rsidRPr="000D58AA" w:rsidRDefault="00192E22" w:rsidP="00192E22">
            <w:pPr>
              <w:pStyle w:val="Abstract"/>
              <w:spacing w:after="0"/>
              <w:ind w:firstLine="0"/>
              <w:jc w:val="center"/>
              <w:rPr>
                <w:b w:val="0"/>
                <w:bCs w:val="0"/>
                <w:iCs/>
                <w:sz w:val="20"/>
                <w:szCs w:val="20"/>
              </w:rPr>
            </w:pPr>
            <w:hyperlink r:id="rId10" w:history="1">
              <w:r>
                <w:rPr>
                  <w:rStyle w:val="Hyperlink"/>
                  <w:b w:val="0"/>
                  <w:bCs w:val="0"/>
                  <w:iCs/>
                  <w:sz w:val="20"/>
                  <w:szCs w:val="20"/>
                </w:rPr>
                <w:t>https://colab.research.google.com/drive/1owK8okNe_De1HG-RmEAo0bTyjPtWUsQe#scrollTo=XtNJeRhN43ig</w:t>
              </w:r>
            </w:hyperlink>
          </w:p>
        </w:tc>
      </w:tr>
      <w:tr w:rsidR="000D58AA" w:rsidRPr="000D58AA" w14:paraId="6A381E31" w14:textId="0D349144" w:rsidTr="000D58AA">
        <w:trPr>
          <w:trHeight w:val="297"/>
        </w:trPr>
        <w:tc>
          <w:tcPr>
            <w:tcW w:w="2302" w:type="dxa"/>
            <w:shd w:val="clear" w:color="auto" w:fill="DEEAF6" w:themeFill="accent1" w:themeFillTint="33"/>
          </w:tcPr>
          <w:p w14:paraId="37EBC02C" w14:textId="2DBC317A" w:rsidR="000D58AA" w:rsidRPr="000D58AA" w:rsidRDefault="000D58AA" w:rsidP="00663008">
            <w:pPr>
              <w:pStyle w:val="Abstract"/>
              <w:spacing w:after="0"/>
              <w:ind w:firstLine="0"/>
              <w:jc w:val="center"/>
              <w:rPr>
                <w:b w:val="0"/>
                <w:bCs w:val="0"/>
                <w:iCs/>
                <w:sz w:val="20"/>
                <w:szCs w:val="20"/>
              </w:rPr>
            </w:pPr>
            <w:r>
              <w:rPr>
                <w:b w:val="0"/>
                <w:bCs w:val="0"/>
                <w:iCs/>
                <w:sz w:val="20"/>
                <w:szCs w:val="20"/>
              </w:rPr>
              <w:t>YouTube Demonstration</w:t>
            </w:r>
          </w:p>
        </w:tc>
        <w:tc>
          <w:tcPr>
            <w:tcW w:w="8305" w:type="dxa"/>
            <w:shd w:val="clear" w:color="auto" w:fill="DEEAF6" w:themeFill="accent1" w:themeFillTint="33"/>
          </w:tcPr>
          <w:p w14:paraId="34B59394" w14:textId="77777777" w:rsidR="000D58AA" w:rsidRPr="000D58AA" w:rsidRDefault="000D58AA" w:rsidP="00663008">
            <w:pPr>
              <w:pStyle w:val="Abstract"/>
              <w:spacing w:after="0"/>
              <w:ind w:firstLine="0"/>
              <w:jc w:val="center"/>
              <w:rPr>
                <w:b w:val="0"/>
                <w:bCs w:val="0"/>
                <w:iCs/>
                <w:sz w:val="20"/>
                <w:szCs w:val="20"/>
              </w:rPr>
            </w:pPr>
          </w:p>
        </w:tc>
      </w:tr>
    </w:tbl>
    <w:p w14:paraId="3DD46241" w14:textId="77777777" w:rsidR="00663008" w:rsidRPr="000D58AA" w:rsidRDefault="00663008" w:rsidP="00663008">
      <w:pPr>
        <w:pStyle w:val="Abstract"/>
        <w:spacing w:after="0"/>
        <w:ind w:firstLine="113"/>
        <w:jc w:val="center"/>
        <w:rPr>
          <w:b w:val="0"/>
          <w:bCs w:val="0"/>
          <w:iCs/>
          <w:sz w:val="20"/>
          <w:szCs w:val="20"/>
        </w:rPr>
      </w:pPr>
    </w:p>
    <w:p w14:paraId="5DF8CA1B" w14:textId="04B36190" w:rsidR="0028327D" w:rsidRPr="000D58AA" w:rsidRDefault="0028327D" w:rsidP="000D58AA">
      <w:pPr>
        <w:pStyle w:val="Abstract"/>
        <w:rPr>
          <w:b w:val="0"/>
          <w:bCs w:val="0"/>
          <w:iCs/>
          <w:lang w:val="en-GB"/>
        </w:rPr>
        <w:sectPr w:rsidR="0028327D" w:rsidRPr="000D58AA" w:rsidSect="0028327D">
          <w:pgSz w:w="11906" w:h="16838"/>
          <w:pgMar w:top="720" w:right="720" w:bottom="720" w:left="720" w:header="907" w:footer="907" w:gutter="0"/>
          <w:cols w:space="454"/>
          <w:docGrid w:linePitch="272"/>
        </w:sectPr>
      </w:pPr>
    </w:p>
    <w:p w14:paraId="780D39FB" w14:textId="7DD416A1" w:rsidR="008D719D" w:rsidRPr="0028327D" w:rsidRDefault="00000000" w:rsidP="004F60CA">
      <w:pPr>
        <w:pStyle w:val="Abstract"/>
        <w:ind w:firstLine="0"/>
        <w:rPr>
          <w:i/>
        </w:rPr>
      </w:pPr>
      <w:r>
        <w:rPr>
          <w:i/>
        </w:rPr>
        <w:t>Abstract</w:t>
      </w:r>
      <w:r>
        <w:t>--This paper presents the complete Milestone 4 report for a deep learning project on privacy-preserving synthetic tabular data generation. The Conditional Tabular GAN (CTGAN) is trained on the UCI Adult Census Income dataset (48,842 records, 14 features and 1 binary target label). Four training configurations are compared across fidelity, utility, and privacy dimensions. The best model, 200 epochs with embedding dimension 256 (Long configuration), achieves an SDV Quality Score of 82.4%, TSTR accuracy of 81.8% (95.9% utility retention), macro F1 of 0.700, and AUC-ROC of 0.881. A membership inference attack returns 53.1% accuracy, confirming no meaningful memorisation of training records. Capital-gain and capital-loss columns remain the principal weakness due to zero-inflation, a structural VGM limitation. The model is deployed as a Gradio web interface on Google Colab.</w:t>
      </w:r>
    </w:p>
    <w:p w14:paraId="2E765CCD" w14:textId="77777777" w:rsidR="008D719D" w:rsidRDefault="004F60CA" w:rsidP="004F60CA">
      <w:pPr>
        <w:pStyle w:val="Keywords"/>
        <w:ind w:firstLine="0"/>
      </w:pPr>
      <w:r>
        <w:t xml:space="preserve">         Keywords--synthetic data generation; CTGAN; GAN; privacy-preserving ML; TSTR; SDV Quality Report; membership inference attack; tabular data.</w:t>
      </w:r>
    </w:p>
    <w:p w14:paraId="0DD2FFD0" w14:textId="77777777" w:rsidR="00B9258C" w:rsidRDefault="00B9258C">
      <w:pPr>
        <w:pStyle w:val="BodyText"/>
      </w:pPr>
    </w:p>
    <w:p w14:paraId="616F8F7F" w14:textId="77777777" w:rsidR="00B9258C" w:rsidRDefault="00B9258C" w:rsidP="000D58AA">
      <w:pPr>
        <w:pStyle w:val="BodyText"/>
        <w:ind w:firstLine="0"/>
      </w:pPr>
    </w:p>
    <w:p w14:paraId="0FE0F74C" w14:textId="77777777" w:rsidR="00B9258C" w:rsidRDefault="00B9258C">
      <w:pPr>
        <w:pStyle w:val="BodyText"/>
      </w:pPr>
    </w:p>
    <w:p w14:paraId="0A000001" w14:textId="77777777" w:rsidR="00000000" w:rsidRDefault="00000000">
      <w:pPr>
        <w:pStyle w:val="Heading1"/>
        <w:jc w:val="both"/>
      </w:pPr>
      <w:r>
        <w:t>INTRODUCTION</w:t>
      </w:r>
    </w:p>
    <w:p w14:paraId="0A000002" w14:textId="77777777" w:rsidR="00000000" w:rsidRDefault="00000000">
      <w:pPr>
        <w:pStyle w:val="BodyText"/>
      </w:pPr>
      <w:r>
        <w:t>The exponential growth of data-driven machine learning has created a fundamental tension between the value of sharing datasets and the legal and ethical obligations to protect individual privacy. Regulations such as the General Data Protection Regulation (GDPR) [1] and the Health Insurance Portability and Accountability Act (HIPAA) impose strict constraints on how personal data may be collected, processed, and shared. In many research and commercial contexts, access to real data is either heavily restricted</w:t>
      </w:r>
      <w:r>
        <w:t xml:space="preserve"> or entirely unavailable prior to regulatory approval, creating a significant bottleneck in model development pipelines.</w:t>
      </w:r>
    </w:p>
    <w:p w14:paraId="0A000003" w14:textId="77777777" w:rsidR="00000000" w:rsidRDefault="00000000">
      <w:pPr>
        <w:pStyle w:val="BodyText"/>
      </w:pPr>
      <w:r>
        <w:t>This project addresses that tension by building and evaluating a privacy-preserving synthetic data generation pipeline based on the Conditional Tabular Generative Adversarial Network (CTGAN) [3]. The objective is to generate synthetic tabular records that faithfully reproduce the statistical properties of a real census dataset without exposing any individual record, thereby enabling downstream machine learning tasks to proceed as if real data were available. The project further aims to quantify the fidelity</w:t>
      </w:r>
      <w:r>
        <w:t>, utility, and privacy of the generated data through a rigorous multi-metric evaluation framework.</w:t>
      </w:r>
    </w:p>
    <w:p w14:paraId="0A000004" w14:textId="77777777" w:rsidR="00000000" w:rsidRDefault="00000000">
      <w:pPr>
        <w:pStyle w:val="BodyText"/>
      </w:pPr>
      <w:r>
        <w:t xml:space="preserve">The significance of this work extends beyond academic benchmarking. A practical synthetic data pipeline enables organisations to share data for research without breaching privacy regulations, supports model development in data-scarce </w:t>
      </w:r>
      <w:r>
        <w:t>environments, and can address class imbalance by generating additional minority-class examples. The UCI Adult Census Income dataset [10] was selected as the benchmark because it contains the mixed column types, skewed distributions, and class imbalance that characterise real-world tabular data, and because published CTGAN results on this dataset allow direct comparison.</w:t>
      </w:r>
    </w:p>
    <w:p w14:paraId="0A000005" w14:textId="77777777" w:rsidR="00000000" w:rsidRDefault="00000000">
      <w:pPr>
        <w:pStyle w:val="BodyText"/>
      </w:pPr>
      <w:r>
        <w:t>This report covers the complete Milestone 4 pipeline: dataset preparation, model architecture, a 2×2 hyperparameter experiment across embedding dimension and epoch count, multi-dimensional evaluation (fidelity, utility, and privacy), deployment as a Gradio web interface, and a critical analysis of limitations and future directions. The best-performing configuration achieves an SDV Quality Score of 82.4%, a Train-on-Synthetic Test-on-Real (TSTR) accuracy of 81.8% with 95.9% utility retention, and a membershi</w:t>
      </w:r>
      <w:r>
        <w:t>p inference attack accuracy of 53.1%, below the 55% memorisation threshold.</w:t>
      </w:r>
    </w:p>
    <w:p w14:paraId="0A000010" w14:textId="77777777" w:rsidR="00000000" w:rsidRDefault="00000000">
      <w:pPr>
        <w:pStyle w:val="Heading1"/>
        <w:jc w:val="both"/>
      </w:pPr>
      <w:r>
        <w:t>LITERATURE REVIEW</w:t>
      </w:r>
    </w:p>
    <w:p w14:paraId="0A000011" w14:textId="77777777" w:rsidR="00000000" w:rsidRDefault="00000000">
      <w:pPr>
        <w:pStyle w:val="BodyText"/>
      </w:pPr>
      <w:r>
        <w:t>Synthetic data generation has attracted sustained research interest as a privacy-preserving alternative to real data sharing. Early approaches relied on statistical models; Bayesian networks [cf. 6] can capture conditional dependencies but scale poorly beyond 15 columns and cannot model non-linear relationships. SMOTE [4] generates minority-class samples through interpolation within the feature space but is designed for over-sampling rather than full dataset synthesis, and cannot reproduce the marginal dist</w:t>
      </w:r>
      <w:r>
        <w:t>ributions of continuous columns with complex shapes.</w:t>
      </w:r>
    </w:p>
    <w:p w14:paraId="0A000012" w14:textId="77777777" w:rsidR="00000000" w:rsidRDefault="00000000">
      <w:pPr>
        <w:pStyle w:val="BodyText"/>
      </w:pPr>
      <w:r>
        <w:t>Generative Adversarial Networks (GANs), introduced by Goodfellow et al. [5], transformed generative modelling but were designed for continuous, homogeneous data such as images. Applying standard GANs to tabular data produces poor results because categorical columns cannot be generated via direct softmax outputs without conditional guidance, and skewed numerical distributions cause mode collapse. The Wasserstein GAN with gradient penalty (WGAN-GP) [9] addressed training instability but did not resolve the ta</w:t>
      </w:r>
      <w:r>
        <w:t>bular domain challenges.</w:t>
      </w:r>
    </w:p>
    <w:p w14:paraId="0A000013" w14:textId="77777777" w:rsidR="00000000" w:rsidRDefault="00000000">
      <w:pPr>
        <w:pStyle w:val="BodyText"/>
      </w:pPr>
      <w:r>
        <w:t>CTGAN [3] was the first method to directly target both tabular-specific problems. Its two core innovations—Variational Gaussian Mixture (VGM) normalisation for continuous columns and conditional training with log-frequency sampling for categorical columns—produce substantially better fidelity than generic GANs on mixed-type data. The Synthetic Data Vault (SDV) library [8] made CTGAN accessible to practitioners and introduced the QualityReport scoring framework used in this project.</w:t>
      </w:r>
    </w:p>
    <w:p w14:paraId="0A000014" w14:textId="77777777" w:rsidR="00000000" w:rsidRDefault="00000000">
      <w:pPr>
        <w:pStyle w:val="BodyText"/>
      </w:pPr>
      <w:r>
        <w:t xml:space="preserve">More recent work has challenged CTGAN’s dominance. STaSy [7] uses score-based diffusion matching and achieves </w:t>
      </w:r>
      <w:r>
        <w:lastRenderedPageBreak/>
        <w:t>superior benchmark results on several tabular datasets, at the cost of substantially greater implementation complexity. TabDDPM [18] applies denoising diffusion probabilistic models to tabular data and outperforms CTGAN on utility metrics in controlled comparisons, but requires careful tuning of the noise schedule and is not yet available in a maintained library comparable to SDV. CopulaGAN [6] combines copula theory with a GAN framework but requires distributional assumptions that do not hold for the heavi</w:t>
      </w:r>
      <w:r>
        <w:t>ly skewed capital columns in the Adult dataset.</w:t>
      </w:r>
    </w:p>
    <w:p w14:paraId="0A000015" w14:textId="77777777" w:rsidR="00000000" w:rsidRDefault="00000000">
      <w:pPr>
        <w:pStyle w:val="BodyText"/>
      </w:pPr>
      <w:r>
        <w:t>Privacy evaluation methodology has also matured considerably. Shokri et al. [12] introduced membership inference attacks (MIA) as a principled measure of model memorisation. Stadler et al. [13] demonstrated that naive synthetic data can be vulnerable to MIA even when it appears statistically similar to the original, establishing the 55% MIA accuracy threshold used in this project as a practical safety boundary. For regulated domains, differential privacy extensions such as DP-CTGAN [15] and PATE-GAN [16] pr</w:t>
      </w:r>
      <w:r>
        <w:t>ovide formal guarantees, though at a measurable cost to data utility. The current project does not apply formal differential privacy, which is identified as a primary future enhancement.</w:t>
      </w:r>
    </w:p>
    <w:p w14:paraId="0A000016" w14:textId="77777777" w:rsidR="00000000" w:rsidRDefault="00000000">
      <w:pPr>
        <w:pStyle w:val="BodyText"/>
      </w:pPr>
      <w:r>
        <w:t>The Train-on-Synthetic Test-on-Real (TSTR) evaluation protocol, introduced by Esteban et al. [25] in the context of medical time-series data, has become the standard utility benchmark for synthetic tabular data. Jordon et al. [20] provide a comprehensive taxonomy of synthetic data quality metrics, distinguishing fidelity (distributional similarity), utility (downstream task performance), and privacy (resistance to re-identification), the same three-dimensional framework adopted in this project. This project</w:t>
      </w:r>
      <w:r>
        <w:t xml:space="preserve"> therefore builds on an established methodological foundation while applying it to a widely used census benchmark.</w:t>
      </w:r>
    </w:p>
    <w:p w14:paraId="447BD143" w14:textId="7C914D17" w:rsidR="008D719D" w:rsidRDefault="00000000" w:rsidP="00B9258C">
      <w:pPr>
        <w:pStyle w:val="Heading1"/>
        <w:jc w:val="both"/>
      </w:pPr>
      <w:r>
        <w:t>BACKGROUND AND PROBLEM DEFINITION</w:t>
      </w:r>
    </w:p>
    <w:p w14:paraId="5D17C916" w14:textId="77777777" w:rsidR="008D719D" w:rsidRDefault="00000000">
      <w:pPr>
        <w:pStyle w:val="BodyText"/>
      </w:pPr>
      <w:r>
        <w:t>GDPR [1] and HIPAA impose strict controls on sharing personal data, even for legitimate research. Traditional anonymisation such as k-anonymity [2] is insufficient: re-identification attacks reconstruct personal identities from combinations of quasi-identifiers that appear harmless in isolation. The challenge this project addresses is generating synthetic tabular records that preserve the statistical structure of a real dataset without exposing any individual.</w:t>
      </w:r>
    </w:p>
    <w:p w14:paraId="748A3159" w14:textId="77777777" w:rsidR="008D719D" w:rsidRDefault="00000000">
      <w:pPr>
        <w:pStyle w:val="BodyText"/>
      </w:pPr>
      <w:r>
        <w:t>Tabular data presents three challenges image-oriented GANs cannot handle: mixed column types, heavily skewed category frequencies, and complex cross-column dependencies. Standard GANs produce continuous pixel-valued outputs and fail on categorical columns [5]. CTGAN [3] was designed specifically for these properties.</w:t>
      </w:r>
    </w:p>
    <w:p w14:paraId="749413CC" w14:textId="77777777" w:rsidR="008D719D" w:rsidRDefault="00000000">
      <w:pPr>
        <w:pStyle w:val="Heading2"/>
      </w:pPr>
      <w:r>
        <w:t>Research Questions</w:t>
      </w:r>
    </w:p>
    <w:p w14:paraId="6FC86BAC" w14:textId="77777777" w:rsidR="008D719D" w:rsidRDefault="00000000">
      <w:pPr>
        <w:pStyle w:val="BodyText"/>
      </w:pPr>
      <w:r>
        <w:t>Three questions guide this work. (1) Can CTGAN reproduce the statistical distribution of a real census dataset with sufficient fidelity? (2) Does synthetic data preserve ML utility when used to train a classifier? (3) Does the trained model memorise individual training records in a way that creates re-identification risk?</w:t>
      </w:r>
    </w:p>
    <w:p w14:paraId="76D79B58" w14:textId="77777777" w:rsidR="008D719D" w:rsidRDefault="00000000">
      <w:pPr>
        <w:pStyle w:val="Heading2"/>
      </w:pPr>
      <w:r>
        <w:t xml:space="preserve"> Significance</w:t>
      </w:r>
    </w:p>
    <w:p w14:paraId="486F7488" w14:textId="77777777" w:rsidR="008D719D" w:rsidRDefault="00000000">
      <w:pPr>
        <w:pStyle w:val="BodyText"/>
      </w:pPr>
      <w:r>
        <w:t>A working synthetic data pipeline allows organisations to share data for research without breaching privacy regulations, enables model development before real data access is approved, and supports class balancing. The UCI Adult Census Income dataset is the standard benchmark for this problem, making results directly comparable with published CTGAN literature.</w:t>
      </w:r>
    </w:p>
    <w:p w14:paraId="4BA9CCFB" w14:textId="77777777" w:rsidR="00F00585" w:rsidRDefault="00F00585">
      <w:pPr>
        <w:pStyle w:val="BodyText"/>
      </w:pPr>
    </w:p>
    <w:p w14:paraId="76D65F18" w14:textId="3AAC4A2E" w:rsidR="008D719D" w:rsidRDefault="00000000">
      <w:pPr>
        <w:pStyle w:val="Heading1"/>
      </w:pPr>
      <w:r>
        <w:t>PROPOSED DEEP LEARNING SOLUTION</w:t>
      </w:r>
    </w:p>
    <w:p w14:paraId="190B05D2" w14:textId="77777777" w:rsidR="008D719D" w:rsidRDefault="00000000">
      <w:pPr>
        <w:pStyle w:val="Heading2"/>
      </w:pPr>
      <w:r>
        <w:t>Why CTGAN</w:t>
      </w:r>
    </w:p>
    <w:p w14:paraId="56EB048E" w14:textId="77777777" w:rsidR="008D719D" w:rsidRDefault="00000000">
      <w:pPr>
        <w:pStyle w:val="BodyText"/>
      </w:pPr>
      <w:r>
        <w:t>Bayesian networks scale poorly beyond 15 columns and cannot capture non-linear dependencies. SMOTE [4] creates minority-class samples through interpolation but cannot synthesise a full dataset. Standard GANs [5] fail on categorical columns. CopulaGAN [6] requires strong distributional assumptions. STaSy [7] achieves strong benchmark results using diffusion-based score matching but is considerably more complex to implement and tune. CTGAN was selected because it directly targets both core tabular data problems via the well-maintained SDV library [8], and its primary benchmark dataset overlaps with this project.</w:t>
      </w:r>
    </w:p>
    <w:p w14:paraId="111AAF6E" w14:textId="77777777" w:rsidR="008D719D" w:rsidRDefault="00000000">
      <w:pPr>
        <w:pStyle w:val="Heading2"/>
      </w:pPr>
      <w:r>
        <w:t xml:space="preserve"> How CTGAN Works</w:t>
      </w:r>
    </w:p>
    <w:p w14:paraId="47C8BB65" w14:textId="77777777" w:rsidR="008D719D" w:rsidRDefault="00000000">
      <w:pPr>
        <w:pStyle w:val="BodyText"/>
      </w:pPr>
      <w:r>
        <w:t>CTGAN extends the standard GAN [5] with two innovations. Mode-specific normalisation fits a Variational Gaussian Mixture Model (VGM) to each continuous column and encodes each value as a (normalised scalar, mode indicator) pair, enabling the generator to handle multi-modal and skewed distributions. Categorical columns are one-hot encoded. Conditional training samples a category proportional to the log of its frequency at each step, forcing the generator to learn all categories. Training uses WGAN-GP [9], which penalises discriminator gradients whose norm deviates from 1.0.</w:t>
      </w:r>
    </w:p>
    <w:p w14:paraId="7AC9E083" w14:textId="77777777" w:rsidR="008D719D" w:rsidRDefault="008D719D">
      <w:pPr>
        <w:pStyle w:val="BodyText"/>
      </w:pPr>
    </w:p>
    <w:p w14:paraId="2DB70517" w14:textId="77777777" w:rsidR="008D719D" w:rsidRDefault="00000000">
      <w:pPr>
        <w:spacing w:before="60" w:after="60"/>
      </w:pPr>
      <w:r>
        <w:rPr>
          <w:noProof/>
        </w:rPr>
        <w:drawing>
          <wp:inline distT="0" distB="0" distL="0" distR="0" wp14:anchorId="29E8C63B" wp14:editId="620980B3">
            <wp:extent cx="2951999" cy="1260749"/>
            <wp:effectExtent l="0" t="0" r="0" b="0"/>
            <wp:docPr id="1" nam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
                    <pic:cNvPicPr>
                      <a:picLocks noChangeAspect="1"/>
                    </pic:cNvPicPr>
                  </pic:nvPicPr>
                  <pic:blipFill>
                    <a:blip r:embed="rId11"/>
                    <a:stretch>
                      <a:fillRect/>
                    </a:stretch>
                  </pic:blipFill>
                  <pic:spPr>
                    <a:xfrm>
                      <a:off x="0" y="0"/>
                      <a:ext cx="2951999" cy="1260749"/>
                    </a:xfrm>
                    <a:prstGeom prst="rect">
                      <a:avLst/>
                    </a:prstGeom>
                  </pic:spPr>
                </pic:pic>
              </a:graphicData>
            </a:graphic>
          </wp:inline>
        </w:drawing>
      </w:r>
    </w:p>
    <w:p w14:paraId="614B14CD" w14:textId="77777777" w:rsidR="008D719D" w:rsidRDefault="00000000">
      <w:pPr>
        <w:pStyle w:val="figurecaption"/>
      </w:pPr>
      <w:r>
        <w:t>Fig. 1. CTGAN architecture: Generator and Discriminator with conditional vector.</w:t>
      </w:r>
    </w:p>
    <w:p w14:paraId="702873CD" w14:textId="77777777" w:rsidR="00F00585" w:rsidRDefault="00F00585" w:rsidP="00F00585">
      <w:pPr>
        <w:pStyle w:val="figurecaption"/>
        <w:numPr>
          <w:ilvl w:val="0"/>
          <w:numId w:val="0"/>
        </w:numPr>
      </w:pPr>
    </w:p>
    <w:p w14:paraId="1869E753" w14:textId="4F580B60" w:rsidR="008D719D" w:rsidRDefault="00000000">
      <w:pPr>
        <w:pStyle w:val="Heading1"/>
      </w:pPr>
      <w:r>
        <w:t>DATA SELECTION</w:t>
      </w:r>
    </w:p>
    <w:p w14:paraId="31DC0F61" w14:textId="77777777" w:rsidR="008D719D" w:rsidRDefault="00000000">
      <w:pPr>
        <w:pStyle w:val="BodyText"/>
      </w:pPr>
      <w:r>
        <w:t>The UCI Adult Census Income dataset [10] was selected. Drawn from the 1994 US Census, it contains 48,842 rows across 15 columns: six numerical (age, fnlwgt, education-num, capital-gain, capital-loss, hours-per-week) and nine categorical (workclass, education, marital-status, occupation, relationship, race, sex, native-country, income). The binary target labels whether income exceeds USD 50,000 per year.</w:t>
      </w:r>
    </w:p>
    <w:p w14:paraId="6246C6DD" w14:textId="77777777" w:rsidR="008D719D" w:rsidRDefault="00000000">
      <w:pPr>
        <w:pStyle w:val="BodyText"/>
      </w:pPr>
      <w:r>
        <w:t>Two properties create a rigorous benchmark. The 76/24 income class imbalance stresses the conditional sampling mechanism. The native-country column contains 42 distinct values, several appearing fewer than 10 times, representing a known failure mode of high-cardinality sparse columns in CTGAN [3].</w:t>
      </w:r>
    </w:p>
    <w:p w14:paraId="2D8109F2" w14:textId="77777777" w:rsidR="00F00585" w:rsidRDefault="00F00585">
      <w:pPr>
        <w:pStyle w:val="BodyText"/>
      </w:pPr>
    </w:p>
    <w:p w14:paraId="50480931" w14:textId="4A9B83C9" w:rsidR="008D719D" w:rsidRDefault="00000000">
      <w:pPr>
        <w:pStyle w:val="Heading1"/>
      </w:pPr>
      <w:r>
        <w:t>PREPARING THE DATA</w:t>
      </w:r>
    </w:p>
    <w:p w14:paraId="76956EC5" w14:textId="77777777" w:rsidR="008D719D" w:rsidRDefault="00000000">
      <w:pPr>
        <w:pStyle w:val="Heading2"/>
      </w:pPr>
      <w:r>
        <w:t>Missing Values and Cleaning</w:t>
      </w:r>
    </w:p>
    <w:p w14:paraId="5DC770D4" w14:textId="77777777" w:rsidR="008D719D" w:rsidRDefault="00000000">
      <w:pPr>
        <w:pStyle w:val="BodyText"/>
      </w:pPr>
      <w:r>
        <w:t xml:space="preserve">Missing values are encoded as "?" in the raw file. These were replaced with pandas NA and all rows containing nulls were dropped, reducing the dataset from 48,842 to 45,222 rows (7.4% reduction). Affected columns: workclass (1,836), occupation (1,843), and native-country (583). Complete-case deletion was preferred over imputation: imputed values introduce artificial patterns that CTGAN would learn and </w:t>
      </w:r>
      <w:r>
        <w:lastRenderedPageBreak/>
        <w:t>reproduce, degrading fidelity in a way that is difficult to detect post-generation.</w:t>
      </w:r>
    </w:p>
    <w:p w14:paraId="47405932" w14:textId="77777777" w:rsidR="008D719D" w:rsidRDefault="00000000">
      <w:pPr>
        <w:pStyle w:val="BodyText"/>
      </w:pPr>
      <w:r>
        <w:t>Exact duplicate rows were removed. Income labels with a trailing period ("&lt;=50K." vs "&lt;=50K") were stripped to ensure exactly two target class values. An SDV SingleTableMetadata object was auto-populated from the cleaned DataFrame, controlling which transformation (VGM or one-hot encoding) is applied to each column.</w:t>
      </w:r>
    </w:p>
    <w:p w14:paraId="0AAAA763" w14:textId="77777777" w:rsidR="008D719D" w:rsidRDefault="00000000">
      <w:pPr>
        <w:pStyle w:val="Heading2"/>
      </w:pPr>
      <w:r>
        <w:t xml:space="preserve"> Train-Test Split</w:t>
      </w:r>
    </w:p>
    <w:p w14:paraId="4FE43ABC" w14:textId="77777777" w:rsidR="008D719D" w:rsidRDefault="00000000">
      <w:pPr>
        <w:pStyle w:val="BodyText"/>
      </w:pPr>
      <w:r>
        <w:t>An 80/20 stratified split was applied (seed 42). Training set: 36,177 rows. Test set: 9,045 rows. Stratification on the income target preserves the 76/24 class ratio in both splits. The test set was withheld from all training runs.</w:t>
      </w:r>
    </w:p>
    <w:p w14:paraId="79758C9A" w14:textId="77777777" w:rsidR="00F00585" w:rsidRDefault="00F00585">
      <w:pPr>
        <w:pStyle w:val="BodyText"/>
      </w:pPr>
    </w:p>
    <w:p w14:paraId="01AE19DD" w14:textId="7C4DD260" w:rsidR="008D719D" w:rsidRDefault="00000000">
      <w:pPr>
        <w:pStyle w:val="Heading1"/>
      </w:pPr>
      <w:r>
        <w:t xml:space="preserve"> DEFINING THE DEEP-LEARNING MODEL</w:t>
      </w:r>
    </w:p>
    <w:p w14:paraId="0F22E56A" w14:textId="77777777" w:rsidR="008D719D" w:rsidRDefault="00000000">
      <w:pPr>
        <w:pStyle w:val="Heading2"/>
      </w:pPr>
      <w:r>
        <w:t>Architecture</w:t>
      </w:r>
    </w:p>
    <w:p w14:paraId="48C7DAD7" w14:textId="77777777" w:rsidR="008D719D" w:rsidRDefault="00000000">
      <w:pPr>
        <w:pStyle w:val="BodyText"/>
      </w:pPr>
      <w:r>
        <w:t>The generator maps noise vector z concatenated with conditional vector c through a multi-layer perceptron with residual connections, batch normalisation, and ReLU activations. The output layer combines tanh for normalised numerical components and softmax for categorical one-hot blocks. The discriminator is a plain MLP without batch normalisation (required for WGAN-GP Lipschitz enforcement via gradient penalisation), with leaky ReLU and dropout. The discriminator is updated five times per generator update following the standard WGAN-GP ratio.</w:t>
      </w:r>
    </w:p>
    <w:p w14:paraId="362357F4" w14:textId="77777777" w:rsidR="008D719D" w:rsidRDefault="00000000">
      <w:pPr>
        <w:pStyle w:val="Heading2"/>
      </w:pPr>
      <w:r>
        <w:t>Hyperparameter Configurations</w:t>
      </w:r>
    </w:p>
    <w:p w14:paraId="04F1EA0F" w14:textId="77777777" w:rsidR="008D719D" w:rsidRDefault="00000000">
      <w:pPr>
        <w:pStyle w:val="BodyText"/>
      </w:pPr>
      <w:r>
        <w:t>Table I shows the four configurations forming a 2x2 factorial experiment over embedding dimension (128 vs. 256) and epoch count (100 vs. 200). The Long and Stable configurations use Adam with lr=2e-4 explicitly; Baseline and Capacity use the CTGAN default (also 2e-4). Batch size is 500 for all configurations. All other parameters are held at CTGAN defaults to isolate the effect of embedding dimension and epoch count.</w:t>
      </w:r>
    </w:p>
    <w:p w14:paraId="4FAD00B0" w14:textId="77777777" w:rsidR="008D719D" w:rsidRDefault="008D719D">
      <w:pPr>
        <w:pStyle w:val="BodyText"/>
      </w:pPr>
    </w:p>
    <w:p w14:paraId="3B004577" w14:textId="068F7740" w:rsidR="008D719D" w:rsidRDefault="00000000" w:rsidP="000D58AA">
      <w:pPr>
        <w:pStyle w:val="tablehead"/>
        <w:jc w:val="both"/>
      </w:pPr>
      <w:r>
        <w:t>CTGAN Hyperparameter Configurations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780"/>
        <w:gridCol w:w="600"/>
        <w:gridCol w:w="860"/>
        <w:gridCol w:w="880"/>
        <w:gridCol w:w="1040"/>
        <w:gridCol w:w="600"/>
      </w:tblGrid>
      <w:tr w:rsidR="008D719D" w14:paraId="42D6B3BC"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475C4CB" w14:textId="77777777" w:rsidR="008D719D" w:rsidRDefault="00000000">
            <w:r>
              <w:rPr>
                <w:b/>
                <w:color w:val="FFFFFF"/>
                <w:sz w:val="16"/>
                <w:szCs w:val="16"/>
              </w:rPr>
              <w:t>Config.</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050B5C11" w14:textId="77777777" w:rsidR="008D719D" w:rsidRDefault="00000000">
            <w:r>
              <w:rPr>
                <w:b/>
                <w:color w:val="FFFFFF"/>
                <w:sz w:val="16"/>
                <w:szCs w:val="16"/>
              </w:rPr>
              <w:t>Epochs</w:t>
            </w:r>
          </w:p>
        </w:tc>
        <w:tc>
          <w:tcPr>
            <w:tcW w:w="8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FD7B41F" w14:textId="77777777" w:rsidR="008D719D" w:rsidRDefault="00000000">
            <w:r>
              <w:rPr>
                <w:b/>
                <w:color w:val="FFFFFF"/>
                <w:sz w:val="16"/>
                <w:szCs w:val="16"/>
              </w:rPr>
              <w:t>Embed Dim</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125C8BA" w14:textId="77777777" w:rsidR="008D719D" w:rsidRDefault="00000000">
            <w:r>
              <w:rPr>
                <w:b/>
                <w:color w:val="FFFFFF"/>
                <w:sz w:val="16"/>
                <w:szCs w:val="16"/>
              </w:rPr>
              <w:t>Generator</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1925BA5" w14:textId="77777777" w:rsidR="008D719D" w:rsidRDefault="00000000">
            <w:r>
              <w:rPr>
                <w:b/>
                <w:color w:val="FFFFFF"/>
                <w:sz w:val="16"/>
                <w:szCs w:val="16"/>
              </w:rPr>
              <w:t>Discriminator</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6D274C6" w14:textId="77777777" w:rsidR="008D719D" w:rsidRDefault="00000000">
            <w:r>
              <w:rPr>
                <w:b/>
                <w:color w:val="FFFFFF"/>
                <w:sz w:val="16"/>
                <w:szCs w:val="16"/>
              </w:rPr>
              <w:t>Batch</w:t>
            </w:r>
          </w:p>
        </w:tc>
      </w:tr>
      <w:tr w:rsidR="008D719D" w14:paraId="0294BC58"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1BA0B0A" w14:textId="77777777" w:rsidR="008D719D" w:rsidRDefault="00000000">
            <w:r>
              <w:rPr>
                <w:color w:val="000000"/>
                <w:sz w:val="16"/>
                <w:szCs w:val="16"/>
              </w:rPr>
              <w:t>Baseline</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464D03"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51F6B" w14:textId="77777777" w:rsidR="008D719D" w:rsidRDefault="00000000">
            <w:r>
              <w:rPr>
                <w:color w:val="000000"/>
                <w:sz w:val="16"/>
                <w:szCs w:val="16"/>
              </w:rPr>
              <w:t>128 (default)</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930F9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8CA8EF0"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DDA8107" w14:textId="77777777" w:rsidR="008D719D" w:rsidRDefault="00000000">
            <w:r>
              <w:rPr>
                <w:color w:val="000000"/>
                <w:sz w:val="16"/>
                <w:szCs w:val="16"/>
              </w:rPr>
              <w:t>500</w:t>
            </w:r>
          </w:p>
        </w:tc>
      </w:tr>
      <w:tr w:rsidR="008D719D" w14:paraId="3E9319D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0A246F" w14:textId="77777777" w:rsidR="008D719D" w:rsidRDefault="00000000">
            <w:r>
              <w:rPr>
                <w:color w:val="000000"/>
                <w:sz w:val="16"/>
                <w:szCs w:val="16"/>
              </w:rPr>
              <w:t>Capacity</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3246D19"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77A4076"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807A350"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1139F5"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E95C9F" w14:textId="77777777" w:rsidR="008D719D" w:rsidRDefault="00000000">
            <w:r>
              <w:rPr>
                <w:color w:val="000000"/>
                <w:sz w:val="16"/>
                <w:szCs w:val="16"/>
              </w:rPr>
              <w:t>500</w:t>
            </w:r>
          </w:p>
        </w:tc>
      </w:tr>
      <w:tr w:rsidR="008D719D" w14:paraId="3C63240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529A3B" w14:textId="77777777" w:rsidR="008D719D" w:rsidRDefault="00000000">
            <w:r>
              <w:rPr>
                <w:color w:val="000000"/>
                <w:sz w:val="16"/>
                <w:szCs w:val="16"/>
              </w:rPr>
              <w:t>Long</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F39675"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DFFC37"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9DBB19B"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39692B"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18452A4" w14:textId="77777777" w:rsidR="008D719D" w:rsidRDefault="00000000">
            <w:r>
              <w:rPr>
                <w:color w:val="000000"/>
                <w:sz w:val="16"/>
                <w:szCs w:val="16"/>
              </w:rPr>
              <w:t>500</w:t>
            </w:r>
          </w:p>
        </w:tc>
      </w:tr>
      <w:tr w:rsidR="008D719D" w14:paraId="53D1CB19"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269570A" w14:textId="77777777" w:rsidR="008D719D" w:rsidRDefault="00000000">
            <w:r>
              <w:rPr>
                <w:color w:val="000000"/>
                <w:sz w:val="16"/>
                <w:szCs w:val="16"/>
              </w:rPr>
              <w:t>Stable</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E3CED34"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264C42C" w14:textId="77777777" w:rsidR="008D719D" w:rsidRDefault="00000000">
            <w:r>
              <w:rPr>
                <w:color w:val="000000"/>
                <w:sz w:val="16"/>
                <w:szCs w:val="16"/>
              </w:rPr>
              <w:t>128</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C6B57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82D264C"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722F9B1" w14:textId="77777777" w:rsidR="008D719D" w:rsidRDefault="00000000">
            <w:r>
              <w:rPr>
                <w:color w:val="000000"/>
                <w:sz w:val="16"/>
                <w:szCs w:val="16"/>
              </w:rPr>
              <w:t>500</w:t>
            </w:r>
          </w:p>
        </w:tc>
      </w:tr>
    </w:tbl>
    <w:p w14:paraId="32696915" w14:textId="1E9C594A" w:rsidR="008D719D" w:rsidRDefault="00000000">
      <w:pPr>
        <w:pStyle w:val="Heading1"/>
      </w:pPr>
      <w:r>
        <w:t>TRAINING AND FINE-TUNING</w:t>
      </w:r>
    </w:p>
    <w:p w14:paraId="10F10CCB" w14:textId="77777777" w:rsidR="008D719D" w:rsidRDefault="00000000">
      <w:pPr>
        <w:pStyle w:val="Heading2"/>
      </w:pPr>
      <w:r>
        <w:t xml:space="preserve"> Training Times</w:t>
      </w:r>
    </w:p>
    <w:p w14:paraId="0A848A23" w14:textId="77777777" w:rsidR="008D719D" w:rsidRDefault="00000000">
      <w:pPr>
        <w:pStyle w:val="BodyText"/>
      </w:pPr>
      <w:r>
        <w:t>All configurations were trained on a Google Colab T4 GPU. The 100-epoch runs completed in 22-28 minutes; the 200-epoch runs in 53-75 minutes. Fig. 2 shows actual wall-clock times. Model weights were serialised after training so the deployment interface loads pre-trained models without retraining.</w:t>
      </w:r>
    </w:p>
    <w:p w14:paraId="19B411A5" w14:textId="77777777" w:rsidR="008D719D" w:rsidRDefault="008D719D">
      <w:pPr>
        <w:pStyle w:val="BodyText"/>
      </w:pPr>
    </w:p>
    <w:p w14:paraId="2C15B1DF" w14:textId="77777777" w:rsidR="008D719D" w:rsidRDefault="00000000">
      <w:pPr>
        <w:spacing w:before="60" w:after="60"/>
      </w:pPr>
      <w:r>
        <w:rPr>
          <w:noProof/>
        </w:rPr>
        <w:drawing>
          <wp:inline distT="0" distB="0" distL="0" distR="0" wp14:anchorId="219B46DE" wp14:editId="5CFA8571">
            <wp:extent cx="2808000" cy="1360249"/>
            <wp:effectExtent l="0" t="0" r="0" b="0"/>
            <wp:docPr id="2" nam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
                    <pic:cNvPicPr>
                      <a:picLocks noChangeAspect="1"/>
                    </pic:cNvPicPr>
                  </pic:nvPicPr>
                  <pic:blipFill>
                    <a:blip r:embed="rId12"/>
                    <a:stretch>
                      <a:fillRect/>
                    </a:stretch>
                  </pic:blipFill>
                  <pic:spPr>
                    <a:xfrm>
                      <a:off x="0" y="0"/>
                      <a:ext cx="2808000" cy="1360249"/>
                    </a:xfrm>
                    <a:prstGeom prst="rect">
                      <a:avLst/>
                    </a:prstGeom>
                  </pic:spPr>
                </pic:pic>
              </a:graphicData>
            </a:graphic>
          </wp:inline>
        </w:drawing>
      </w:r>
    </w:p>
    <w:p w14:paraId="57558410" w14:textId="77777777" w:rsidR="008D719D" w:rsidRDefault="00000000">
      <w:pPr>
        <w:pStyle w:val="figurecaption"/>
      </w:pPr>
      <w:r>
        <w:t>Fig. 2. Wall-clock training time per configuration (seconds) from Colab T4 GPU runs.</w:t>
      </w:r>
    </w:p>
    <w:p w14:paraId="06B841AB" w14:textId="77777777" w:rsidR="008D719D" w:rsidRDefault="00000000">
      <w:pPr>
        <w:pStyle w:val="Heading2"/>
      </w:pPr>
      <w:r>
        <w:t>Challenges</w:t>
      </w:r>
    </w:p>
    <w:p w14:paraId="65BBE727" w14:textId="77777777" w:rsidR="008D719D" w:rsidRDefault="00000000">
      <w:pPr>
        <w:pStyle w:val="BodyText"/>
      </w:pPr>
      <w:r>
        <w:t>(1) Mode collapse risk. An early run with lr=5e-4 showed generator loss plateauing while discriminator loss stayed high. Reducing lr to 2e-4 and maintaining the gradient penalty coefficient at the CTGAN default (10.0) stabilised training. (2) Zero-inflated columns. Capital-gain and capital-loss each have approximately 92% of values at exactly zero. VGM allocates most mixture components to the zero mass, leaving the positive tail underrepresented. This is a structural limitation of the VGM approach. (3) SDV API deprecation. SingleTableMetadata was deprecated in SDV 1.x. FutureWarnings were suppressed and code is annotated with the migration path.</w:t>
      </w:r>
    </w:p>
    <w:p w14:paraId="749FBF8C" w14:textId="77777777" w:rsidR="008D719D" w:rsidRDefault="00000000">
      <w:pPr>
        <w:pStyle w:val="Heading2"/>
      </w:pPr>
      <w:r>
        <w:t>Fine-Tuning Outcome</w:t>
      </w:r>
    </w:p>
    <w:p w14:paraId="2F844BC8" w14:textId="77777777" w:rsidR="008D719D" w:rsidRDefault="00000000">
      <w:pPr>
        <w:pStyle w:val="BodyText"/>
      </w:pPr>
      <w:r>
        <w:t>The Long configuration ranked first on all five evaluation metrics. Across configurations, TSTR accuracy ranges from 79.4% (Baseline) to 81.8% (Long). The embedding dimension effect consistently outweighs epoch count: doubling embed at fixed 100 epochs (Baseline to Capacity) gained 1.6 pp, while doubling epochs at fixed embed=256 (Capacity to Long) gained only 1.1 pp. The Stable configuration (200 epochs, embed=128) at 80.7% TSTR confirms that a smaller embedding at longer training underperforms a larger embedding at shorter training.</w:t>
      </w:r>
    </w:p>
    <w:p w14:paraId="6D6D80B9" w14:textId="77777777" w:rsidR="00F00585" w:rsidRDefault="00F00585">
      <w:pPr>
        <w:pStyle w:val="BodyText"/>
      </w:pPr>
    </w:p>
    <w:p w14:paraId="015BFD1E" w14:textId="0F3E4E6E" w:rsidR="008D719D" w:rsidRDefault="00000000">
      <w:pPr>
        <w:pStyle w:val="Heading1"/>
      </w:pPr>
      <w:r>
        <w:t xml:space="preserve"> TESTING THE MODEL WITH NEW DATA</w:t>
      </w:r>
    </w:p>
    <w:p w14:paraId="410A29FC" w14:textId="77777777" w:rsidR="008D719D" w:rsidRDefault="00000000">
      <w:pPr>
        <w:pStyle w:val="BodyText"/>
      </w:pPr>
      <w:r>
        <w:t>The Long model was retrained on the 80% training split and evaluated against the held-out 20% test set (9,045 rows). Seven metrics across three dimensions are reported below.</w:t>
      </w:r>
    </w:p>
    <w:p w14:paraId="3DF98A54" w14:textId="77777777" w:rsidR="008D719D" w:rsidRDefault="00000000">
      <w:pPr>
        <w:pStyle w:val="Heading2"/>
      </w:pPr>
      <w:r>
        <w:t>Fidelity: Income Distribution</w:t>
      </w:r>
    </w:p>
    <w:p w14:paraId="293C9F65" w14:textId="77777777" w:rsidR="008D719D" w:rsidRDefault="00000000">
      <w:pPr>
        <w:pStyle w:val="BodyText"/>
      </w:pPr>
      <w:r>
        <w:t>The Long model reproduced the income class split to within 7.5 pp (real: 75.2% below USD 50K; synthetic: 82.7%). The synthetic data over-represents the &lt;=50K class, which directly reduces minority-class recall. Fig. 6 shows the comparison for the Long configuration.</w:t>
      </w:r>
    </w:p>
    <w:p w14:paraId="15BBA83B" w14:textId="77777777" w:rsidR="008D719D" w:rsidRDefault="008D719D">
      <w:pPr>
        <w:pStyle w:val="BodyText"/>
      </w:pPr>
    </w:p>
    <w:p w14:paraId="5B319E4C" w14:textId="77777777" w:rsidR="008D719D" w:rsidRDefault="00000000">
      <w:pPr>
        <w:spacing w:before="60" w:after="60"/>
      </w:pPr>
      <w:r>
        <w:rPr>
          <w:noProof/>
        </w:rPr>
        <w:drawing>
          <wp:inline distT="0" distB="0" distL="0" distR="0" wp14:anchorId="11DE353E" wp14:editId="14AD424D">
            <wp:extent cx="2808000" cy="1354212"/>
            <wp:effectExtent l="0" t="0" r="0" b="0"/>
            <wp:docPr id="6" name="cha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
                    <pic:cNvPicPr>
                      <a:picLocks noChangeAspect="1"/>
                    </pic:cNvPicPr>
                  </pic:nvPicPr>
                  <pic:blipFill>
                    <a:blip r:embed="rId13"/>
                    <a:stretch>
                      <a:fillRect/>
                    </a:stretch>
                  </pic:blipFill>
                  <pic:spPr>
                    <a:xfrm>
                      <a:off x="0" y="0"/>
                      <a:ext cx="2808000" cy="1354212"/>
                    </a:xfrm>
                    <a:prstGeom prst="rect">
                      <a:avLst/>
                    </a:prstGeom>
                  </pic:spPr>
                </pic:pic>
              </a:graphicData>
            </a:graphic>
          </wp:inline>
        </w:drawing>
      </w:r>
    </w:p>
    <w:p w14:paraId="1992B2A9" w14:textId="77777777" w:rsidR="008D719D" w:rsidRDefault="00000000">
      <w:pPr>
        <w:pStyle w:val="figurecaption"/>
      </w:pPr>
      <w:r>
        <w:t>Fig. 6. Income class distribution: Real vs. Synthetic (Long configuration). Synthetic over-represents the &lt;=50K class by 7.5 pp, consistent with the income deviation metric.</w:t>
      </w:r>
    </w:p>
    <w:p w14:paraId="2BDCCA33" w14:textId="77777777" w:rsidR="008D719D" w:rsidRDefault="00000000">
      <w:pPr>
        <w:pStyle w:val="Heading2"/>
      </w:pPr>
      <w:r>
        <w:t>Fidelity: Numerical Columns</w:t>
      </w:r>
    </w:p>
    <w:p w14:paraId="5045C0F9" w14:textId="77777777" w:rsidR="008D719D" w:rsidRDefault="00000000">
      <w:pPr>
        <w:pStyle w:val="BodyText"/>
      </w:pPr>
      <w:r>
        <w:t xml:space="preserve">Table II reports mean error and Wasserstein distance per numerical column. Hours-per-week (0.4%) and education-num (1.5%) are best reproduced. Age (6.4%) and fnlwgt (4.8%) </w:t>
      </w:r>
      <w:r>
        <w:lastRenderedPageBreak/>
        <w:t>show moderate error. Capital-gain (35.6%, Wasserstein 312) and capital-loss (12.8%, Wasserstein 124) are substantially worse due to zero-inflation, a known VGM structural limitation. Fig. 4 visualises Wasserstein distances per column.</w:t>
      </w:r>
    </w:p>
    <w:p w14:paraId="1F08DE03" w14:textId="77777777" w:rsidR="008D719D" w:rsidRDefault="008D719D">
      <w:pPr>
        <w:pStyle w:val="BodyText"/>
      </w:pPr>
    </w:p>
    <w:p w14:paraId="3239CC7E" w14:textId="77777777" w:rsidR="008D719D" w:rsidRDefault="00000000">
      <w:pPr>
        <w:pStyle w:val="tablehead"/>
      </w:pPr>
      <w:r>
        <w:t>Numerical Column Quality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60"/>
        <w:gridCol w:w="880"/>
        <w:gridCol w:w="960"/>
        <w:gridCol w:w="880"/>
        <w:gridCol w:w="980"/>
      </w:tblGrid>
      <w:tr w:rsidR="008D719D" w14:paraId="50347C24"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E66C879" w14:textId="77777777" w:rsidR="008D719D" w:rsidRDefault="00000000">
            <w:r>
              <w:rPr>
                <w:b/>
                <w:color w:val="FFFFFF"/>
                <w:sz w:val="16"/>
                <w:szCs w:val="16"/>
              </w:rPr>
              <w:t>Column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825CDD4" w14:textId="77777777" w:rsidR="008D719D" w:rsidRDefault="00000000">
            <w:r>
              <w:rPr>
                <w:b/>
                <w:color w:val="FFFFFF"/>
                <w:sz w:val="16"/>
                <w:szCs w:val="16"/>
              </w:rPr>
              <w:t>Real Mean</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D56323A" w14:textId="77777777" w:rsidR="008D719D" w:rsidRDefault="00000000">
            <w:r>
              <w:rPr>
                <w:b/>
                <w:color w:val="FFFFFF"/>
                <w:sz w:val="16"/>
                <w:szCs w:val="16"/>
              </w:rPr>
              <w:t>Synth Mean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4ED1D0C8" w14:textId="77777777" w:rsidR="008D719D" w:rsidRDefault="00000000">
            <w:r>
              <w:rPr>
                <w:b/>
                <w:color w:val="FFFFFF"/>
                <w:sz w:val="16"/>
                <w:szCs w:val="16"/>
              </w:rPr>
              <w:t>Mean Err%</w:t>
            </w:r>
          </w:p>
        </w:tc>
        <w:tc>
          <w:tcPr>
            <w:tcW w:w="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437035" w14:textId="77777777" w:rsidR="008D719D" w:rsidRDefault="00000000">
            <w:r>
              <w:rPr>
                <w:b/>
                <w:color w:val="FFFFFF"/>
                <w:sz w:val="16"/>
                <w:szCs w:val="16"/>
              </w:rPr>
              <w:t>Wasserstein</w:t>
            </w:r>
          </w:p>
        </w:tc>
      </w:tr>
      <w:tr w:rsidR="008D719D" w14:paraId="73910FC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88B5795" w14:textId="77777777" w:rsidR="008D719D" w:rsidRDefault="00000000">
            <w:r>
              <w:rPr>
                <w:color w:val="000000"/>
                <w:sz w:val="16"/>
                <w:szCs w:val="16"/>
              </w:rPr>
              <w:t>age</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ABB52F" w14:textId="77777777" w:rsidR="008D719D" w:rsidRDefault="00000000">
            <w:r>
              <w:rPr>
                <w:color w:val="000000"/>
                <w:sz w:val="16"/>
                <w:szCs w:val="16"/>
              </w:rPr>
              <w:t>38.62</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2C5E9" w14:textId="77777777" w:rsidR="008D719D" w:rsidRDefault="00000000">
            <w:r>
              <w:rPr>
                <w:color w:val="000000"/>
                <w:sz w:val="16"/>
                <w:szCs w:val="16"/>
              </w:rPr>
              <w:t>41.08</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47F3C75" w14:textId="77777777" w:rsidR="008D719D" w:rsidRDefault="00000000">
            <w:r>
              <w:rPr>
                <w:color w:val="000000"/>
                <w:sz w:val="16"/>
                <w:szCs w:val="16"/>
              </w:rPr>
              <w:t>6.4%</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03F32E9" w14:textId="77777777" w:rsidR="008D719D" w:rsidRDefault="00000000">
            <w:r>
              <w:rPr>
                <w:color w:val="000000"/>
                <w:sz w:val="16"/>
                <w:szCs w:val="16"/>
              </w:rPr>
              <w:t>1.21</w:t>
            </w:r>
          </w:p>
        </w:tc>
      </w:tr>
      <w:tr w:rsidR="008D719D" w14:paraId="726CE58A"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16234D" w14:textId="77777777" w:rsidR="008D719D" w:rsidRDefault="00000000">
            <w:r>
              <w:rPr>
                <w:color w:val="000000"/>
                <w:sz w:val="16"/>
                <w:szCs w:val="16"/>
              </w:rPr>
              <w:t>fnlwgt</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F54FFD7" w14:textId="77777777" w:rsidR="008D719D" w:rsidRDefault="00000000">
            <w:r>
              <w:rPr>
                <w:color w:val="000000"/>
                <w:sz w:val="16"/>
                <w:szCs w:val="16"/>
              </w:rPr>
              <w:t>188,451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AE79DCA" w14:textId="77777777" w:rsidR="008D719D" w:rsidRDefault="00000000">
            <w:r>
              <w:rPr>
                <w:color w:val="000000"/>
                <w:sz w:val="16"/>
                <w:szCs w:val="16"/>
              </w:rPr>
              <w:t>179,362</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9D418C" w14:textId="77777777" w:rsidR="008D719D" w:rsidRDefault="00000000">
            <w:r>
              <w:rPr>
                <w:color w:val="000000"/>
                <w:sz w:val="16"/>
                <w:szCs w:val="16"/>
              </w:rPr>
              <w:t>4.8%</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E878BD" w14:textId="77777777" w:rsidR="008D719D" w:rsidRDefault="00000000">
            <w:r>
              <w:rPr>
                <w:color w:val="000000"/>
                <w:sz w:val="16"/>
                <w:szCs w:val="16"/>
              </w:rPr>
              <w:t>4,823</w:t>
            </w:r>
          </w:p>
        </w:tc>
      </w:tr>
      <w:tr w:rsidR="008D719D" w14:paraId="5BFA14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AEDB23" w14:textId="77777777" w:rsidR="008D719D" w:rsidRDefault="00000000">
            <w:r>
              <w:rPr>
                <w:color w:val="000000"/>
                <w:sz w:val="16"/>
                <w:szCs w:val="16"/>
              </w:rPr>
              <w:t>education-num</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19BF3C" w14:textId="77777777" w:rsidR="008D719D" w:rsidRDefault="00000000">
            <w:r>
              <w:rPr>
                <w:color w:val="000000"/>
                <w:sz w:val="16"/>
                <w:szCs w:val="16"/>
              </w:rPr>
              <w:t>10.13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FCA1B64" w14:textId="77777777" w:rsidR="008D719D" w:rsidRDefault="00000000">
            <w:r>
              <w:rPr>
                <w:color w:val="000000"/>
                <w:sz w:val="16"/>
                <w:szCs w:val="16"/>
              </w:rPr>
              <w:t>9.98</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89A6D0" w14:textId="77777777" w:rsidR="008D719D" w:rsidRDefault="00000000">
            <w:r>
              <w:rPr>
                <w:color w:val="000000"/>
                <w:sz w:val="16"/>
                <w:szCs w:val="16"/>
              </w:rPr>
              <w:t>1.5%</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D17172" w14:textId="77777777" w:rsidR="008D719D" w:rsidRDefault="00000000">
            <w:r>
              <w:rPr>
                <w:color w:val="000000"/>
                <w:sz w:val="16"/>
                <w:szCs w:val="16"/>
              </w:rPr>
              <w:t>0.43</w:t>
            </w:r>
          </w:p>
        </w:tc>
      </w:tr>
      <w:tr w:rsidR="008D719D" w14:paraId="2E9638B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E6F1FA" w14:textId="77777777" w:rsidR="008D719D" w:rsidRDefault="00000000">
            <w:r>
              <w:rPr>
                <w:color w:val="000000"/>
                <w:sz w:val="16"/>
                <w:szCs w:val="16"/>
              </w:rPr>
              <w:t>capital-gain</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DDD5CA" w14:textId="77777777" w:rsidR="008D719D" w:rsidRDefault="00000000">
            <w:r>
              <w:rPr>
                <w:color w:val="000000"/>
                <w:sz w:val="16"/>
                <w:szCs w:val="16"/>
              </w:rPr>
              <w:t>1,085</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25F9BA5" w14:textId="77777777" w:rsidR="008D719D" w:rsidRDefault="00000000">
            <w:r>
              <w:rPr>
                <w:color w:val="000000"/>
                <w:sz w:val="16"/>
                <w:szCs w:val="16"/>
              </w:rPr>
              <w:t>699</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E2ED1F" w14:textId="77777777" w:rsidR="008D719D" w:rsidRDefault="00000000">
            <w:r>
              <w:rPr>
                <w:color w:val="000000"/>
                <w:sz w:val="16"/>
                <w:szCs w:val="16"/>
              </w:rPr>
              <w:t>35.6%</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AF928F" w14:textId="77777777" w:rsidR="008D719D" w:rsidRDefault="00000000">
            <w:r>
              <w:rPr>
                <w:b/>
                <w:color w:val="922B21"/>
                <w:sz w:val="16"/>
                <w:szCs w:val="16"/>
              </w:rPr>
              <w:t>312</w:t>
            </w:r>
          </w:p>
        </w:tc>
      </w:tr>
      <w:tr w:rsidR="008D719D" w14:paraId="40BFB1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098F61" w14:textId="77777777" w:rsidR="008D719D" w:rsidRDefault="00000000">
            <w:r>
              <w:rPr>
                <w:color w:val="000000"/>
                <w:sz w:val="16"/>
                <w:szCs w:val="16"/>
              </w:rPr>
              <w:t>capital-loss</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CE551B" w14:textId="77777777" w:rsidR="008D719D" w:rsidRDefault="00000000">
            <w:r>
              <w:rPr>
                <w:color w:val="000000"/>
                <w:sz w:val="16"/>
                <w:szCs w:val="16"/>
              </w:rPr>
              <w:t>86.83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FA3B09E" w14:textId="77777777" w:rsidR="008D719D" w:rsidRDefault="00000000">
            <w:r>
              <w:rPr>
                <w:color w:val="000000"/>
                <w:sz w:val="16"/>
                <w:szCs w:val="16"/>
              </w:rPr>
              <w:t>75.74</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5BB8601" w14:textId="77777777" w:rsidR="008D719D" w:rsidRDefault="00000000">
            <w:r>
              <w:rPr>
                <w:color w:val="000000"/>
                <w:sz w:val="16"/>
                <w:szCs w:val="16"/>
              </w:rPr>
              <w:t>12.8%</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610775C" w14:textId="77777777" w:rsidR="008D719D" w:rsidRDefault="00000000">
            <w:r>
              <w:rPr>
                <w:b/>
                <w:color w:val="922B21"/>
                <w:sz w:val="16"/>
                <w:szCs w:val="16"/>
              </w:rPr>
              <w:t>124</w:t>
            </w:r>
          </w:p>
        </w:tc>
      </w:tr>
      <w:tr w:rsidR="008D719D" w14:paraId="4C3E0FF6"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FEEFBD" w14:textId="77777777" w:rsidR="008D719D" w:rsidRDefault="00000000">
            <w:r>
              <w:rPr>
                <w:color w:val="000000"/>
                <w:sz w:val="16"/>
                <w:szCs w:val="16"/>
              </w:rPr>
              <w:t>hrs-per-week</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33FEE32" w14:textId="77777777" w:rsidR="008D719D" w:rsidRDefault="00000000">
            <w:r>
              <w:rPr>
                <w:color w:val="000000"/>
                <w:sz w:val="16"/>
                <w:szCs w:val="16"/>
              </w:rPr>
              <w:t>40.4</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A1A10D" w14:textId="77777777" w:rsidR="008D719D" w:rsidRDefault="00000000">
            <w:r>
              <w:rPr>
                <w:color w:val="000000"/>
                <w:sz w:val="16"/>
                <w:szCs w:val="16"/>
              </w:rPr>
              <w:t>40.1</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1AC1BA1" w14:textId="77777777" w:rsidR="008D719D" w:rsidRDefault="00000000">
            <w:r>
              <w:rPr>
                <w:color w:val="000000"/>
                <w:sz w:val="16"/>
                <w:szCs w:val="16"/>
              </w:rPr>
              <w:t>0.4%</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ACDA43" w14:textId="77777777" w:rsidR="008D719D" w:rsidRDefault="00000000">
            <w:r>
              <w:rPr>
                <w:color w:val="000000"/>
                <w:sz w:val="16"/>
                <w:szCs w:val="16"/>
              </w:rPr>
              <w:t>1.08</w:t>
            </w:r>
          </w:p>
        </w:tc>
      </w:tr>
    </w:tbl>
    <w:p w14:paraId="03F71F1F" w14:textId="77777777" w:rsidR="008D719D" w:rsidRDefault="008D719D">
      <w:pPr>
        <w:pStyle w:val="BodyText"/>
      </w:pPr>
    </w:p>
    <w:p w14:paraId="3A719811" w14:textId="77777777" w:rsidR="008D719D" w:rsidRDefault="00000000">
      <w:pPr>
        <w:spacing w:before="60" w:after="60"/>
      </w:pPr>
      <w:r>
        <w:rPr>
          <w:noProof/>
        </w:rPr>
        <w:drawing>
          <wp:inline distT="0" distB="0" distL="0" distR="0" wp14:anchorId="55D52EFB" wp14:editId="6E78370F">
            <wp:extent cx="2808000" cy="1481889"/>
            <wp:effectExtent l="0" t="0" r="0" b="0"/>
            <wp:docPr id="4" name="ch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4"/>
                    <pic:cNvPicPr>
                      <a:picLocks noChangeAspect="1"/>
                    </pic:cNvPicPr>
                  </pic:nvPicPr>
                  <pic:blipFill>
                    <a:blip r:embed="rId14"/>
                    <a:stretch>
                      <a:fillRect/>
                    </a:stretch>
                  </pic:blipFill>
                  <pic:spPr>
                    <a:xfrm>
                      <a:off x="0" y="0"/>
                      <a:ext cx="2808000" cy="1481889"/>
                    </a:xfrm>
                    <a:prstGeom prst="rect">
                      <a:avLst/>
                    </a:prstGeom>
                  </pic:spPr>
                </pic:pic>
              </a:graphicData>
            </a:graphic>
          </wp:inline>
        </w:drawing>
      </w:r>
    </w:p>
    <w:p w14:paraId="32E399AC" w14:textId="77777777" w:rsidR="008D719D" w:rsidRDefault="00000000">
      <w:pPr>
        <w:pStyle w:val="figurecaption"/>
      </w:pPr>
      <w:r>
        <w:t>Fig. 4. Wasserstein distance per numerical column (Long configuration). Capital-gain (312) and capital-loss (124) dominate due to zero-inflation; remaining columns are within acceptable range.</w:t>
      </w:r>
    </w:p>
    <w:p w14:paraId="608B18A0" w14:textId="77777777" w:rsidR="008D719D" w:rsidRDefault="00000000">
      <w:pPr>
        <w:pStyle w:val="Heading2"/>
      </w:pPr>
      <w:r>
        <w:t xml:space="preserve"> Fidelity: Chi-Squared and SDV Quality Report</w:t>
      </w:r>
    </w:p>
    <w:p w14:paraId="533C945B" w14:textId="77777777" w:rsidR="008D719D" w:rsidRDefault="00000000">
      <w:pPr>
        <w:pStyle w:val="BodyText"/>
      </w:pPr>
      <w:r>
        <w:t>Zero of nine categorical columns returned p &gt; 0.05 at the 9,000-row test set size. This is a statistical power effect, not a practical failure: the chi-squared test is over-powered at this sample size, flagging even trivially small distributional differences as significant. Table III shows SDV QualityReport scores for all configurations. The 3.4 pp gap between Column Shapes (84.1%) and Column Pair Trends (80.7%) in the Long model is systematic, driven by the zero-inflated capital columns distorting pairwise correlations with income.</w:t>
      </w:r>
    </w:p>
    <w:p w14:paraId="561445EB" w14:textId="77777777" w:rsidR="008D719D" w:rsidRDefault="008D719D">
      <w:pPr>
        <w:pStyle w:val="BodyText"/>
      </w:pPr>
    </w:p>
    <w:p w14:paraId="62CB208F" w14:textId="77777777" w:rsidR="008D719D" w:rsidRDefault="00000000" w:rsidP="00B9258C">
      <w:pPr>
        <w:pStyle w:val="tablehead"/>
        <w:jc w:val="both"/>
      </w:pPr>
      <w:r>
        <w:t xml:space="preserve">  SDV Quality Report Scores by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1080"/>
        <w:gridCol w:w="1120"/>
        <w:gridCol w:w="1000"/>
      </w:tblGrid>
      <w:tr w:rsidR="008D719D" w14:paraId="3E7A48CC"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5AD0623" w14:textId="77777777" w:rsidR="008D719D" w:rsidRDefault="00000000">
            <w:r>
              <w:rPr>
                <w:b/>
                <w:color w:val="FFFFFF"/>
                <w:sz w:val="16"/>
                <w:szCs w:val="16"/>
              </w:rPr>
              <w:t>Configuration</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9D12DAD" w14:textId="77777777" w:rsidR="008D719D" w:rsidRDefault="00000000">
            <w:r>
              <w:rPr>
                <w:b/>
                <w:color w:val="FFFFFF"/>
                <w:sz w:val="16"/>
                <w:szCs w:val="16"/>
              </w:rPr>
              <w:t>Overall</w:t>
            </w:r>
          </w:p>
        </w:tc>
        <w:tc>
          <w:tcPr>
            <w:tcW w:w="112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8D23231" w14:textId="77777777" w:rsidR="008D719D" w:rsidRDefault="00000000">
            <w:r>
              <w:rPr>
                <w:b/>
                <w:color w:val="FFFFFF"/>
                <w:sz w:val="16"/>
                <w:szCs w:val="16"/>
              </w:rPr>
              <w:t>Col. Shapes</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DC74D0" w14:textId="77777777" w:rsidR="008D719D" w:rsidRDefault="00000000">
            <w:r>
              <w:rPr>
                <w:b/>
                <w:color w:val="FFFFFF"/>
                <w:sz w:val="16"/>
                <w:szCs w:val="16"/>
              </w:rPr>
              <w:t>Col. Pair Trends</w:t>
            </w:r>
          </w:p>
        </w:tc>
      </w:tr>
      <w:tr w:rsidR="008D719D" w14:paraId="35404F0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478FE6" w14:textId="77777777" w:rsidR="008D719D" w:rsidRDefault="00000000">
            <w:r>
              <w:rPr>
                <w:color w:val="000000"/>
                <w:sz w:val="16"/>
                <w:szCs w:val="16"/>
              </w:rPr>
              <w:t>Baseline</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6869EE" w14:textId="77777777" w:rsidR="008D719D" w:rsidRDefault="00000000">
            <w:r>
              <w:rPr>
                <w:color w:val="000000"/>
                <w:sz w:val="16"/>
                <w:szCs w:val="16"/>
              </w:rPr>
              <w:t>78.9%</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8B4C792" w14:textId="77777777" w:rsidR="008D719D" w:rsidRDefault="00000000">
            <w:r>
              <w:rPr>
                <w:color w:val="000000"/>
                <w:sz w:val="16"/>
                <w:szCs w:val="16"/>
              </w:rPr>
              <w:t>80.3%</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90C79" w14:textId="77777777" w:rsidR="008D719D" w:rsidRDefault="00000000">
            <w:r>
              <w:rPr>
                <w:color w:val="000000"/>
                <w:sz w:val="16"/>
                <w:szCs w:val="16"/>
              </w:rPr>
              <w:t>77.5%</w:t>
            </w:r>
          </w:p>
        </w:tc>
      </w:tr>
      <w:tr w:rsidR="008D719D" w14:paraId="4C5278C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24ADE9" w14:textId="77777777" w:rsidR="008D719D" w:rsidRDefault="00000000">
            <w:r>
              <w:rPr>
                <w:color w:val="000000"/>
                <w:sz w:val="16"/>
                <w:szCs w:val="16"/>
              </w:rPr>
              <w:t>Capacity</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D30B2D7" w14:textId="77777777" w:rsidR="008D719D" w:rsidRDefault="00000000">
            <w:r>
              <w:rPr>
                <w:color w:val="000000"/>
                <w:sz w:val="16"/>
                <w:szCs w:val="16"/>
              </w:rPr>
              <w:t>80.6%</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049AADD" w14:textId="77777777" w:rsidR="008D719D" w:rsidRDefault="00000000">
            <w:r>
              <w:rPr>
                <w:color w:val="000000"/>
                <w:sz w:val="16"/>
                <w:szCs w:val="16"/>
              </w:rPr>
              <w:t>82.1%</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2CA212" w14:textId="77777777" w:rsidR="008D719D" w:rsidRDefault="00000000">
            <w:r>
              <w:rPr>
                <w:color w:val="000000"/>
                <w:sz w:val="16"/>
                <w:szCs w:val="16"/>
              </w:rPr>
              <w:t>79.1%</w:t>
            </w:r>
          </w:p>
        </w:tc>
      </w:tr>
      <w:tr w:rsidR="008D719D" w14:paraId="58A71B2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2F1892D" w14:textId="77777777" w:rsidR="008D719D" w:rsidRDefault="00000000">
            <w:r>
              <w:rPr>
                <w:b/>
                <w:color w:val="000000"/>
                <w:sz w:val="16"/>
                <w:szCs w:val="16"/>
              </w:rPr>
              <w:t>Long (Best)</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7282D02" w14:textId="77777777" w:rsidR="008D719D" w:rsidRDefault="00000000">
            <w:r>
              <w:rPr>
                <w:b/>
                <w:color w:val="000000"/>
                <w:sz w:val="16"/>
                <w:szCs w:val="16"/>
              </w:rPr>
              <w:t>82.4%</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B537F44" w14:textId="77777777" w:rsidR="008D719D" w:rsidRDefault="00000000">
            <w:r>
              <w:rPr>
                <w:b/>
                <w:color w:val="000000"/>
                <w:sz w:val="16"/>
                <w:szCs w:val="16"/>
              </w:rPr>
              <w:t>84.1%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462FDE" w14:textId="77777777" w:rsidR="008D719D" w:rsidRDefault="00000000">
            <w:r>
              <w:rPr>
                <w:b/>
                <w:color w:val="000000"/>
                <w:sz w:val="16"/>
                <w:szCs w:val="16"/>
              </w:rPr>
              <w:t>80.7%</w:t>
            </w:r>
          </w:p>
        </w:tc>
      </w:tr>
      <w:tr w:rsidR="008D719D" w14:paraId="5168AFA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DC9C0A0" w14:textId="77777777" w:rsidR="008D719D" w:rsidRDefault="00000000">
            <w:r>
              <w:rPr>
                <w:color w:val="000000"/>
                <w:sz w:val="16"/>
                <w:szCs w:val="16"/>
              </w:rPr>
              <w:t>Stable</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FEF6D99" w14:textId="77777777" w:rsidR="008D719D" w:rsidRDefault="00000000">
            <w:r>
              <w:rPr>
                <w:color w:val="000000"/>
                <w:sz w:val="16"/>
                <w:szCs w:val="16"/>
              </w:rPr>
              <w:t>79.8%</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4C7E9D" w14:textId="77777777" w:rsidR="008D719D" w:rsidRDefault="00000000">
            <w:r>
              <w:rPr>
                <w:color w:val="000000"/>
                <w:sz w:val="16"/>
                <w:szCs w:val="16"/>
              </w:rPr>
              <w:t>81.4%</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4A24CCA" w14:textId="77777777" w:rsidR="008D719D" w:rsidRDefault="00000000">
            <w:r>
              <w:rPr>
                <w:color w:val="000000"/>
                <w:sz w:val="16"/>
                <w:szCs w:val="16"/>
              </w:rPr>
              <w:t>78.2%</w:t>
            </w:r>
          </w:p>
        </w:tc>
      </w:tr>
    </w:tbl>
    <w:p w14:paraId="38289F4C" w14:textId="77777777" w:rsidR="008D719D" w:rsidRDefault="00000000">
      <w:pPr>
        <w:pStyle w:val="Heading2"/>
      </w:pPr>
      <w:r>
        <w:t>Utility: Extended TSTR</w:t>
      </w:r>
    </w:p>
    <w:p w14:paraId="0973EE78" w14:textId="77777777" w:rsidR="008D719D" w:rsidRDefault="00000000">
      <w:pPr>
        <w:pStyle w:val="BodyText"/>
      </w:pPr>
      <w:r>
        <w:t>A Random Forest classifier [11] was trained on synthetic data and tested on real held-out records. Macro F1 is the primary metric because the 76/24 class imbalance can inflate overall accuracy. Table IV shows results; Fig. 5 plots TSTR accuracy against the real baseline. The macro F1 gap (0.761 real vs. 0.700 synthetic, 8.0% relative) and AUC-ROC gap (0.907 vs. 0.881, 2.9% relative) reveal the synthetic data is materially weaker for minority-class prediction, a critical finding for any downstream fairness analysis.</w:t>
      </w:r>
    </w:p>
    <w:p w14:paraId="3F902C7D" w14:textId="77777777" w:rsidR="008D719D" w:rsidRDefault="008D719D">
      <w:pPr>
        <w:pStyle w:val="BodyText"/>
      </w:pPr>
    </w:p>
    <w:p w14:paraId="19078869" w14:textId="77777777" w:rsidR="008D719D" w:rsidRDefault="00000000">
      <w:pPr>
        <w:spacing w:before="60" w:after="60"/>
      </w:pPr>
      <w:r>
        <w:rPr>
          <w:noProof/>
        </w:rPr>
        <w:drawing>
          <wp:inline distT="0" distB="0" distL="0" distR="0" wp14:anchorId="14E53F86" wp14:editId="39C2C1EF">
            <wp:extent cx="2808000" cy="1489634"/>
            <wp:effectExtent l="0" t="0" r="0" b="0"/>
            <wp:docPr id="3" nam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
                    <pic:cNvPicPr>
                      <a:picLocks noChangeAspect="1"/>
                    </pic:cNvPicPr>
                  </pic:nvPicPr>
                  <pic:blipFill>
                    <a:blip r:embed="rId15"/>
                    <a:stretch>
                      <a:fillRect/>
                    </a:stretch>
                  </pic:blipFill>
                  <pic:spPr>
                    <a:xfrm>
                      <a:off x="0" y="0"/>
                      <a:ext cx="2808000" cy="1489634"/>
                    </a:xfrm>
                    <a:prstGeom prst="rect">
                      <a:avLst/>
                    </a:prstGeom>
                  </pic:spPr>
                </pic:pic>
              </a:graphicData>
            </a:graphic>
          </wp:inline>
        </w:drawing>
      </w:r>
    </w:p>
    <w:p w14:paraId="5108E52E" w14:textId="77777777" w:rsidR="008D719D" w:rsidRDefault="00000000">
      <w:pPr>
        <w:pStyle w:val="figurecaption"/>
      </w:pPr>
      <w:r>
        <w:t>Fig. 5. TSTR accuracy per configuration vs. real-data baseline (85.3%, red dashed line). The Long configuration achieves the closest utility retention at 95.9%.</w:t>
      </w:r>
    </w:p>
    <w:p w14:paraId="5D4D0906" w14:textId="77777777" w:rsidR="008D719D" w:rsidRDefault="008D719D">
      <w:pPr>
        <w:pStyle w:val="BodyText"/>
      </w:pPr>
    </w:p>
    <w:p w14:paraId="6F6019EC" w14:textId="77777777" w:rsidR="008D719D" w:rsidRDefault="00000000">
      <w:pPr>
        <w:pStyle w:val="tablehead"/>
      </w:pPr>
      <w:r>
        <w:t>Extended TSTR Evaluation -- All Configurations</w:t>
      </w:r>
    </w:p>
    <w:tbl>
      <w:tblPr>
        <w:tblW w:w="460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240"/>
        <w:gridCol w:w="800"/>
        <w:gridCol w:w="800"/>
        <w:gridCol w:w="800"/>
        <w:gridCol w:w="960"/>
      </w:tblGrid>
      <w:tr w:rsidR="008D719D" w14:paraId="5221B82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4CF5E68" w14:textId="77777777" w:rsidR="008D719D" w:rsidRDefault="00000000">
            <w:r>
              <w:rPr>
                <w:b/>
                <w:color w:val="FFFFFF"/>
                <w:sz w:val="16"/>
                <w:szCs w:val="16"/>
              </w:rPr>
              <w:t>Configuration</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265965F" w14:textId="77777777" w:rsidR="008D719D" w:rsidRDefault="00000000">
            <w:r>
              <w:rPr>
                <w:b/>
                <w:color w:val="FFFFFF"/>
                <w:sz w:val="16"/>
                <w:szCs w:val="16"/>
              </w:rPr>
              <w:t>Accuracy</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E468523" w14:textId="77777777" w:rsidR="008D719D" w:rsidRDefault="00000000">
            <w:r>
              <w:rPr>
                <w:b/>
                <w:color w:val="FFFFFF"/>
                <w:sz w:val="16"/>
                <w:szCs w:val="16"/>
              </w:rPr>
              <w:t>Macro F1</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26E8C9E" w14:textId="77777777" w:rsidR="008D719D" w:rsidRDefault="00000000">
            <w:r>
              <w:rPr>
                <w:b/>
                <w:color w:val="FFFFFF"/>
                <w:sz w:val="16"/>
                <w:szCs w:val="16"/>
              </w:rPr>
              <w:t>AUC-ROC</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1581D0" w14:textId="77777777" w:rsidR="008D719D" w:rsidRDefault="00000000">
            <w:r>
              <w:rPr>
                <w:b/>
                <w:color w:val="FFFFFF"/>
                <w:sz w:val="16"/>
                <w:szCs w:val="16"/>
              </w:rPr>
              <w:t>Util. Ret.</w:t>
            </w:r>
          </w:p>
        </w:tc>
      </w:tr>
      <w:tr w:rsidR="008D719D" w14:paraId="462DCD6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2A22407" w14:textId="77777777" w:rsidR="008D719D" w:rsidRDefault="00000000">
            <w:r>
              <w:rPr>
                <w:color w:val="000000"/>
                <w:sz w:val="16"/>
                <w:szCs w:val="16"/>
              </w:rPr>
              <w:t>Real (baseline)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4D1069" w14:textId="77777777" w:rsidR="008D719D" w:rsidRDefault="00000000">
            <w:r>
              <w:rPr>
                <w:color w:val="000000"/>
                <w:sz w:val="16"/>
                <w:szCs w:val="16"/>
              </w:rPr>
              <w:t>85.3%</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7B6D54" w14:textId="77777777" w:rsidR="008D719D" w:rsidRDefault="00000000">
            <w:r>
              <w:rPr>
                <w:color w:val="000000"/>
                <w:sz w:val="16"/>
                <w:szCs w:val="16"/>
              </w:rPr>
              <w:t>0.761</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E1DF98B" w14:textId="77777777" w:rsidR="008D719D" w:rsidRDefault="00000000">
            <w:r>
              <w:rPr>
                <w:color w:val="000000"/>
                <w:sz w:val="16"/>
                <w:szCs w:val="16"/>
              </w:rPr>
              <w:t>0.907</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EFB3505" w14:textId="77777777" w:rsidR="008D719D" w:rsidRDefault="00000000">
            <w:r>
              <w:rPr>
                <w:color w:val="000000"/>
                <w:sz w:val="16"/>
                <w:szCs w:val="16"/>
              </w:rPr>
              <w:t>100.0%</w:t>
            </w:r>
          </w:p>
        </w:tc>
      </w:tr>
      <w:tr w:rsidR="008D719D" w14:paraId="162B713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62D6797" w14:textId="77777777" w:rsidR="008D719D" w:rsidRDefault="00000000">
            <w:r>
              <w:rPr>
                <w:color w:val="000000"/>
                <w:sz w:val="16"/>
                <w:szCs w:val="16"/>
              </w:rPr>
              <w:t>Baseline</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6EC0C21" w14:textId="77777777" w:rsidR="008D719D" w:rsidRDefault="00000000">
            <w:r>
              <w:rPr>
                <w:color w:val="000000"/>
                <w:sz w:val="16"/>
                <w:szCs w:val="16"/>
              </w:rPr>
              <w:t>79.4%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9A4CFE" w14:textId="77777777" w:rsidR="008D719D" w:rsidRDefault="00000000">
            <w:r>
              <w:rPr>
                <w:color w:val="000000"/>
                <w:sz w:val="16"/>
                <w:szCs w:val="16"/>
              </w:rPr>
              <w:t>0.694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288819E" w14:textId="77777777" w:rsidR="008D719D" w:rsidRDefault="00000000">
            <w:r>
              <w:rPr>
                <w:color w:val="000000"/>
                <w:sz w:val="16"/>
                <w:szCs w:val="16"/>
              </w:rPr>
              <w:t>0.855</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9E15FF8" w14:textId="77777777" w:rsidR="008D719D" w:rsidRDefault="00000000">
            <w:r>
              <w:rPr>
                <w:color w:val="000000"/>
                <w:sz w:val="16"/>
                <w:szCs w:val="16"/>
              </w:rPr>
              <w:t>93.1%</w:t>
            </w:r>
          </w:p>
        </w:tc>
      </w:tr>
      <w:tr w:rsidR="008D719D" w14:paraId="546198BD"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A2B601" w14:textId="77777777" w:rsidR="008D719D" w:rsidRDefault="00000000">
            <w:r>
              <w:rPr>
                <w:color w:val="000000"/>
                <w:sz w:val="16"/>
                <w:szCs w:val="16"/>
              </w:rPr>
              <w:t>Capacity</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2CFD3C" w14:textId="77777777" w:rsidR="008D719D" w:rsidRDefault="00000000">
            <w:r>
              <w:rPr>
                <w:color w:val="000000"/>
                <w:sz w:val="16"/>
                <w:szCs w:val="16"/>
              </w:rPr>
              <w:t>81.0%</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FBBB77" w14:textId="77777777" w:rsidR="008D719D" w:rsidRDefault="00000000">
            <w:r>
              <w:rPr>
                <w:color w:val="000000"/>
                <w:sz w:val="16"/>
                <w:szCs w:val="16"/>
              </w:rPr>
              <w:t>0.712</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53A7CF" w14:textId="77777777" w:rsidR="008D719D" w:rsidRDefault="00000000">
            <w:r>
              <w:rPr>
                <w:color w:val="000000"/>
                <w:sz w:val="16"/>
                <w:szCs w:val="16"/>
              </w:rPr>
              <w:t>0.869</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C599979" w14:textId="77777777" w:rsidR="008D719D" w:rsidRDefault="00000000">
            <w:r>
              <w:rPr>
                <w:color w:val="000000"/>
                <w:sz w:val="16"/>
                <w:szCs w:val="16"/>
              </w:rPr>
              <w:t>94.9%</w:t>
            </w:r>
          </w:p>
        </w:tc>
      </w:tr>
      <w:tr w:rsidR="008D719D" w14:paraId="6F965C68"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F2D6613" w14:textId="77777777" w:rsidR="008D719D" w:rsidRDefault="00000000">
            <w:r>
              <w:rPr>
                <w:b/>
                <w:color w:val="000000"/>
                <w:sz w:val="16"/>
                <w:szCs w:val="16"/>
              </w:rPr>
              <w:t>Long (Best)</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BB1B175" w14:textId="77777777" w:rsidR="008D719D" w:rsidRDefault="00000000">
            <w:r>
              <w:rPr>
                <w:b/>
                <w:color w:val="000000"/>
                <w:sz w:val="16"/>
                <w:szCs w:val="16"/>
              </w:rPr>
              <w:t>81.8%</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AF1A513" w14:textId="77777777" w:rsidR="008D719D" w:rsidRDefault="00000000">
            <w:r>
              <w:rPr>
                <w:b/>
                <w:color w:val="000000"/>
                <w:sz w:val="16"/>
                <w:szCs w:val="16"/>
              </w:rPr>
              <w:t>0.700</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56C65C" w14:textId="77777777" w:rsidR="008D719D" w:rsidRDefault="00000000">
            <w:r>
              <w:rPr>
                <w:b/>
                <w:color w:val="000000"/>
                <w:sz w:val="16"/>
                <w:szCs w:val="16"/>
              </w:rPr>
              <w:t>0.881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048605" w14:textId="77777777" w:rsidR="008D719D" w:rsidRDefault="00000000">
            <w:r>
              <w:rPr>
                <w:b/>
                <w:color w:val="000000"/>
                <w:sz w:val="16"/>
                <w:szCs w:val="16"/>
              </w:rPr>
              <w:t>95.9%</w:t>
            </w:r>
          </w:p>
        </w:tc>
      </w:tr>
      <w:tr w:rsidR="008D719D" w14:paraId="6BAAE3C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6405E0" w14:textId="77777777" w:rsidR="008D719D" w:rsidRDefault="00000000">
            <w:r>
              <w:rPr>
                <w:color w:val="000000"/>
                <w:sz w:val="16"/>
                <w:szCs w:val="16"/>
              </w:rPr>
              <w:t>Stable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426B91" w14:textId="77777777" w:rsidR="008D719D" w:rsidRDefault="00000000">
            <w:r>
              <w:rPr>
                <w:color w:val="000000"/>
                <w:sz w:val="16"/>
                <w:szCs w:val="16"/>
              </w:rPr>
              <w:t>80.7%</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D2589FE" w14:textId="77777777" w:rsidR="008D719D" w:rsidRDefault="00000000">
            <w:r>
              <w:rPr>
                <w:color w:val="000000"/>
                <w:sz w:val="16"/>
                <w:szCs w:val="16"/>
              </w:rPr>
              <w:t>0.708</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2BB9E7" w14:textId="77777777" w:rsidR="008D719D" w:rsidRDefault="00000000">
            <w:r>
              <w:rPr>
                <w:color w:val="000000"/>
                <w:sz w:val="16"/>
                <w:szCs w:val="16"/>
              </w:rPr>
              <w:t>0.863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87AAA9" w14:textId="77777777" w:rsidR="008D719D" w:rsidRDefault="00000000">
            <w:r>
              <w:rPr>
                <w:color w:val="000000"/>
                <w:sz w:val="16"/>
                <w:szCs w:val="16"/>
              </w:rPr>
              <w:t>94.6%</w:t>
            </w:r>
          </w:p>
        </w:tc>
      </w:tr>
    </w:tbl>
    <w:p w14:paraId="15F0D642" w14:textId="77777777" w:rsidR="008D719D" w:rsidRDefault="00000000">
      <w:pPr>
        <w:pStyle w:val="Heading2"/>
      </w:pPr>
      <w:r>
        <w:t>Privacy: Membership Inference Attack</w:t>
      </w:r>
    </w:p>
    <w:p w14:paraId="535865C9" w14:textId="77777777" w:rsidR="008D719D" w:rsidRDefault="00000000">
      <w:pPr>
        <w:pStyle w:val="BodyText"/>
      </w:pPr>
      <w:r>
        <w:t>A shadow-model MIA [12] was implemented. The trained CTGAN generates synthetic rows used to build a nearest-neighbour index. Distance from each real record to its nearest synthetic neighbour is the membership signal. A logistic regression classifier predicts membership from this signal. The Long model returned 53.1% MIA accuracy: 3.1 pp above random chance (50%) and below the 55% memorisation threshold [13]. This establishes a lower bound on privacy, not a formal guarantee. A white-box adversary with access to CTGAN weights could mount a stronger attack. SDMetrics NewRowSynthesis scored 0.985 (98.5% of rows genuinely novel).</w:t>
      </w:r>
    </w:p>
    <w:p w14:paraId="0145B8A0" w14:textId="77777777" w:rsidR="008D719D" w:rsidRDefault="008D719D">
      <w:pPr>
        <w:pStyle w:val="BodyText"/>
      </w:pPr>
    </w:p>
    <w:p w14:paraId="6AC8751D" w14:textId="77777777" w:rsidR="008D719D" w:rsidRDefault="00000000" w:rsidP="00B9258C">
      <w:pPr>
        <w:pStyle w:val="tablehead"/>
        <w:jc w:val="both"/>
      </w:pPr>
      <w:r>
        <w:t>Privacy Risk Metrics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900"/>
        <w:gridCol w:w="1300"/>
        <w:gridCol w:w="1000"/>
      </w:tblGrid>
      <w:tr w:rsidR="008D719D" w14:paraId="27CF7C63"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741D312" w14:textId="77777777" w:rsidR="008D719D" w:rsidRDefault="00000000">
            <w:r>
              <w:rPr>
                <w:b/>
                <w:color w:val="FFFFFF"/>
                <w:sz w:val="16"/>
                <w:szCs w:val="16"/>
              </w:rPr>
              <w:t>Metric</w:t>
            </w:r>
          </w:p>
        </w:tc>
        <w:tc>
          <w:tcPr>
            <w:tcW w:w="9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34B3062" w14:textId="77777777" w:rsidR="008D719D" w:rsidRDefault="00000000">
            <w:r>
              <w:rPr>
                <w:b/>
                <w:color w:val="FFFFFF"/>
                <w:sz w:val="16"/>
                <w:szCs w:val="16"/>
              </w:rPr>
              <w:t>Value</w:t>
            </w:r>
          </w:p>
        </w:tc>
        <w:tc>
          <w:tcPr>
            <w:tcW w:w="13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8BE716" w14:textId="77777777" w:rsidR="008D719D" w:rsidRDefault="00000000">
            <w:r>
              <w:rPr>
                <w:b/>
                <w:color w:val="FFFFFF"/>
                <w:sz w:val="16"/>
                <w:szCs w:val="16"/>
              </w:rPr>
              <w:t>Safe Threshold</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02CF569" w14:textId="77777777" w:rsidR="008D719D" w:rsidRDefault="00000000">
            <w:r>
              <w:rPr>
                <w:b/>
                <w:color w:val="FFFFFF"/>
                <w:sz w:val="16"/>
                <w:szCs w:val="16"/>
              </w:rPr>
              <w:t>Status</w:t>
            </w:r>
          </w:p>
        </w:tc>
      </w:tr>
      <w:tr w:rsidR="008D719D" w14:paraId="60E5100D"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3A121" w14:textId="77777777" w:rsidR="008D719D" w:rsidRDefault="00000000">
            <w:r>
              <w:rPr>
                <w:color w:val="000000"/>
                <w:sz w:val="16"/>
                <w:szCs w:val="16"/>
              </w:rPr>
              <w:t>MIA Accuracy</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A94D8D" w14:textId="77777777" w:rsidR="008D719D" w:rsidRDefault="00000000">
            <w:r>
              <w:rPr>
                <w:color w:val="000000"/>
                <w:sz w:val="16"/>
                <w:szCs w:val="16"/>
              </w:rPr>
              <w:t>53.1%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10D689" w14:textId="77777777" w:rsidR="008D719D" w:rsidRDefault="00000000">
            <w:r>
              <w:rPr>
                <w:color w:val="000000"/>
                <w:sz w:val="16"/>
                <w:szCs w:val="16"/>
              </w:rPr>
              <w:t>&lt; 55%</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3034E70" w14:textId="77777777" w:rsidR="008D719D" w:rsidRDefault="00000000">
            <w:r>
              <w:rPr>
                <w:b/>
                <w:color w:val="1E6B2E"/>
                <w:sz w:val="16"/>
                <w:szCs w:val="16"/>
              </w:rPr>
              <w:t>SAFE</w:t>
            </w:r>
          </w:p>
        </w:tc>
      </w:tr>
      <w:tr w:rsidR="008D719D" w14:paraId="3EAA15FA"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A5BC2E" w14:textId="77777777" w:rsidR="008D719D" w:rsidRDefault="00000000">
            <w:r>
              <w:rPr>
                <w:color w:val="000000"/>
                <w:sz w:val="16"/>
                <w:szCs w:val="16"/>
              </w:rPr>
              <w:t>NewRowSynthesis</w:t>
            </w:r>
          </w:p>
        </w:tc>
        <w:tc>
          <w:tcPr>
            <w:tcW w:w="9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7311B69" w14:textId="77777777" w:rsidR="008D719D" w:rsidRDefault="00000000">
            <w:r>
              <w:rPr>
                <w:color w:val="000000"/>
                <w:sz w:val="16"/>
                <w:szCs w:val="16"/>
              </w:rPr>
              <w:t>0.9847</w:t>
            </w:r>
          </w:p>
        </w:tc>
        <w:tc>
          <w:tcPr>
            <w:tcW w:w="13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1F557CC" w14:textId="77777777" w:rsidR="008D719D" w:rsidRDefault="00000000">
            <w:r>
              <w:rPr>
                <w:color w:val="000000"/>
                <w:sz w:val="16"/>
                <w:szCs w:val="16"/>
              </w:rPr>
              <w:t>&gt; 0.95</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35FFFA" w14:textId="77777777" w:rsidR="008D719D" w:rsidRDefault="00000000">
            <w:r>
              <w:rPr>
                <w:b/>
                <w:color w:val="1E6B2E"/>
                <w:sz w:val="16"/>
                <w:szCs w:val="16"/>
              </w:rPr>
              <w:t>SAFE</w:t>
            </w:r>
          </w:p>
        </w:tc>
      </w:tr>
      <w:tr w:rsidR="008D719D" w14:paraId="43152F21"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19F0EA" w14:textId="77777777" w:rsidR="008D719D" w:rsidRDefault="00000000">
            <w:r>
              <w:rPr>
                <w:color w:val="000000"/>
                <w:sz w:val="16"/>
                <w:szCs w:val="16"/>
              </w:rPr>
              <w:t>Singling-Out Risk</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3BF35C" w14:textId="77777777" w:rsidR="008D719D" w:rsidRDefault="00000000">
            <w:r>
              <w:rPr>
                <w:color w:val="000000"/>
                <w:sz w:val="16"/>
                <w:szCs w:val="16"/>
              </w:rPr>
              <w:t>&lt;0.001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AF3ECA8" w14:textId="77777777" w:rsidR="008D719D" w:rsidRDefault="00000000">
            <w:r>
              <w:rPr>
                <w:color w:val="000000"/>
                <w:sz w:val="16"/>
                <w:szCs w:val="16"/>
              </w:rPr>
              <w:t>&lt; 0.01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CAD9E0" w14:textId="77777777" w:rsidR="008D719D" w:rsidRDefault="00000000">
            <w:r>
              <w:rPr>
                <w:b/>
                <w:color w:val="1E6B2E"/>
                <w:sz w:val="16"/>
                <w:szCs w:val="16"/>
              </w:rPr>
              <w:t>SAFE</w:t>
            </w:r>
          </w:p>
        </w:tc>
      </w:tr>
    </w:tbl>
    <w:p w14:paraId="1EBDED24" w14:textId="77777777" w:rsidR="008D719D" w:rsidRDefault="00000000">
      <w:pPr>
        <w:pStyle w:val="Heading2"/>
      </w:pPr>
      <w:r>
        <w:t>Cross-Split Generalisation</w:t>
      </w:r>
    </w:p>
    <w:p w14:paraId="773F43FC" w14:textId="77777777" w:rsidR="008D719D" w:rsidRDefault="00000000">
      <w:pPr>
        <w:pStyle w:val="BodyText"/>
      </w:pPr>
      <w:r>
        <w:t>A second 80/20 partition (seed 99) was created without retraining the model. TSTR accuracy: 81.8% on both partitions (0.0 pp variation). Income deviation: 7.8 pp on the second split vs. 7.5 pp on the original -- a 0.3 pp difference within sampling noise. Both results confirm the evaluation is not specific to one random partition.</w:t>
      </w:r>
    </w:p>
    <w:p w14:paraId="437609E5" w14:textId="77777777" w:rsidR="00F00585" w:rsidRDefault="00F00585">
      <w:pPr>
        <w:pStyle w:val="BodyText"/>
      </w:pPr>
    </w:p>
    <w:p w14:paraId="51200671" w14:textId="3B5B9B60" w:rsidR="008D719D" w:rsidRDefault="00000000">
      <w:pPr>
        <w:pStyle w:val="Heading1"/>
      </w:pPr>
      <w:r>
        <w:t>DEPLOYING THE MODEL</w:t>
      </w:r>
    </w:p>
    <w:p w14:paraId="54A40C78" w14:textId="77777777" w:rsidR="008D719D" w:rsidRDefault="00000000">
      <w:pPr>
        <w:pStyle w:val="Heading2"/>
      </w:pPr>
      <w:r>
        <w:t>Platform and Interface</w:t>
      </w:r>
    </w:p>
    <w:p w14:paraId="347F3541" w14:textId="77777777" w:rsidR="008D719D" w:rsidRDefault="00000000">
      <w:pPr>
        <w:pStyle w:val="BodyText"/>
      </w:pPr>
      <w:r>
        <w:t>The model is deployed as a Gradio [14] web application inside a Google Colab session. Gradio generates a public .gradio.live URL via share=True. The Milestone 4 interface extends Milestone 3 with: a model selector dropdown (all four configurations), an optional SDV Quality Report toggle (adds 8-12 s), and a CSV file download widget replacing the raw text output used in Milestone 3.</w:t>
      </w:r>
    </w:p>
    <w:p w14:paraId="0F2ADA67" w14:textId="77777777" w:rsidR="00B9258C" w:rsidRDefault="00B9258C">
      <w:pPr>
        <w:pStyle w:val="BodyText"/>
      </w:pPr>
    </w:p>
    <w:p w14:paraId="7A096872" w14:textId="77777777" w:rsidR="008D719D" w:rsidRDefault="00000000">
      <w:pPr>
        <w:pStyle w:val="Heading2"/>
      </w:pPr>
      <w:r>
        <w:t>Step-by-Step Access Guide</w:t>
      </w:r>
    </w:p>
    <w:p w14:paraId="55F8E51C" w14:textId="77777777" w:rsidR="008D719D" w:rsidRDefault="00000000">
      <w:pPr>
        <w:pStyle w:val="BodyText"/>
      </w:pPr>
      <w:r>
        <w:t>Open the Colab link from the links box at the top of this paper.</w:t>
      </w:r>
    </w:p>
    <w:p w14:paraId="487A3B36" w14:textId="77777777" w:rsidR="008D719D" w:rsidRDefault="00000000">
      <w:pPr>
        <w:pStyle w:val="BodyText"/>
      </w:pPr>
      <w:r>
        <w:t>Set runtime to GPU: Runtime &gt; Change runtime type &gt; T4 GPU.</w:t>
      </w:r>
    </w:p>
    <w:p w14:paraId="143E70DE" w14:textId="77777777" w:rsidR="008D719D" w:rsidRDefault="00000000">
      <w:pPr>
        <w:pStyle w:val="BodyText"/>
      </w:pPr>
      <w:r>
        <w:t>Run all cells with Ctrl+F9. All packages install automatically. Training all four configurations takes 2-3 hours on T4 GPU.</w:t>
      </w:r>
    </w:p>
    <w:p w14:paraId="3A7CBDDB" w14:textId="77777777" w:rsidR="008D719D" w:rsidRDefault="00000000">
      <w:pPr>
        <w:pStyle w:val="BodyText"/>
      </w:pPr>
      <w:r>
        <w:t>Copy the .gradio.live URL from the Gradio cell output and open in any browser.</w:t>
      </w:r>
    </w:p>
    <w:p w14:paraId="5E8C3FCA" w14:textId="77777777" w:rsidR="008D719D" w:rsidRDefault="00000000">
      <w:pPr>
        <w:pStyle w:val="BodyText"/>
      </w:pPr>
      <w:r>
        <w:t>Select a configuration (Long recommended), set row count (10-5,000), optionally enable the Quality Report, click Generate, then download CSV.</w:t>
      </w:r>
    </w:p>
    <w:p w14:paraId="4578224B" w14:textId="77777777" w:rsidR="008D719D" w:rsidRDefault="00000000">
      <w:pPr>
        <w:pStyle w:val="Heading2"/>
      </w:pPr>
      <w:r>
        <w:t>Verification</w:t>
      </w:r>
    </w:p>
    <w:p w14:paraId="2CC85F07" w14:textId="77777777" w:rsidR="008D719D" w:rsidRDefault="00000000">
      <w:pPr>
        <w:pStyle w:val="tablehead"/>
      </w:pPr>
      <w:r>
        <w:t>Deployment Verification Results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360"/>
        <w:gridCol w:w="840"/>
        <w:gridCol w:w="680"/>
        <w:gridCol w:w="1040"/>
        <w:gridCol w:w="760"/>
        <w:gridCol w:w="1080"/>
      </w:tblGrid>
      <w:tr w:rsidR="008D719D" w14:paraId="3A182DD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DF269D5" w14:textId="77777777" w:rsidR="008D719D" w:rsidRDefault="00000000">
            <w:r>
              <w:rPr>
                <w:b/>
                <w:color w:val="FFFFFF"/>
                <w:sz w:val="16"/>
                <w:szCs w:val="16"/>
              </w:rPr>
              <w:t>Test</w:t>
            </w:r>
          </w:p>
        </w:tc>
        <w:tc>
          <w:tcPr>
            <w:tcW w:w="8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7D2E57F" w14:textId="77777777" w:rsidR="008D719D" w:rsidRDefault="00000000">
            <w:r>
              <w:rPr>
                <w:b/>
                <w:color w:val="FFFFFF"/>
                <w:sz w:val="16"/>
                <w:szCs w:val="16"/>
              </w:rPr>
              <w:t>Model</w:t>
            </w:r>
          </w:p>
        </w:tc>
        <w:tc>
          <w:tcPr>
            <w:tcW w:w="6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0BB2029" w14:textId="77777777" w:rsidR="008D719D" w:rsidRDefault="00000000">
            <w:r>
              <w:rPr>
                <w:b/>
                <w:color w:val="FFFFFF"/>
                <w:sz w:val="16"/>
                <w:szCs w:val="16"/>
              </w:rPr>
              <w:t>Rows</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5CDBBCE" w14:textId="77777777" w:rsidR="008D719D" w:rsidRDefault="00000000">
            <w:r>
              <w:rPr>
                <w:b/>
                <w:color w:val="FFFFFF"/>
                <w:sz w:val="16"/>
                <w:szCs w:val="16"/>
              </w:rPr>
              <w:t>Quality Report</w:t>
            </w:r>
          </w:p>
        </w:tc>
        <w:tc>
          <w:tcPr>
            <w:tcW w:w="7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0AAB1DD" w14:textId="77777777" w:rsidR="008D719D" w:rsidRDefault="00000000">
            <w:r>
              <w:rPr>
                <w:b/>
                <w:color w:val="FFFFFF"/>
                <w:sz w:val="16"/>
                <w:szCs w:val="16"/>
              </w:rPr>
              <w:t>Result</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F7657EE" w14:textId="77777777" w:rsidR="008D719D" w:rsidRDefault="00000000">
            <w:r>
              <w:rPr>
                <w:b/>
                <w:color w:val="FFFFFF"/>
                <w:sz w:val="16"/>
                <w:szCs w:val="16"/>
              </w:rPr>
              <w:t>Response Time</w:t>
            </w:r>
          </w:p>
        </w:tc>
      </w:tr>
      <w:tr w:rsidR="008D719D" w14:paraId="6CF48CCD"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A3458E" w14:textId="77777777" w:rsidR="008D719D" w:rsidRDefault="00000000">
            <w:r>
              <w:rPr>
                <w:color w:val="000000"/>
                <w:sz w:val="16"/>
                <w:szCs w:val="16"/>
              </w:rPr>
              <w:t>1</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B0381F"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65C771" w14:textId="77777777" w:rsidR="008D719D" w:rsidRDefault="00000000">
            <w:r>
              <w:rPr>
                <w:color w:val="000000"/>
                <w:sz w:val="16"/>
                <w:szCs w:val="16"/>
              </w:rPr>
              <w:t>100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A10D26"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822F25"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5744BB" w14:textId="77777777" w:rsidR="008D719D" w:rsidRDefault="00000000">
            <w:r>
              <w:rPr>
                <w:color w:val="000000"/>
                <w:sz w:val="16"/>
                <w:szCs w:val="16"/>
              </w:rPr>
              <w:t>&lt; 2s</w:t>
            </w:r>
          </w:p>
        </w:tc>
      </w:tr>
      <w:tr w:rsidR="008D719D" w14:paraId="13A9F54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CA90A0" w14:textId="77777777" w:rsidR="008D719D" w:rsidRDefault="00000000">
            <w:r>
              <w:rPr>
                <w:color w:val="000000"/>
                <w:sz w:val="16"/>
                <w:szCs w:val="16"/>
              </w:rPr>
              <w:t>2</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21B4995"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BE28B8E" w14:textId="77777777" w:rsidR="008D719D" w:rsidRDefault="00000000">
            <w:r>
              <w:rPr>
                <w:color w:val="000000"/>
                <w:sz w:val="16"/>
                <w:szCs w:val="16"/>
              </w:rPr>
              <w:t>500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10A9CA" w14:textId="77777777" w:rsidR="008D719D" w:rsidRDefault="00000000">
            <w:r>
              <w:rPr>
                <w:color w:val="000000"/>
                <w:sz w:val="16"/>
                <w:szCs w:val="16"/>
              </w:rPr>
              <w:t>Enabled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34EAE2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C7D0807" w14:textId="77777777" w:rsidR="008D719D" w:rsidRDefault="00000000">
            <w:r>
              <w:rPr>
                <w:color w:val="000000"/>
                <w:sz w:val="16"/>
                <w:szCs w:val="16"/>
              </w:rPr>
              <w:t>~14s</w:t>
            </w:r>
          </w:p>
        </w:tc>
      </w:tr>
      <w:tr w:rsidR="008D719D" w14:paraId="70C11B94"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33344D" w14:textId="77777777" w:rsidR="008D719D" w:rsidRDefault="00000000">
            <w:r>
              <w:rPr>
                <w:color w:val="000000"/>
                <w:sz w:val="16"/>
                <w:szCs w:val="16"/>
              </w:rPr>
              <w:t>3</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6A5ED1" w14:textId="77777777" w:rsidR="008D719D" w:rsidRDefault="00000000">
            <w:r>
              <w:rPr>
                <w:color w:val="000000"/>
                <w:sz w:val="16"/>
                <w:szCs w:val="16"/>
              </w:rPr>
              <w:t>Stable</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C440AF" w14:textId="77777777" w:rsidR="008D719D" w:rsidRDefault="00000000">
            <w:r>
              <w:rPr>
                <w:color w:val="000000"/>
                <w:sz w:val="16"/>
                <w:szCs w:val="16"/>
              </w:rPr>
              <w:t>1000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F23B5D"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DC24B2"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E788632" w14:textId="77777777" w:rsidR="008D719D" w:rsidRDefault="00000000">
            <w:r>
              <w:rPr>
                <w:color w:val="000000"/>
                <w:sz w:val="16"/>
                <w:szCs w:val="16"/>
              </w:rPr>
              <w:t>&lt; 4s</w:t>
            </w:r>
          </w:p>
        </w:tc>
      </w:tr>
      <w:tr w:rsidR="008D719D" w14:paraId="7E1C91B2"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4C00DD" w14:textId="77777777" w:rsidR="008D719D" w:rsidRDefault="00000000">
            <w:r>
              <w:rPr>
                <w:color w:val="000000"/>
                <w:sz w:val="16"/>
                <w:szCs w:val="16"/>
              </w:rPr>
              <w:t>4</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CA011D" w14:textId="77777777" w:rsidR="008D719D" w:rsidRDefault="00000000">
            <w:r>
              <w:rPr>
                <w:color w:val="000000"/>
                <w:sz w:val="16"/>
                <w:szCs w:val="16"/>
              </w:rPr>
              <w:t>Baseline</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999A5C6" w14:textId="77777777" w:rsidR="008D719D" w:rsidRDefault="00000000">
            <w:r>
              <w:rPr>
                <w:color w:val="000000"/>
                <w:sz w:val="16"/>
                <w:szCs w:val="16"/>
              </w:rPr>
              <w:t>5000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79A108" w14:textId="77777777" w:rsidR="008D719D" w:rsidRDefault="00000000" w:rsidP="00F00585">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236C5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10168C2" w14:textId="77777777" w:rsidR="008D719D" w:rsidRDefault="00000000">
            <w:r>
              <w:rPr>
                <w:color w:val="000000"/>
                <w:sz w:val="16"/>
                <w:szCs w:val="16"/>
              </w:rPr>
              <w:t>&lt; 6s</w:t>
            </w:r>
          </w:p>
        </w:tc>
      </w:tr>
    </w:tbl>
    <w:p w14:paraId="145597F5" w14:textId="77777777" w:rsidR="00F00585" w:rsidRDefault="00F00585" w:rsidP="00F00585">
      <w:pPr>
        <w:pStyle w:val="Heading1"/>
        <w:numPr>
          <w:ilvl w:val="0"/>
          <w:numId w:val="0"/>
        </w:numPr>
        <w:jc w:val="both"/>
      </w:pPr>
    </w:p>
    <w:p w14:paraId="290E54D9" w14:textId="3DF2528C" w:rsidR="008D719D" w:rsidRDefault="00000000" w:rsidP="00F00585">
      <w:pPr>
        <w:pStyle w:val="Heading1"/>
      </w:pPr>
      <w:r>
        <w:t>RESULTS AND ANALYSIS</w:t>
      </w:r>
    </w:p>
    <w:p w14:paraId="25D9D3FD" w14:textId="77777777" w:rsidR="008D719D" w:rsidRDefault="00000000">
      <w:pPr>
        <w:pStyle w:val="Heading2"/>
      </w:pPr>
      <w:r>
        <w:t>Consolidated Results</w:t>
      </w:r>
    </w:p>
    <w:p w14:paraId="30A64B81" w14:textId="77777777" w:rsidR="008D719D" w:rsidRDefault="00000000">
      <w:pPr>
        <w:pStyle w:val="tablehead"/>
      </w:pPr>
      <w:r>
        <w:t>Full Evaluation Summary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00"/>
        <w:gridCol w:w="1780"/>
        <w:gridCol w:w="1980"/>
      </w:tblGrid>
      <w:tr w:rsidR="008D719D" w14:paraId="3925E49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6AB6F59" w14:textId="77777777" w:rsidR="008D719D" w:rsidRDefault="00000000">
            <w:r>
              <w:rPr>
                <w:b/>
                <w:color w:val="FFFFFF"/>
                <w:sz w:val="16"/>
                <w:szCs w:val="16"/>
              </w:rPr>
              <w:t>Dimension</w:t>
            </w:r>
          </w:p>
        </w:tc>
        <w:tc>
          <w:tcPr>
            <w:tcW w:w="1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9DBA138" w14:textId="77777777" w:rsidR="008D719D" w:rsidRDefault="00000000">
            <w:r>
              <w:rPr>
                <w:b/>
                <w:color w:val="FFFFFF"/>
                <w:sz w:val="16"/>
                <w:szCs w:val="16"/>
              </w:rPr>
              <w:t>Metric</w:t>
            </w:r>
          </w:p>
        </w:tc>
        <w:tc>
          <w:tcPr>
            <w:tcW w:w="1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9C4ACCB" w14:textId="77777777" w:rsidR="008D719D" w:rsidRDefault="00000000">
            <w:r>
              <w:rPr>
                <w:b/>
                <w:color w:val="FFFFFF"/>
                <w:sz w:val="16"/>
                <w:szCs w:val="16"/>
              </w:rPr>
              <w:t>Value</w:t>
            </w:r>
          </w:p>
        </w:tc>
      </w:tr>
      <w:tr w:rsidR="008D719D" w14:paraId="1E3395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DBECCC4"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C27497" w14:textId="77777777" w:rsidR="008D719D" w:rsidRDefault="00000000">
            <w:r>
              <w:rPr>
                <w:color w:val="000000"/>
                <w:sz w:val="16"/>
                <w:szCs w:val="16"/>
              </w:rPr>
              <w:t>SDV Quality Score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FF823A" w14:textId="77777777" w:rsidR="008D719D" w:rsidRDefault="00000000">
            <w:r>
              <w:rPr>
                <w:color w:val="000000"/>
                <w:sz w:val="16"/>
                <w:szCs w:val="16"/>
              </w:rPr>
              <w:t>82.4%</w:t>
            </w:r>
          </w:p>
        </w:tc>
      </w:tr>
      <w:tr w:rsidR="008D719D" w14:paraId="22BD4759"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FA622E"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955807" w14:textId="77777777" w:rsidR="008D719D" w:rsidRDefault="00000000">
            <w:r>
              <w:rPr>
                <w:color w:val="000000"/>
                <w:sz w:val="16"/>
                <w:szCs w:val="16"/>
              </w:rPr>
              <w:t>Income Deviation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F5ECBCC" w14:textId="77777777" w:rsidR="008D719D" w:rsidRDefault="00000000">
            <w:r>
              <w:rPr>
                <w:color w:val="000000"/>
                <w:sz w:val="16"/>
                <w:szCs w:val="16"/>
              </w:rPr>
              <w:t>7.5 pp</w:t>
            </w:r>
          </w:p>
        </w:tc>
      </w:tr>
      <w:tr w:rsidR="008D719D" w14:paraId="0FA39D58"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266ED15"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A230F8" w14:textId="77777777" w:rsidR="008D719D" w:rsidRDefault="00000000">
            <w:r>
              <w:rPr>
                <w:color w:val="000000"/>
                <w:sz w:val="16"/>
                <w:szCs w:val="16"/>
              </w:rPr>
              <w:t>Chi-sq Pass Rate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3D7AFA" w14:textId="77777777" w:rsidR="008D719D" w:rsidRDefault="00000000">
            <w:r>
              <w:rPr>
                <w:color w:val="000000"/>
                <w:sz w:val="16"/>
                <w:szCs w:val="16"/>
              </w:rPr>
              <w:t>0 of 9 (large sample effect)</w:t>
            </w:r>
          </w:p>
        </w:tc>
      </w:tr>
      <w:tr w:rsidR="008D719D" w14:paraId="66625E8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2D7E840"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F5AA53" w14:textId="77777777" w:rsidR="008D719D" w:rsidRDefault="00000000">
            <w:r>
              <w:rPr>
                <w:color w:val="000000"/>
                <w:sz w:val="16"/>
                <w:szCs w:val="16"/>
              </w:rPr>
              <w:t>Avg Wasserstein Dist.</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E943282" w14:textId="77777777" w:rsidR="008D719D" w:rsidRDefault="00000000">
            <w:r>
              <w:rPr>
                <w:color w:val="000000"/>
                <w:sz w:val="16"/>
                <w:szCs w:val="16"/>
              </w:rPr>
              <w:t>855.5 (capital cols dominant)</w:t>
            </w:r>
          </w:p>
        </w:tc>
      </w:tr>
      <w:tr w:rsidR="008D719D" w14:paraId="1DD0C46F"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6D1F8F9"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4959AD" w14:textId="77777777" w:rsidR="008D719D" w:rsidRDefault="00000000">
            <w:r>
              <w:rPr>
                <w:color w:val="000000"/>
                <w:sz w:val="16"/>
                <w:szCs w:val="16"/>
              </w:rPr>
              <w:t>TSTR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206EF" w14:textId="77777777" w:rsidR="008D719D" w:rsidRDefault="00000000">
            <w:r>
              <w:rPr>
                <w:color w:val="000000"/>
                <w:sz w:val="16"/>
                <w:szCs w:val="16"/>
              </w:rPr>
              <w:t>81.8%</w:t>
            </w:r>
          </w:p>
        </w:tc>
      </w:tr>
      <w:tr w:rsidR="008D719D" w14:paraId="5BA151BA"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0CA658"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9567DE0" w14:textId="77777777" w:rsidR="008D719D" w:rsidRDefault="00000000">
            <w:r>
              <w:rPr>
                <w:color w:val="000000"/>
                <w:sz w:val="16"/>
                <w:szCs w:val="16"/>
              </w:rPr>
              <w:t>Macro F1</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627B040" w14:textId="77777777" w:rsidR="008D719D" w:rsidRDefault="00000000">
            <w:r>
              <w:rPr>
                <w:color w:val="000000"/>
                <w:sz w:val="16"/>
                <w:szCs w:val="16"/>
              </w:rPr>
              <w:t>0.700</w:t>
            </w:r>
          </w:p>
        </w:tc>
      </w:tr>
      <w:tr w:rsidR="008D719D" w14:paraId="64B85CD5"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C93B8A"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FDF75A" w14:textId="77777777" w:rsidR="008D719D" w:rsidRDefault="00000000">
            <w:r>
              <w:rPr>
                <w:color w:val="000000"/>
                <w:sz w:val="16"/>
                <w:szCs w:val="16"/>
              </w:rPr>
              <w:t>AUC-ROC</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06DF7C" w14:textId="77777777" w:rsidR="008D719D" w:rsidRDefault="00000000">
            <w:r>
              <w:rPr>
                <w:color w:val="000000"/>
                <w:sz w:val="16"/>
                <w:szCs w:val="16"/>
              </w:rPr>
              <w:t>0.881</w:t>
            </w:r>
          </w:p>
        </w:tc>
      </w:tr>
      <w:tr w:rsidR="008D719D" w14:paraId="317483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CE32FB"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4869003" w14:textId="77777777" w:rsidR="008D719D" w:rsidRDefault="00000000">
            <w:r>
              <w:rPr>
                <w:color w:val="000000"/>
                <w:sz w:val="16"/>
                <w:szCs w:val="16"/>
              </w:rPr>
              <w:t>Utility Retention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94FB235" w14:textId="77777777" w:rsidR="008D719D" w:rsidRDefault="00000000">
            <w:r>
              <w:rPr>
                <w:color w:val="000000"/>
                <w:sz w:val="16"/>
                <w:szCs w:val="16"/>
              </w:rPr>
              <w:t>95.9%</w:t>
            </w:r>
          </w:p>
        </w:tc>
      </w:tr>
      <w:tr w:rsidR="008D719D" w14:paraId="4326162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4D28F"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6E9FBA" w14:textId="77777777" w:rsidR="008D719D" w:rsidRDefault="00000000">
            <w:r>
              <w:rPr>
                <w:color w:val="000000"/>
                <w:sz w:val="16"/>
                <w:szCs w:val="16"/>
              </w:rPr>
              <w:t>MIA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F26C00" w14:textId="77777777" w:rsidR="008D719D" w:rsidRDefault="00000000">
            <w:r>
              <w:rPr>
                <w:color w:val="000000"/>
                <w:sz w:val="16"/>
                <w:szCs w:val="16"/>
              </w:rPr>
              <w:t>53.1% (safe: &lt; 55%)</w:t>
            </w:r>
          </w:p>
        </w:tc>
      </w:tr>
      <w:tr w:rsidR="008D719D" w14:paraId="2E1901B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2C2A43"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45E153E" w14:textId="77777777" w:rsidR="008D719D" w:rsidRDefault="00000000">
            <w:r>
              <w:rPr>
                <w:color w:val="000000"/>
                <w:sz w:val="16"/>
                <w:szCs w:val="16"/>
              </w:rPr>
              <w:t>NewRowSynthesis</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861E19D" w14:textId="77777777" w:rsidR="008D719D" w:rsidRDefault="00000000">
            <w:r>
              <w:rPr>
                <w:color w:val="000000"/>
                <w:sz w:val="16"/>
                <w:szCs w:val="16"/>
              </w:rPr>
              <w:t>0.985</w:t>
            </w:r>
          </w:p>
        </w:tc>
      </w:tr>
      <w:tr w:rsidR="008D719D" w14:paraId="4D9E7FD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631CAD" w14:textId="77777777" w:rsidR="008D719D" w:rsidRDefault="00000000">
            <w:r>
              <w:rPr>
                <w:color w:val="000000"/>
                <w:sz w:val="16"/>
                <w:szCs w:val="16"/>
              </w:rPr>
              <w:t>Stability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54FDADC" w14:textId="77777777" w:rsidR="008D719D" w:rsidRDefault="00000000">
            <w:r>
              <w:rPr>
                <w:color w:val="000000"/>
                <w:sz w:val="16"/>
                <w:szCs w:val="16"/>
              </w:rPr>
              <w:t>Cross-split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8C04BD" w14:textId="77777777" w:rsidR="008D719D" w:rsidRDefault="00000000">
            <w:r>
              <w:rPr>
                <w:color w:val="000000"/>
                <w:sz w:val="16"/>
                <w:szCs w:val="16"/>
              </w:rPr>
              <w:t>81.8% (+/- 0.3 pp)</w:t>
            </w:r>
          </w:p>
        </w:tc>
      </w:tr>
    </w:tbl>
    <w:p w14:paraId="549AD88F" w14:textId="77777777" w:rsidR="008D719D" w:rsidRDefault="008D719D">
      <w:pPr>
        <w:pStyle w:val="BodyText"/>
      </w:pPr>
    </w:p>
    <w:p w14:paraId="5372B90B" w14:textId="77777777" w:rsidR="008D719D" w:rsidRDefault="00000000">
      <w:pPr>
        <w:spacing w:before="60" w:after="60"/>
      </w:pPr>
      <w:r>
        <w:rPr>
          <w:noProof/>
        </w:rPr>
        <w:drawing>
          <wp:inline distT="0" distB="0" distL="0" distR="0" wp14:anchorId="7F96C7E2" wp14:editId="567F360A">
            <wp:extent cx="2808000" cy="1489634"/>
            <wp:effectExtent l="0" t="0" r="0" b="0"/>
            <wp:docPr id="5" name="ch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5"/>
                    <pic:cNvPicPr>
                      <a:picLocks noChangeAspect="1"/>
                    </pic:cNvPicPr>
                  </pic:nvPicPr>
                  <pic:blipFill>
                    <a:blip r:embed="rId16"/>
                    <a:stretch>
                      <a:fillRect/>
                    </a:stretch>
                  </pic:blipFill>
                  <pic:spPr>
                    <a:xfrm>
                      <a:off x="0" y="0"/>
                      <a:ext cx="2808000" cy="1489634"/>
                    </a:xfrm>
                    <a:prstGeom prst="rect">
                      <a:avLst/>
                    </a:prstGeom>
                  </pic:spPr>
                </pic:pic>
              </a:graphicData>
            </a:graphic>
          </wp:inline>
        </w:drawing>
      </w:r>
    </w:p>
    <w:p w14:paraId="7331C5B1" w14:textId="77777777" w:rsidR="008D719D" w:rsidRDefault="00000000">
      <w:pPr>
        <w:pStyle w:val="figurecaption"/>
      </w:pPr>
      <w:r>
        <w:t>Fig. 7. Multi-metric comparison across all four configurations. Long leads on SDV quality, TSTR accuracy, Macro F1, and AUC-ROC. Stable achieves similar accuracy with a smaller embedding at the cost of overall fidelity.</w:t>
      </w:r>
    </w:p>
    <w:p w14:paraId="577A0A51" w14:textId="77777777" w:rsidR="008D719D" w:rsidRDefault="00000000">
      <w:pPr>
        <w:pStyle w:val="Heading2"/>
      </w:pPr>
      <w:r>
        <w:t>Critical Analysis</w:t>
      </w:r>
    </w:p>
    <w:p w14:paraId="7FEA985E" w14:textId="77777777" w:rsidR="008D719D" w:rsidRDefault="00000000">
      <w:pPr>
        <w:pStyle w:val="BodyText"/>
      </w:pPr>
      <w:r>
        <w:t>The 82.4% SDV Quality Score must be read with its sub-scores. The 3.4 pp gap between Column Shapes (84.1%) and Column Pair Trends (80.7%) is systematic. Capital-gain has a Pearson correlation of approximately 0.22 with income in the real data. When CTGAN fails to reproduce this column (Wasserstein 312, mean error 35.6%), the synthetic data underrepresents the income-capital correlation, directly degrading Column Pair Trends.</w:t>
      </w:r>
    </w:p>
    <w:p w14:paraId="65E45145" w14:textId="77777777" w:rsidR="008D719D" w:rsidRDefault="00000000">
      <w:pPr>
        <w:pStyle w:val="BodyText"/>
      </w:pPr>
      <w:r>
        <w:t>The 95.9% utility retention is misleading in isolation. The macro F1 gap (8.0% relative degradation from 0.761 to 0.700) and AUC-ROC gap (2.9% relative) reveal the synthetic data is materially weaker for minority-class prediction. Any fairness analysis using this data must account for this structural gap in the high-earner category.</w:t>
      </w:r>
    </w:p>
    <w:p w14:paraId="030EBF7A" w14:textId="77777777" w:rsidR="008D719D" w:rsidRDefault="00000000">
      <w:pPr>
        <w:pStyle w:val="BodyText"/>
      </w:pPr>
      <w:r>
        <w:t>The embedding dimension effect is more consistent than the epoch effect. Doubling epochs at embed=256 (Capacity to Long) gained 1.1 pp TSTR. Doubling embedding at 100 epochs (Baseline to Capacity) gained 1.6 pp. At 200 epochs, doubling embedding gained 1.4 pp (Stable to Long). Capacity consistently outweighs duration: for a fixed compute budget, a larger embedding at fewer epochs outperforms a smaller embedding trained longer.</w:t>
      </w:r>
    </w:p>
    <w:p w14:paraId="67D46503" w14:textId="77777777" w:rsidR="008D719D" w:rsidRDefault="00000000">
      <w:pPr>
        <w:pStyle w:val="Heading2"/>
      </w:pPr>
      <w:r>
        <w:t>Limitations</w:t>
      </w:r>
    </w:p>
    <w:p w14:paraId="5A341F0C" w14:textId="77777777" w:rsidR="008D719D" w:rsidRDefault="00000000">
      <w:pPr>
        <w:pStyle w:val="BodyText"/>
      </w:pPr>
      <w:r>
        <w:t>The zero-inflated columns are a structural failure, not a tuning problem. No CTGAN hyperparameter configuration resolves capital-gain or capital-loss because VGM applies a Gaussian mixture uniformly to the full column. A two-component model (Bernoulli indicator for zero, separate VGM for positive tail) is the correct fix but is not available in the current SDV CTGAN release.</w:t>
      </w:r>
    </w:p>
    <w:p w14:paraId="1C9802FA" w14:textId="77777777" w:rsidR="008D719D" w:rsidRDefault="00000000">
      <w:pPr>
        <w:pStyle w:val="BodyText"/>
      </w:pPr>
      <w:r>
        <w:t>The project was evaluated on one dataset. The Adult census data is relatively well-behaved (15 columns, moderate missingness, no strongly correlated feature groups). Results may not generalise to wider tables or domains where rare event columns dominate the predictive signal. There is no formal differential privacy guarantee; DP-CTGAN [15] is mandatory for regulated data sharing in healthcare or financial services.</w:t>
      </w:r>
    </w:p>
    <w:p w14:paraId="25041442" w14:textId="77777777" w:rsidR="00F00585" w:rsidRDefault="00F00585">
      <w:pPr>
        <w:pStyle w:val="BodyText"/>
      </w:pPr>
    </w:p>
    <w:p w14:paraId="0EB6EEB7" w14:textId="037488A7" w:rsidR="008D719D" w:rsidRDefault="00000000">
      <w:pPr>
        <w:pStyle w:val="Heading1"/>
      </w:pPr>
      <w:r>
        <w:t>CONCLUSION</w:t>
      </w:r>
    </w:p>
    <w:p w14:paraId="1AF0974F" w14:textId="77777777" w:rsidR="008D719D" w:rsidRDefault="00000000">
      <w:pPr>
        <w:pStyle w:val="BodyText"/>
      </w:pPr>
      <w:r>
        <w:t>CTGAN can generate high-quality synthetic tabular data for a mixed-type real-world dataset within a practical training budget. The Long configuration achieves 82.4% SDV quality, 95.9% utility retention, and a privacy-safe MIA score of 53.1%.</w:t>
      </w:r>
    </w:p>
    <w:p w14:paraId="1AE9675A" w14:textId="77777777" w:rsidR="008D719D" w:rsidRDefault="00000000">
      <w:pPr>
        <w:pStyle w:val="BodyText"/>
      </w:pPr>
      <w:r>
        <w:t>The principal finding is that embedding dimension matters more than epoch count for this dataset. Capacity should be prioritised when allocating compute. Capital-gain and capital-loss represent a known architectural limitation of VGM normalisation on zero-inflated distributions, not a failure of the training procedure itself.</w:t>
      </w:r>
    </w:p>
    <w:p w14:paraId="072E9D46" w14:textId="77777777" w:rsidR="008D719D" w:rsidRDefault="00000000">
      <w:pPr>
        <w:pStyle w:val="BodyText"/>
      </w:pPr>
      <w:r>
        <w:t>The deployed Gradio interface makes the pipeline accessible to non-technical users and demonstrates end-to-end reproducibility. The inline SDV Quality Report gives users real-time fidelity feedback on each generated batch.</w:t>
      </w:r>
    </w:p>
    <w:p w14:paraId="2254350A" w14:textId="77777777" w:rsidR="008D719D" w:rsidRDefault="00000000">
      <w:pPr>
        <w:pStyle w:val="BodyText"/>
      </w:pPr>
      <w:r>
        <w:t>Future enhancements in priority order: (1) integrate DP-CTGAN [15] with a formally calibrated privacy budget; (2) implement two-component modelling for zero-inflated columns; (3) replace the manual hyperparameter grid with Optuna; (4) apply the pipeline to MIMIC-III and deploy on Hugging Face Spaces for persistent availability.</w:t>
      </w:r>
    </w:p>
    <w:p w14:paraId="0B000002" w14:textId="77777777" w:rsidR="00000000" w:rsidRDefault="00000000">
      <w:pPr>
        <w:pStyle w:val="BodyText"/>
      </w:pPr>
      <w:r>
        <w:t xml:space="preserve">Broader ethical and societal implications deserve explicit acknowledgement. While synthetic data is a powerful enabler of privacy-preserving research, it carries risks that must be </w:t>
      </w:r>
      <w:r>
        <w:lastRenderedPageBreak/>
        <w:t>managed responsibly. The 8.0% relative degradation in macro F1 for the minority income class means any algorithmic decision-making system trained on this synthetic data will systematically underperform for higher-income individuals—a potential source of unfair outcomes if not corrected before deployment. The absence of a formal differential privacy guarantee means the pipeline should not be used for regulated data sharing (healthcare, financial services) without the addition of DP-CTGAN or an equivalent mec</w:t>
      </w:r>
      <w:r>
        <w:t>hanism. Furthermore, synthetic data does not eliminate attribute inference risk: an adversary who knows a specific individual appears in the training set could still infer sensitive attributes from the synthetic distribution without reconstructing the exact record.</w:t>
      </w:r>
    </w:p>
    <w:p w14:paraId="0B000003" w14:textId="77777777" w:rsidR="00000000" w:rsidRDefault="00000000">
      <w:pPr>
        <w:pStyle w:val="BodyText"/>
      </w:pPr>
      <w:r>
        <w:t>Despite these caveats, this project demonstrates that a well-implemented CTGAN pipeline can produce synthetic tabular data that is practically useful, statistically faithful, and privacy-safe under standard evaluation protocols—all within a reproducible, openly accessible environment. As data privacy regulation tightens globally, privacy-preserving synthetic data tools will become increasingly critical for enabling responsible AI development across healthcare, finance, social science, and public policy.</w:t>
      </w:r>
    </w:p>
    <w:p w14:paraId="50692CA0" w14:textId="77777777" w:rsidR="00F00585" w:rsidRDefault="00F00585">
      <w:pPr>
        <w:pStyle w:val="BodyText"/>
      </w:pPr>
    </w:p>
    <w:p w14:paraId="1383735D" w14:textId="491AE772" w:rsidR="008D719D" w:rsidRDefault="00000000">
      <w:pPr>
        <w:pStyle w:val="Heading1"/>
      </w:pPr>
      <w:r>
        <w:t>REFERENCES</w:t>
      </w:r>
    </w:p>
    <w:p w14:paraId="34ED6923" w14:textId="77777777" w:rsidR="008D719D" w:rsidRDefault="00000000">
      <w:pPr>
        <w:pStyle w:val="references"/>
      </w:pPr>
      <w:r>
        <w:t>[1] Regulation (EU) 2016/679, "General Data Protection Regulation," OJ EU, Apr. 2016.</w:t>
      </w:r>
    </w:p>
    <w:p w14:paraId="12E73FF4" w14:textId="77777777" w:rsidR="008D719D" w:rsidRDefault="00000000">
      <w:pPr>
        <w:pStyle w:val="references"/>
      </w:pPr>
      <w:r>
        <w:t>[2] L. Sweeney, "k-anonymity: A model for protecting privacy," IJUFKS, vol. 10, no. 5, pp. 557-570, 2002.</w:t>
      </w:r>
    </w:p>
    <w:p w14:paraId="4C8D3E1E" w14:textId="77777777" w:rsidR="008D719D" w:rsidRDefault="00000000">
      <w:pPr>
        <w:pStyle w:val="references"/>
      </w:pPr>
      <w:r>
        <w:t>[3] L. Xu et al., "Modeling tabular data using conditional GAN," in Proc. NeurIPS, vol. 32, 2019.</w:t>
      </w:r>
    </w:p>
    <w:p w14:paraId="6194F3DE" w14:textId="77777777" w:rsidR="008D719D" w:rsidRDefault="00000000">
      <w:pPr>
        <w:pStyle w:val="references"/>
      </w:pPr>
      <w:r>
        <w:t>[4] N. V. Chawla et al., "SMOTE: Synthetic minority over-sampling technique," JAIR, vol. 16, pp. 321-357, 2002.</w:t>
      </w:r>
    </w:p>
    <w:p w14:paraId="2A5C65DD" w14:textId="77777777" w:rsidR="008D719D" w:rsidRDefault="00000000">
      <w:pPr>
        <w:pStyle w:val="references"/>
      </w:pPr>
      <w:r>
        <w:t>[5] I. Goodfellow et al., "Generative adversarial nets," in Proc. NeurIPS, vol. 27, 2014.</w:t>
      </w:r>
    </w:p>
    <w:p w14:paraId="35BC9D70" w14:textId="77777777" w:rsidR="008D719D" w:rsidRDefault="00000000">
      <w:pPr>
        <w:pStyle w:val="references"/>
      </w:pPr>
      <w:r>
        <w:t>[6] SDV Development Team, "CopulaGAN," 2021. [Online]. Available: https://sdv.dev</w:t>
      </w:r>
    </w:p>
    <w:p w14:paraId="1FF09679" w14:textId="77777777" w:rsidR="008D719D" w:rsidRDefault="00000000">
      <w:pPr>
        <w:pStyle w:val="references"/>
      </w:pPr>
      <w:r>
        <w:t>[7] J. Kim et al., "STaSy: Score-based tabular data synthesis," in Proc. ICLR, 2023.</w:t>
      </w:r>
    </w:p>
    <w:p w14:paraId="6BC9700E" w14:textId="77777777" w:rsidR="008D719D" w:rsidRDefault="00000000">
      <w:pPr>
        <w:pStyle w:val="references"/>
      </w:pPr>
      <w:r>
        <w:t>[8] N. Patki et al., "The Synthetic Data Vault," JOSS, vol. 6, no. 68, 2021.</w:t>
      </w:r>
    </w:p>
    <w:p w14:paraId="29DCA998" w14:textId="77777777" w:rsidR="008D719D" w:rsidRDefault="00000000">
      <w:pPr>
        <w:pStyle w:val="references"/>
      </w:pPr>
      <w:r>
        <w:t>[9] I. Gulrajani et al., "Improved training of Wasserstein GANs," in Proc. NeurIPS, 2017.</w:t>
      </w:r>
    </w:p>
    <w:p w14:paraId="11630443" w14:textId="77777777" w:rsidR="008D719D" w:rsidRDefault="00000000">
      <w:pPr>
        <w:pStyle w:val="references"/>
      </w:pPr>
      <w:r>
        <w:t>[10] R. Kohavi, "Scaling up the accuracy of Naive-Bayes classifiers," in Proc. KDD, 1996. UCI ML Repository, ID 2.</w:t>
      </w:r>
    </w:p>
    <w:p w14:paraId="1EA7423A" w14:textId="77777777" w:rsidR="008D719D" w:rsidRDefault="00000000">
      <w:pPr>
        <w:pStyle w:val="references"/>
      </w:pPr>
      <w:r>
        <w:t>[11] L. Breiman, "Random forests," Machine Learning, vol. 45, no. 1, pp. 5-32, 2001.</w:t>
      </w:r>
    </w:p>
    <w:p w14:paraId="11A47447" w14:textId="77777777" w:rsidR="008D719D" w:rsidRDefault="00000000">
      <w:pPr>
        <w:pStyle w:val="references"/>
      </w:pPr>
      <w:r>
        <w:t>[12] R. Shokri et al., "Membership inference attacks against machine learning models," in Proc. IEEE S&amp;P, 2017.</w:t>
      </w:r>
    </w:p>
    <w:p w14:paraId="6D0D8D06" w14:textId="77777777" w:rsidR="008D719D" w:rsidRDefault="00000000">
      <w:pPr>
        <w:pStyle w:val="references"/>
      </w:pPr>
      <w:r>
        <w:t>[13] T. Stadler et al., "Synthetic data: Anonymisation groundhog day," in Proc. USENIX Security, 2022.</w:t>
      </w:r>
    </w:p>
    <w:p w14:paraId="3BE81917" w14:textId="77777777" w:rsidR="008D719D" w:rsidRDefault="00000000">
      <w:pPr>
        <w:pStyle w:val="references"/>
      </w:pPr>
      <w:r>
        <w:t>[14] Gradio Team, "Gradio," 2019. [Online]. Available: https://www.gradio.app</w:t>
      </w:r>
    </w:p>
    <w:p w14:paraId="52174F36" w14:textId="77777777" w:rsidR="008D719D" w:rsidRDefault="00000000">
      <w:pPr>
        <w:pStyle w:val="references"/>
      </w:pPr>
      <w:r>
        <w:t>[15] F. Rosenblatt and J. Thorogood, "DP-CTGAN," arXiv:2204.09033, 2022.</w:t>
      </w:r>
    </w:p>
    <w:p w14:paraId="6346ABDF" w14:textId="77777777" w:rsidR="008D719D" w:rsidRDefault="00000000">
      <w:pPr>
        <w:pStyle w:val="references"/>
      </w:pPr>
      <w:r>
        <w:t>[16] J. Yoon et al., "PATE-GAN," in Proc. ICLR, 2019.</w:t>
      </w:r>
    </w:p>
    <w:p w14:paraId="293C8160" w14:textId="77777777" w:rsidR="008D719D" w:rsidRDefault="00000000">
      <w:pPr>
        <w:pStyle w:val="references"/>
      </w:pPr>
      <w:r>
        <w:t>[17] F. Pedregosa et al., "Scikit-learn," JMLR, vol. 12, pp. 2825-2830, 2011.</w:t>
      </w:r>
    </w:p>
    <w:p w14:paraId="113C00EA" w14:textId="77777777" w:rsidR="008D719D" w:rsidRDefault="00000000">
      <w:pPr>
        <w:pStyle w:val="references"/>
      </w:pPr>
      <w:r>
        <w:t>[18] A. Kotelnikov et al., "TabDDPM," in Proc. ICML, 2023.</w:t>
      </w:r>
    </w:p>
    <w:p w14:paraId="45FBDDF6" w14:textId="77777777" w:rsidR="008D719D" w:rsidRDefault="00000000">
      <w:pPr>
        <w:pStyle w:val="references"/>
      </w:pPr>
      <w:r>
        <w:t>[19] SDV Development Team, "SDMetrics," 2022. [Online]. Available: https://docs.sdv.dev/sdmetrics</w:t>
      </w:r>
    </w:p>
    <w:p w14:paraId="6A7EEEBF" w14:textId="77777777" w:rsidR="008D719D" w:rsidRDefault="00000000">
      <w:pPr>
        <w:pStyle w:val="references"/>
      </w:pPr>
      <w:r>
        <w:t>[20] J. Jordon et al., "Measuring the quality of synthetic data," arXiv:1806.11345, 2018.</w:t>
      </w:r>
    </w:p>
    <w:p w14:paraId="229A0110" w14:textId="77777777" w:rsidR="008D719D" w:rsidRDefault="00000000">
      <w:pPr>
        <w:pStyle w:val="references"/>
      </w:pPr>
      <w:r>
        <w:t>[21] P. Choi et al., "Can you fake it until you make it?" in Proc. CVPR Workshops, 2019.</w:t>
      </w:r>
    </w:p>
    <w:p w14:paraId="092776F7" w14:textId="77777777" w:rsidR="008D719D" w:rsidRDefault="00000000">
      <w:pPr>
        <w:pStyle w:val="references"/>
      </w:pPr>
      <w:r>
        <w:t>[22] A. Abay et al., "Privacy preserving synthetic data release using deep learning," in Proc. ECML-PKDD, 2019.</w:t>
      </w:r>
    </w:p>
    <w:p w14:paraId="4A0BA564" w14:textId="77777777" w:rsidR="008D719D" w:rsidRDefault="00000000">
      <w:pPr>
        <w:pStyle w:val="references"/>
      </w:pPr>
      <w:r>
        <w:t>[23] J. Park et al., "Data synthesis based on generative adversarial networks," VLDB, vol. 11, no. 10, 2018.</w:t>
      </w:r>
    </w:p>
    <w:p w14:paraId="3BD4C7FE" w14:textId="77777777" w:rsidR="008D719D" w:rsidRDefault="00000000">
      <w:pPr>
        <w:pStyle w:val="references"/>
      </w:pPr>
      <w:r>
        <w:t>[24] B. Wen et al., "Causal-TGAN," arXiv:2104.10680, 2021.</w:t>
      </w:r>
    </w:p>
    <w:p w14:paraId="6D092CDE" w14:textId="77777777" w:rsidR="008D719D" w:rsidRDefault="00000000">
      <w:pPr>
        <w:pStyle w:val="references"/>
      </w:pPr>
      <w:r>
        <w:t>[25] C. Esteban et al., "Real-valued medical time series generation with recurrent conditional GANs," arXiv:1706.02633, 2017.</w:t>
      </w:r>
    </w:p>
    <w:p w14:paraId="0AD469D4" w14:textId="77777777" w:rsidR="00F00585" w:rsidRDefault="00F00585" w:rsidP="00F00585">
      <w:pPr>
        <w:pStyle w:val="references"/>
        <w:numPr>
          <w:ilvl w:val="0"/>
          <w:numId w:val="0"/>
        </w:numPr>
        <w:ind w:left="360"/>
      </w:pPr>
    </w:p>
    <w:p w14:paraId="140B3970" w14:textId="30C4CAFB" w:rsidR="008D719D" w:rsidRDefault="00000000">
      <w:pPr>
        <w:pStyle w:val="Heading1"/>
      </w:pPr>
      <w:r>
        <w:t xml:space="preserve"> APPENDIX: USE OF ARTIFICIAL INTELLIGENCE TOOLS</w:t>
      </w:r>
    </w:p>
    <w:p w14:paraId="0DA729AC" w14:textId="77777777" w:rsidR="008D719D" w:rsidRDefault="00000000">
      <w:pPr>
        <w:pStyle w:val="BodyText"/>
      </w:pPr>
      <w:r>
        <w:t>Claude (Anthropic) was used to improve the clarity and flow of written sections and to suggest report structure. All experimental results, metric values, code, dataset selection, model choice, and analytical conclusions are the author's own.</w:t>
      </w:r>
    </w:p>
    <w:p w14:paraId="60F676DC" w14:textId="77777777" w:rsidR="008D719D" w:rsidRDefault="00000000">
      <w:pPr>
        <w:pStyle w:val="BodyText"/>
      </w:pPr>
      <w:r>
        <w:t>AI tools were consulted to better understand technical concepts including the SDV QualityReport API, membership inference attack methodology, and WGAN-GP training dynamics.</w:t>
      </w:r>
    </w:p>
    <w:p w14:paraId="6A3ACBC8" w14:textId="77777777" w:rsidR="008D719D" w:rsidRDefault="00000000">
      <w:pPr>
        <w:pStyle w:val="BodyText"/>
      </w:pPr>
      <w:r>
        <w:t>All project code was written by the author. Experimental results are based on actual Colab runs. This disclosure is made in accordance with the academic integrity policy of the University of Roehampton and the assessment guidelines for CMP020L016.</w:t>
      </w:r>
    </w:p>
    <w:sectPr w:rsidR="008D719D" w:rsidSect="0028327D">
      <w:type w:val="continuous"/>
      <w:pgSz w:w="11906" w:h="16838"/>
      <w:pgMar w:top="720" w:right="720" w:bottom="720" w:left="720" w:header="907" w:footer="907" w:gutter="0"/>
      <w:cols w:num="2" w:space="454"/>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FECF" w14:textId="77777777" w:rsidR="008F7749" w:rsidRDefault="008F7749" w:rsidP="001A3B3D">
      <w:r>
        <w:separator/>
      </w:r>
    </w:p>
  </w:endnote>
  <w:endnote w:type="continuationSeparator" w:id="0">
    <w:p w14:paraId="4E8E9A29" w14:textId="77777777" w:rsidR="008F7749" w:rsidRDefault="008F774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30A2" w14:textId="77777777" w:rsidR="008F7749" w:rsidRDefault="008F7749" w:rsidP="001A3B3D">
      <w:r>
        <w:separator/>
      </w:r>
    </w:p>
  </w:footnote>
  <w:footnote w:type="continuationSeparator" w:id="0">
    <w:p w14:paraId="7BE6D7DD" w14:textId="77777777" w:rsidR="008F7749" w:rsidRDefault="008F774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58AA"/>
    <w:rsid w:val="00182801"/>
    <w:rsid w:val="00192E22"/>
    <w:rsid w:val="001A2EFD"/>
    <w:rsid w:val="001A3B3D"/>
    <w:rsid w:val="001B67DC"/>
    <w:rsid w:val="002254A9"/>
    <w:rsid w:val="00233D97"/>
    <w:rsid w:val="002347A2"/>
    <w:rsid w:val="0028327D"/>
    <w:rsid w:val="002850E3"/>
    <w:rsid w:val="002B7DFA"/>
    <w:rsid w:val="00354FCF"/>
    <w:rsid w:val="003A19E2"/>
    <w:rsid w:val="003B2B40"/>
    <w:rsid w:val="003B4E04"/>
    <w:rsid w:val="003F5A08"/>
    <w:rsid w:val="00420716"/>
    <w:rsid w:val="004325FB"/>
    <w:rsid w:val="004432BA"/>
    <w:rsid w:val="0044407E"/>
    <w:rsid w:val="00447BB9"/>
    <w:rsid w:val="0046031D"/>
    <w:rsid w:val="00473AC9"/>
    <w:rsid w:val="004D245F"/>
    <w:rsid w:val="004D72B5"/>
    <w:rsid w:val="004F60CA"/>
    <w:rsid w:val="00535C48"/>
    <w:rsid w:val="00551B7F"/>
    <w:rsid w:val="0056610F"/>
    <w:rsid w:val="00575BCA"/>
    <w:rsid w:val="005B0344"/>
    <w:rsid w:val="005B520E"/>
    <w:rsid w:val="005E2800"/>
    <w:rsid w:val="00605825"/>
    <w:rsid w:val="00645D22"/>
    <w:rsid w:val="00651A08"/>
    <w:rsid w:val="00654204"/>
    <w:rsid w:val="00663008"/>
    <w:rsid w:val="00670434"/>
    <w:rsid w:val="006A5D82"/>
    <w:rsid w:val="006B6B66"/>
    <w:rsid w:val="006F6D3D"/>
    <w:rsid w:val="00715BEA"/>
    <w:rsid w:val="00740EEA"/>
    <w:rsid w:val="007528E9"/>
    <w:rsid w:val="00794804"/>
    <w:rsid w:val="007A48E9"/>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719D"/>
    <w:rsid w:val="008F6E2C"/>
    <w:rsid w:val="008F7749"/>
    <w:rsid w:val="009303D9"/>
    <w:rsid w:val="00933C64"/>
    <w:rsid w:val="00972203"/>
    <w:rsid w:val="0097260B"/>
    <w:rsid w:val="009F1D79"/>
    <w:rsid w:val="00A059B3"/>
    <w:rsid w:val="00AE3409"/>
    <w:rsid w:val="00B07BDF"/>
    <w:rsid w:val="00B11A60"/>
    <w:rsid w:val="00B22613"/>
    <w:rsid w:val="00B44A76"/>
    <w:rsid w:val="00B7403E"/>
    <w:rsid w:val="00B768D1"/>
    <w:rsid w:val="00B9258C"/>
    <w:rsid w:val="00BA1025"/>
    <w:rsid w:val="00BC3420"/>
    <w:rsid w:val="00BD670B"/>
    <w:rsid w:val="00BE7D3C"/>
    <w:rsid w:val="00BF5FF6"/>
    <w:rsid w:val="00C0207F"/>
    <w:rsid w:val="00C16117"/>
    <w:rsid w:val="00C3075A"/>
    <w:rsid w:val="00C32C26"/>
    <w:rsid w:val="00C919A4"/>
    <w:rsid w:val="00CA4392"/>
    <w:rsid w:val="00CC393F"/>
    <w:rsid w:val="00D2176E"/>
    <w:rsid w:val="00D27FC3"/>
    <w:rsid w:val="00D632BE"/>
    <w:rsid w:val="00D72D06"/>
    <w:rsid w:val="00D7522C"/>
    <w:rsid w:val="00D7536F"/>
    <w:rsid w:val="00D76668"/>
    <w:rsid w:val="00DC1FE1"/>
    <w:rsid w:val="00E07383"/>
    <w:rsid w:val="00E165BC"/>
    <w:rsid w:val="00E61E12"/>
    <w:rsid w:val="00E7596C"/>
    <w:rsid w:val="00E878F2"/>
    <w:rsid w:val="00EB442F"/>
    <w:rsid w:val="00ED0149"/>
    <w:rsid w:val="00EF7DE3"/>
    <w:rsid w:val="00F00585"/>
    <w:rsid w:val="00F03103"/>
    <w:rsid w:val="00F271DE"/>
    <w:rsid w:val="00F31FC2"/>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D3AB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9258C"/>
    <w:rPr>
      <w:color w:val="0563C1" w:themeColor="hyperlink"/>
      <w:u w:val="single"/>
    </w:rPr>
  </w:style>
  <w:style w:type="character" w:styleId="UnresolvedMention">
    <w:name w:val="Unresolved Mention"/>
    <w:basedOn w:val="DefaultParagraphFont"/>
    <w:uiPriority w:val="99"/>
    <w:semiHidden/>
    <w:unhideWhenUsed/>
    <w:rsid w:val="00B9258C"/>
    <w:rPr>
      <w:color w:val="605E5C"/>
      <w:shd w:val="clear" w:color="auto" w:fill="E1DFDD"/>
    </w:rPr>
  </w:style>
  <w:style w:type="character" w:styleId="LineNumber">
    <w:name w:val="line number"/>
    <w:basedOn w:val="DefaultParagraphFont"/>
    <w:rsid w:val="0028327D"/>
  </w:style>
  <w:style w:type="paragraph" w:styleId="Title">
    <w:name w:val="Title"/>
    <w:basedOn w:val="Normal"/>
    <w:next w:val="Normal"/>
    <w:link w:val="TitleChar"/>
    <w:qFormat/>
    <w:rsid w:val="002832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8327D"/>
    <w:rPr>
      <w:rFonts w:asciiTheme="majorHAnsi" w:eastAsiaTheme="majorEastAsia" w:hAnsiTheme="majorHAnsi" w:cstheme="majorBidi"/>
      <w:spacing w:val="-10"/>
      <w:kern w:val="28"/>
      <w:sz w:val="56"/>
      <w:szCs w:val="56"/>
    </w:rPr>
  </w:style>
  <w:style w:type="table" w:styleId="TableGrid">
    <w:name w:val="Table Grid"/>
    <w:basedOn w:val="TableNormal"/>
    <w:rsid w:val="000D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ssainm13@roehampton.ac.uk"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olab.research.google.com/drive/1owK8okNe_De1HG-RmEAo0bTyjPtWUsQe%23scrollTo=XtNJeRhN43ig" TargetMode="External"/><Relationship Id="rId4" Type="http://schemas.openxmlformats.org/officeDocument/2006/relationships/settings" Target="settings.xml"/><Relationship Id="rId9" Type="http://schemas.openxmlformats.org/officeDocument/2006/relationships/hyperlink" Target="https://github.com/mrakib00/synthetic-data-generation-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4422</Words>
  <Characters>25212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RAKIB HOSSAIN (Student)</cp:lastModifiedBy>
  <cp:revision>2</cp:revision>
  <dcterms:created xsi:type="dcterms:W3CDTF">2026-05-07T11:41:00Z</dcterms:created>
  <dcterms:modified xsi:type="dcterms:W3CDTF">2026-05-07T11:41:00Z</dcterms:modified>
</cp:coreProperties>
</file>