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 to Creating Certificate for 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aims to act as a guide to creating a proper certificate for RDS.  Microsoft RDS Certificates need to be created with certain names or it simply doesn’t work.  RDS has 2 locations that need to have certificates.  1 on the broker and 1 on the web/gateway.  It’s easier to create and manage with just 1 certificate rather than 2.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Requirements: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 Microsoft documentation: For 5 or less in the RDS farm you can go with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6 or more in the Farm (it’s better to use a wildcard)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Web/Gateway frontend url fqdn (alias to server name like rdweb.domain.com)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web/gateway Server fqdn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web/Gateway Server fqdn (if you need it)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Broker fqdn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Session1 host fqdn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Session1 host fqdn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are using a high availability broker that will also need an alias created from the teamed machines.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Alternative Name (Should/must match Name)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 Exactly as the name field: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See example below of a custom certificate request from Windows.: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 the Subject Tab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3434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4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Below is an example of one using a wild card with a high availability broker.  Rds.domain.com is the alias.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246418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46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 the Extensions Tab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Certificate Key Usage should be Digital Signature and Key Encipherment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995738" cy="221174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21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Extended Key Usage should be Server Authentication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916969" cy="192266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969" cy="1922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 the Private Key Tab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Cryptographic Service Provider should be Microsoft’s most modern one: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RSA Microsoft Software Key Storage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381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Key length should be a Minimum of 2048 and make the key exportable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Hash Algorithm should be Sha256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647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When getting the key install it onto your system.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Run MMC.exe and add certificates, Select Computer Account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Locate the certificate under Personal and copy the serial number.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Open command prompt and run the following to get your certificate’s private key: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Certutil -repair my “serial number”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Export this to a .pfx for Use for RDS.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