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Enterprise PKI configuration Guide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Build 2 servers with the following configuration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Azure Storage and Create Azure file share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Open Scripts within Powershell ISE and run step several steps at a time and adjust for failures (file naming)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Scripts MUST be run Sequentially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Server1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Offline Root 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 Domain Joined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PSPKI powershell module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Mount x:\ to azure fileshare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Scripts: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Pkiconfig1.ps1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Pkiconfig3.ps1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PkiConfig5.ps1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Subordinate Issuing + Web enrollment  server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Domain Joined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PSPKI powershell module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Mount x:\ to azure file share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Scripts: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Pkiconfig2.ps1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Pkiconfig4.ps1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Pkiconfig6.ps1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Step 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Set-ItemProperty -Path "HKLM:\SYSTEM\CurrentControlSet\Services\CertSvc\Configuration\ \EncryptionCSP" -Name Provider ñValue "Microsoft Software Key Storage Provider"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Set-ItemProperty -Path "HKLM:\SYSTEM\CurrentControlSet\Services\CertSvc\Configuration\Eassfq-ATLEAQTCAENT1-CA\EncryptionCSP" -Name ProviderType ñValue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certutil -setreg CA\EncryptionCSP\CNGEncryptionAlgorithm AES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certutil -setreg CA\EncryptionCSP\SymmetricKeySize 512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Alternatively, search regedit from Windows explorer and under Computer\HKEY_LOCAL_MACHINE\SYSTEM\CurrentControlSet\Services\CertSvc\Configuration\Eassfq-ATLEAQTCAENT1-CA\EncryptionCSP. Modify Provider, ProviderType, CNGEncryptionAlgorithm and SymmetricKeySize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Step 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Open Cert Authority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Go to templates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Right click select manage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and issue the Enterprise templates needed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Step 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Open mmc.exe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add Enterprise PKI or run pkiview from the run command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Check certificate health.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