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 BONO · CSR INITIATIVE · NETSEED</w:t>
      </w:r>
    </w:p>
    <w:p>
      <w:pPr>
        <w:spacing w:before="1300"/>
      </w:pPr>
      <w:r>
        <w:rPr>
          <w:rFonts w:ascii="Liberation Sans" w:hAnsi="Liberation Sans"/>
          <w:b/>
          <w:color w:val="10243E"/>
          <w:sz w:val="80"/>
        </w:rPr>
        <w:t>AI Training</w:t>
        <w:br/>
        <w:t>Handbook</w:t>
      </w:r>
    </w:p>
    <w:p>
      <w:r>
        <w:rPr>
          <w:color w:val="2E74B5"/>
          <w:sz w:val="32"/>
        </w:rPr>
        <w:t>A practical guide from AI awareness to safe daily application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Prepared for Detroit Wayne Integrated Health Network (DWIHN)</w:t>
              <w:br/>
            </w:r>
            <w:r>
              <w:rPr>
                <w:color w:val="233142"/>
                <w:sz w:val="19"/>
              </w:rPr>
              <w:t>Based on the 2026 Netlink DWIHN AI Training Program curriculum. Designed as a learner-friendly companion for the 10-module, 12-session program.</w:t>
            </w:r>
          </w:p>
        </w:tc>
      </w:tr>
    </w:tbl>
    <w:p>
      <w:pPr>
        <w:spacing w:after="20"/>
      </w:pPr>
    </w:p>
    <w:p/>
    <w:p/>
    <w:p/>
    <w:p/>
    <w:p>
      <w:pPr>
        <w:jc w:val="center"/>
      </w:pPr>
      <w:r>
        <w:rPr>
          <w:b/>
          <w:color w:val="5A6B7B"/>
        </w:rPr>
        <w:t>Netlink · 2026 · Confidential</w:t>
      </w:r>
    </w:p>
    <w:p>
      <w:pPr>
        <w:jc w:val="center"/>
      </w:pPr>
      <w:r>
        <w:rPr>
          <w:color w:val="1F9D9A"/>
          <w:sz w:val="20"/>
        </w:rPr>
        <w:t>Your Link to Holistic Healthcare · Powered by AI</w:t>
      </w:r>
    </w:p>
    <w:p>
      <w:r>
        <w:br w:type="page"/>
      </w:r>
    </w:p>
    <w:p>
      <w:pPr>
        <w:pStyle w:val="Heading1"/>
      </w:pPr>
      <w:r>
        <w:t>How to Use This Handbook</w:t>
      </w:r>
    </w:p>
    <w:p>
      <w:r>
        <w:t>This handbook expands the training proposal into step-by-step learning content. Each module follows the same pattern so learners always know where they are and what to do next.</w:t>
      </w:r>
    </w:p>
    <w:tbl>
      <w:tblPr>
        <w:tblW w:type="auto" w:w="0"/>
        <w:jc w:val="center"/>
        <w:tblLayout w:type="fixed"/>
        <w:tblLook w:firstColumn="1" w:firstRow="1" w:lastColumn="0" w:lastRow="0" w:noHBand="0" w:noVBand="1" w:val="04A0"/>
      </w:tblPr>
      <w:tblGrid>
        <w:gridCol w:w="5083"/>
        <w:gridCol w:w="5083"/>
      </w:tblGrid>
      <w:tr>
        <w:trPr>
          <w:cantSplit/>
        </w:trPr>
        <w:tc>
          <w:tcPr>
            <w:tcW w:type="dxa" w:w="4709"/>
            <w:shd w:fill="F6F8FB"/>
            <w:tcMar>
              <w:top w:w="150" w:type="dxa"/>
              <w:start w:w="160" w:type="dxa"/>
              <w:bottom w:w="150" w:type="dxa"/>
              <w:end w:w="160" w:type="dxa"/>
            </w:tcMar>
            <w:vAlign w:val="top"/>
          </w:tcPr>
          <w:p>
            <w:r>
              <w:rPr>
                <w:b/>
                <w:color w:val="2E74B5"/>
                <w:sz w:val="21"/>
              </w:rPr>
              <w:t>Learn</w:t>
            </w:r>
          </w:p>
          <w:p>
            <w:pPr>
              <w:pStyle w:val="Small"/>
              <w:spacing w:after="0"/>
            </w:pPr>
            <w:r>
              <w:t>Read the module purpose and the four core learning points. Each point explains the concept in plain language.</w:t>
            </w:r>
          </w:p>
        </w:tc>
        <w:tc>
          <w:tcPr>
            <w:tcW w:type="dxa" w:w="4709"/>
            <w:shd w:fill="F6F8FB"/>
            <w:tcMar>
              <w:top w:w="150" w:type="dxa"/>
              <w:start w:w="160" w:type="dxa"/>
              <w:bottom w:w="150" w:type="dxa"/>
              <w:end w:w="160" w:type="dxa"/>
            </w:tcMar>
            <w:vAlign w:val="top"/>
          </w:tcPr>
          <w:p>
            <w:r>
              <w:rPr>
                <w:b/>
                <w:color w:val="2E8B78"/>
                <w:sz w:val="21"/>
              </w:rPr>
              <w:t>Apply</w:t>
            </w:r>
          </w:p>
          <w:p>
            <w:pPr>
              <w:pStyle w:val="Small"/>
              <w:spacing w:after="0"/>
            </w:pPr>
            <w:r>
              <w:t>Work through the DWIHN-oriented example and the practice scenario. Use only approved tools and approved data-handling processes.</w:t>
            </w:r>
          </w:p>
        </w:tc>
      </w:tr>
    </w:tbl>
    <w:p/>
    <w:tbl>
      <w:tblPr>
        <w:tblW w:type="auto" w:w="0"/>
        <w:jc w:val="center"/>
        <w:tblLayout w:type="fixed"/>
        <w:tblLook w:firstColumn="1" w:firstRow="1" w:lastColumn="0" w:lastRow="0" w:noHBand="0" w:noVBand="1" w:val="04A0"/>
      </w:tblPr>
      <w:tblGrid>
        <w:gridCol w:w="5083"/>
        <w:gridCol w:w="5083"/>
      </w:tblGrid>
      <w:tr>
        <w:trPr>
          <w:cantSplit/>
        </w:trPr>
        <w:tc>
          <w:tcPr>
            <w:tcW w:type="dxa" w:w="4709"/>
            <w:shd w:fill="F6F8FB"/>
            <w:tcMar>
              <w:top w:w="150" w:type="dxa"/>
              <w:start w:w="160" w:type="dxa"/>
              <w:bottom w:w="150" w:type="dxa"/>
              <w:end w:w="160" w:type="dxa"/>
            </w:tcMar>
            <w:vAlign w:val="top"/>
          </w:tcPr>
          <w:p>
            <w:r>
              <w:rPr>
                <w:b/>
                <w:color w:val="6C5CE7"/>
                <w:sz w:val="21"/>
              </w:rPr>
              <w:t>Check</w:t>
            </w:r>
          </w:p>
          <w:p>
            <w:pPr>
              <w:pStyle w:val="Small"/>
              <w:spacing w:after="0"/>
            </w:pPr>
            <w:r>
              <w:t>Use the knowledge-check questions to test understanding and identify topics that need review.</w:t>
            </w:r>
          </w:p>
        </w:tc>
        <w:tc>
          <w:tcPr>
            <w:tcW w:type="dxa" w:w="4709"/>
            <w:shd w:fill="F6F8FB"/>
            <w:tcMar>
              <w:top w:w="150" w:type="dxa"/>
              <w:start w:w="160" w:type="dxa"/>
              <w:bottom w:w="150" w:type="dxa"/>
              <w:end w:w="160" w:type="dxa"/>
            </w:tcMar>
            <w:vAlign w:val="top"/>
          </w:tcPr>
          <w:p>
            <w:r>
              <w:rPr>
                <w:b/>
                <w:color w:val="1F9D9A"/>
                <w:sz w:val="21"/>
              </w:rPr>
              <w:t>Transfer</w:t>
            </w:r>
          </w:p>
          <w:p>
            <w:pPr>
              <w:pStyle w:val="Small"/>
              <w:spacing w:after="0"/>
            </w:pPr>
            <w:r>
              <w:t>Complete the action plan so the learning connects to real work, not just the classroom.</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B94A48"/>
                <w:sz w:val="21"/>
              </w:rPr>
              <w:t>Important safety note</w:t>
              <w:br/>
            </w:r>
            <w:r>
              <w:rPr>
                <w:color w:val="233142"/>
                <w:sz w:val="19"/>
              </w:rPr>
              <w:t>This handbook does not replace DWIHN policies, the current approved AI tool catalog, HIPAA requirements, security procedures, or official incident-response instructions. Where a local policy or tool-specific rule exists, that rule takes precedence.</w:t>
            </w:r>
          </w:p>
        </w:tc>
      </w:tr>
    </w:tbl>
    <w:p>
      <w:pPr>
        <w:spacing w:after="20"/>
      </w:pPr>
    </w:p>
    <w:p>
      <w:pPr>
        <w:pStyle w:val="Heading2"/>
      </w:pPr>
      <w:r>
        <w:t>Program Structure</w:t>
      </w:r>
    </w:p>
    <w:p>
      <w:pPr>
        <w:pStyle w:val="ListBullet"/>
        <w:spacing w:after="60"/>
      </w:pPr>
      <w:r>
        <w:t>Month 1 - AI Foundations &amp; Safe Usage: Modules 1-5</w:t>
      </w:r>
    </w:p>
    <w:p>
      <w:pPr>
        <w:pStyle w:val="ListBullet"/>
        <w:spacing w:after="60"/>
      </w:pPr>
      <w:r>
        <w:t>Month 2 - Advanced AI &amp; Lumenore Mastery: Modules 6-10</w:t>
      </w:r>
    </w:p>
    <w:p>
      <w:pPr>
        <w:pStyle w:val="ListBullet"/>
        <w:spacing w:after="60"/>
      </w:pPr>
      <w:r>
        <w:t>12 live sessions with hands-on practice, Q&amp;A, recordings and LMS support</w:t>
      </w:r>
    </w:p>
    <w:p>
      <w:pPr>
        <w:pStyle w:val="ListBullet"/>
        <w:spacing w:after="60"/>
      </w:pPr>
      <w:r>
        <w:t>Final knowledge assessment and DWIHN AI Readiness Certificate</w:t>
      </w:r>
    </w:p>
    <w:p>
      <w:r>
        <w:br w:type="page"/>
      </w:r>
    </w:p>
    <w:p>
      <w:pPr>
        <w:pStyle w:val="Heading1"/>
      </w:pPr>
      <w:r>
        <w:t>Course Map</w:t>
      </w:r>
    </w:p>
    <w:p>
      <w:r>
        <w:t>The learning sequence is deliberate: understand AI first, learn the safety boundaries, build prompt skills, apply AI to daily work, then move into advanced tools, analytics, governance and certification.</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AF2F8"/>
          </w:tcPr>
          <w:p>
            <w:r>
              <w:rPr>
                <w:b/>
              </w:rPr>
              <w:t>1</w:t>
            </w:r>
          </w:p>
        </w:tc>
        <w:tc>
          <w:tcPr>
            <w:tcW w:type="dxa" w:w="5328"/>
            <w:tcMar>
              <w:top w:w="100" w:type="dxa"/>
              <w:start w:w="120" w:type="dxa"/>
              <w:bottom w:w="100" w:type="dxa"/>
              <w:end w:w="120" w:type="dxa"/>
            </w:tcMar>
            <w:vAlign w:val="center"/>
            <w:shd w:fill="EAF2F8"/>
          </w:tcPr>
          <w:p>
            <w:r>
              <w:rPr>
                <w:b/>
              </w:rPr>
              <w:t>What AI Is - and Isn't</w:t>
            </w:r>
          </w:p>
        </w:tc>
        <w:tc>
          <w:tcPr>
            <w:tcW w:type="dxa" w:w="2880"/>
            <w:tcMar>
              <w:top w:w="100" w:type="dxa"/>
              <w:start w:w="120" w:type="dxa"/>
              <w:bottom w:w="100" w:type="dxa"/>
              <w:end w:w="120" w:type="dxa"/>
            </w:tcMar>
            <w:vAlign w:val="center"/>
            <w:shd w:fill="EAF2F8"/>
          </w:tcPr>
          <w:p>
            <w:r>
              <w:t>Session 1</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AF2F8"/>
          </w:tcPr>
          <w:p>
            <w:r>
              <w:rPr>
                <w:b/>
              </w:rPr>
              <w:t>2</w:t>
            </w:r>
          </w:p>
        </w:tc>
        <w:tc>
          <w:tcPr>
            <w:tcW w:type="dxa" w:w="5328"/>
            <w:tcMar>
              <w:top w:w="100" w:type="dxa"/>
              <w:start w:w="120" w:type="dxa"/>
              <w:bottom w:w="100" w:type="dxa"/>
              <w:end w:w="120" w:type="dxa"/>
            </w:tcMar>
            <w:vAlign w:val="center"/>
            <w:shd w:fill="EAF2F8"/>
          </w:tcPr>
          <w:p>
            <w:r>
              <w:rPr>
                <w:b/>
              </w:rPr>
              <w:t>Approved Tools &amp; HIPAA Safety</w:t>
            </w:r>
          </w:p>
        </w:tc>
        <w:tc>
          <w:tcPr>
            <w:tcW w:type="dxa" w:w="2880"/>
            <w:tcMar>
              <w:top w:w="100" w:type="dxa"/>
              <w:start w:w="120" w:type="dxa"/>
              <w:bottom w:w="100" w:type="dxa"/>
              <w:end w:w="120" w:type="dxa"/>
            </w:tcMar>
            <w:vAlign w:val="center"/>
            <w:shd w:fill="EAF2F8"/>
          </w:tcPr>
          <w:p>
            <w:r>
              <w:t>Session 2</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AF2F8"/>
          </w:tcPr>
          <w:p>
            <w:r>
              <w:rPr>
                <w:b/>
              </w:rPr>
              <w:t>3</w:t>
            </w:r>
          </w:p>
        </w:tc>
        <w:tc>
          <w:tcPr>
            <w:tcW w:type="dxa" w:w="5328"/>
            <w:tcMar>
              <w:top w:w="100" w:type="dxa"/>
              <w:start w:w="120" w:type="dxa"/>
              <w:bottom w:w="100" w:type="dxa"/>
              <w:end w:w="120" w:type="dxa"/>
            </w:tcMar>
            <w:vAlign w:val="center"/>
            <w:shd w:fill="EAF2F8"/>
          </w:tcPr>
          <w:p>
            <w:r>
              <w:rPr>
                <w:b/>
              </w:rPr>
              <w:t>Data Classification in Practice</w:t>
            </w:r>
          </w:p>
        </w:tc>
        <w:tc>
          <w:tcPr>
            <w:tcW w:type="dxa" w:w="2880"/>
            <w:tcMar>
              <w:top w:w="100" w:type="dxa"/>
              <w:start w:w="120" w:type="dxa"/>
              <w:bottom w:w="100" w:type="dxa"/>
              <w:end w:w="120" w:type="dxa"/>
            </w:tcMar>
            <w:vAlign w:val="center"/>
            <w:shd w:fill="EAF2F8"/>
          </w:tcPr>
          <w:p>
            <w:r>
              <w:t>Session 2</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AF2F8"/>
          </w:tcPr>
          <w:p>
            <w:r>
              <w:rPr>
                <w:b/>
              </w:rPr>
              <w:t>4</w:t>
            </w:r>
          </w:p>
        </w:tc>
        <w:tc>
          <w:tcPr>
            <w:tcW w:type="dxa" w:w="5328"/>
            <w:tcMar>
              <w:top w:w="100" w:type="dxa"/>
              <w:start w:w="120" w:type="dxa"/>
              <w:bottom w:w="100" w:type="dxa"/>
              <w:end w:w="120" w:type="dxa"/>
            </w:tcMar>
            <w:vAlign w:val="center"/>
            <w:shd w:fill="EAF2F8"/>
          </w:tcPr>
          <w:p>
            <w:r>
              <w:rPr>
                <w:b/>
              </w:rPr>
              <w:t>Prompting Skills for DWIHN Roles</w:t>
            </w:r>
          </w:p>
        </w:tc>
        <w:tc>
          <w:tcPr>
            <w:tcW w:type="dxa" w:w="2880"/>
            <w:tcMar>
              <w:top w:w="100" w:type="dxa"/>
              <w:start w:w="120" w:type="dxa"/>
              <w:bottom w:w="100" w:type="dxa"/>
              <w:end w:w="120" w:type="dxa"/>
            </w:tcMar>
            <w:vAlign w:val="center"/>
            <w:shd w:fill="EAF2F8"/>
          </w:tcPr>
          <w:p>
            <w:r>
              <w:t>Session 3</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AF2F8"/>
          </w:tcPr>
          <w:p>
            <w:r>
              <w:rPr>
                <w:b/>
              </w:rPr>
              <w:t>5</w:t>
            </w:r>
          </w:p>
        </w:tc>
        <w:tc>
          <w:tcPr>
            <w:tcW w:type="dxa" w:w="5328"/>
            <w:tcMar>
              <w:top w:w="100" w:type="dxa"/>
              <w:start w:w="120" w:type="dxa"/>
              <w:bottom w:w="100" w:type="dxa"/>
              <w:end w:w="120" w:type="dxa"/>
            </w:tcMar>
            <w:vAlign w:val="center"/>
            <w:shd w:fill="EAF2F8"/>
          </w:tcPr>
          <w:p>
            <w:r>
              <w:rPr>
                <w:b/>
              </w:rPr>
              <w:t>AI in Your Daily DWIHN Work</w:t>
            </w:r>
          </w:p>
        </w:tc>
        <w:tc>
          <w:tcPr>
            <w:tcW w:type="dxa" w:w="2880"/>
            <w:tcMar>
              <w:top w:w="100" w:type="dxa"/>
              <w:start w:w="120" w:type="dxa"/>
              <w:bottom w:w="100" w:type="dxa"/>
              <w:end w:w="120" w:type="dxa"/>
            </w:tcMar>
            <w:vAlign w:val="center"/>
            <w:shd w:fill="EAF2F8"/>
          </w:tcPr>
          <w:p>
            <w:r>
              <w:t>Session 4</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FEAFA"/>
          </w:tcPr>
          <w:p>
            <w:r>
              <w:rPr>
                <w:b/>
              </w:rPr>
              <w:t>6</w:t>
            </w:r>
          </w:p>
        </w:tc>
        <w:tc>
          <w:tcPr>
            <w:tcW w:type="dxa" w:w="5328"/>
            <w:tcMar>
              <w:top w:w="100" w:type="dxa"/>
              <w:start w:w="120" w:type="dxa"/>
              <w:bottom w:w="100" w:type="dxa"/>
              <w:end w:w="120" w:type="dxa"/>
            </w:tcMar>
            <w:vAlign w:val="center"/>
            <w:shd w:fill="EFEAFA"/>
          </w:tcPr>
          <w:p>
            <w:r>
              <w:rPr>
                <w:b/>
              </w:rPr>
              <w:t>Lumenore Impact - Deep Dive</w:t>
            </w:r>
          </w:p>
        </w:tc>
        <w:tc>
          <w:tcPr>
            <w:tcW w:type="dxa" w:w="2880"/>
            <w:tcMar>
              <w:top w:w="100" w:type="dxa"/>
              <w:start w:w="120" w:type="dxa"/>
              <w:bottom w:w="100" w:type="dxa"/>
              <w:end w:w="120" w:type="dxa"/>
            </w:tcMar>
            <w:vAlign w:val="center"/>
            <w:shd w:fill="EFEAFA"/>
          </w:tcPr>
          <w:p>
            <w:r>
              <w:t>Sessions 5, 6, 7</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FEAFA"/>
          </w:tcPr>
          <w:p>
            <w:r>
              <w:rPr>
                <w:b/>
              </w:rPr>
              <w:t>7</w:t>
            </w:r>
          </w:p>
        </w:tc>
        <w:tc>
          <w:tcPr>
            <w:tcW w:type="dxa" w:w="5328"/>
            <w:tcMar>
              <w:top w:w="100" w:type="dxa"/>
              <w:start w:w="120" w:type="dxa"/>
              <w:bottom w:w="100" w:type="dxa"/>
              <w:end w:w="120" w:type="dxa"/>
            </w:tcMar>
            <w:vAlign w:val="center"/>
            <w:shd w:fill="EFEAFA"/>
          </w:tcPr>
          <w:p>
            <w:r>
              <w:rPr>
                <w:b/>
              </w:rPr>
              <w:t>Genesys AI - Call Center Excellence</w:t>
            </w:r>
          </w:p>
        </w:tc>
        <w:tc>
          <w:tcPr>
            <w:tcW w:type="dxa" w:w="2880"/>
            <w:tcMar>
              <w:top w:w="100" w:type="dxa"/>
              <w:start w:w="120" w:type="dxa"/>
              <w:bottom w:w="100" w:type="dxa"/>
              <w:end w:w="120" w:type="dxa"/>
            </w:tcMar>
            <w:vAlign w:val="center"/>
            <w:shd w:fill="EFEAFA"/>
          </w:tcPr>
          <w:p>
            <w:r>
              <w:t>Session 8</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FEAFA"/>
          </w:tcPr>
          <w:p>
            <w:r>
              <w:rPr>
                <w:b/>
              </w:rPr>
              <w:t>8</w:t>
            </w:r>
          </w:p>
        </w:tc>
        <w:tc>
          <w:tcPr>
            <w:tcW w:type="dxa" w:w="5328"/>
            <w:tcMar>
              <w:top w:w="100" w:type="dxa"/>
              <w:start w:w="120" w:type="dxa"/>
              <w:bottom w:w="100" w:type="dxa"/>
              <w:end w:w="120" w:type="dxa"/>
            </w:tcMar>
            <w:vAlign w:val="center"/>
            <w:shd w:fill="EFEAFA"/>
          </w:tcPr>
          <w:p>
            <w:r>
              <w:rPr>
                <w:b/>
              </w:rPr>
              <w:t>Objective Decisions with Data</w:t>
            </w:r>
          </w:p>
        </w:tc>
        <w:tc>
          <w:tcPr>
            <w:tcW w:type="dxa" w:w="2880"/>
            <w:tcMar>
              <w:top w:w="100" w:type="dxa"/>
              <w:start w:w="120" w:type="dxa"/>
              <w:bottom w:w="100" w:type="dxa"/>
              <w:end w:w="120" w:type="dxa"/>
            </w:tcMar>
            <w:vAlign w:val="center"/>
            <w:shd w:fill="EFEAFA"/>
          </w:tcPr>
          <w:p>
            <w:r>
              <w:t>Sessions 9, 10</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FEAFA"/>
          </w:tcPr>
          <w:p>
            <w:r>
              <w:rPr>
                <w:b/>
              </w:rPr>
              <w:t>9</w:t>
            </w:r>
          </w:p>
        </w:tc>
        <w:tc>
          <w:tcPr>
            <w:tcW w:type="dxa" w:w="5328"/>
            <w:tcMar>
              <w:top w:w="100" w:type="dxa"/>
              <w:start w:w="120" w:type="dxa"/>
              <w:bottom w:w="100" w:type="dxa"/>
              <w:end w:w="120" w:type="dxa"/>
            </w:tcMar>
            <w:vAlign w:val="center"/>
            <w:shd w:fill="EFEAFA"/>
          </w:tcPr>
          <w:p>
            <w:r>
              <w:rPr>
                <w:b/>
              </w:rPr>
              <w:t>AI Governance &amp; Incident Handling</w:t>
            </w:r>
          </w:p>
        </w:tc>
        <w:tc>
          <w:tcPr>
            <w:tcW w:type="dxa" w:w="2880"/>
            <w:tcMar>
              <w:top w:w="100" w:type="dxa"/>
              <w:start w:w="120" w:type="dxa"/>
              <w:bottom w:w="100" w:type="dxa"/>
              <w:end w:w="120" w:type="dxa"/>
            </w:tcMar>
            <w:vAlign w:val="center"/>
            <w:shd w:fill="EFEAFA"/>
          </w:tcPr>
          <w:p>
            <w:r>
              <w:t>Session 11</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864"/>
            <w:tcMar>
              <w:top w:w="100" w:type="dxa"/>
              <w:start w:w="120" w:type="dxa"/>
              <w:bottom w:w="100" w:type="dxa"/>
              <w:end w:w="120" w:type="dxa"/>
            </w:tcMar>
            <w:vAlign w:val="center"/>
            <w:shd w:fill="EFEAFA"/>
          </w:tcPr>
          <w:p>
            <w:r>
              <w:rPr>
                <w:b/>
              </w:rPr>
              <w:t>10</w:t>
            </w:r>
          </w:p>
        </w:tc>
        <w:tc>
          <w:tcPr>
            <w:tcW w:type="dxa" w:w="5328"/>
            <w:tcMar>
              <w:top w:w="100" w:type="dxa"/>
              <w:start w:w="120" w:type="dxa"/>
              <w:bottom w:w="100" w:type="dxa"/>
              <w:end w:w="120" w:type="dxa"/>
            </w:tcMar>
            <w:vAlign w:val="center"/>
            <w:shd w:fill="EFEAFA"/>
          </w:tcPr>
          <w:p>
            <w:r>
              <w:rPr>
                <w:b/>
              </w:rPr>
              <w:t>Knowledge Assessment &amp; Certification</w:t>
            </w:r>
          </w:p>
        </w:tc>
        <w:tc>
          <w:tcPr>
            <w:tcW w:type="dxa" w:w="2880"/>
            <w:tcMar>
              <w:top w:w="100" w:type="dxa"/>
              <w:start w:w="120" w:type="dxa"/>
              <w:bottom w:w="100" w:type="dxa"/>
              <w:end w:w="120" w:type="dxa"/>
            </w:tcMar>
            <w:vAlign w:val="center"/>
            <w:shd w:fill="EFEAFA"/>
          </w:tcPr>
          <w:p>
            <w:r>
              <w:t>Session 12</w:t>
            </w:r>
          </w:p>
        </w:tc>
      </w:tr>
    </w:tbl>
    <w:p>
      <w:pPr>
        <w:spacing w:after="20"/>
      </w:pPr>
    </w:p>
    <w:p>
      <w:r>
        <w:br w:type="page"/>
      </w:r>
    </w:p>
    <w:p>
      <w:pPr>
        <w:pStyle w:val="Heading1"/>
      </w:pPr>
      <w:r>
        <w:t>Learning Principles</w:t>
      </w:r>
    </w:p>
    <w:p>
      <w:r>
        <w:t>The program is built around five habits that appear repeatedly across all ten modules.</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1. Classify before you act</w:t>
              <w:br/>
            </w:r>
            <w:r>
              <w:rPr>
                <w:color w:val="233142"/>
                <w:sz w:val="19"/>
              </w:rPr>
              <w:t>Know what type of information you are handling before you choose an AI tool or workflow.</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2. Use approved tools</w:t>
              <w:br/>
            </w:r>
            <w:r>
              <w:rPr>
                <w:color w:val="233142"/>
                <w:sz w:val="19"/>
              </w:rPr>
              <w:t>Consumer familiarity is not the same as organizational approval. Check the current catalog.</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3. Give clear instructions</w:t>
              <w:br/>
            </w:r>
            <w:r>
              <w:rPr>
                <w:color w:val="233142"/>
                <w:sz w:val="19"/>
              </w:rPr>
              <w:t>Good prompts define the task, context, format and boundaries.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4. Verify before use</w:t>
              <w:br/>
            </w:r>
            <w:r>
              <w:rPr>
                <w:color w:val="233142"/>
                <w:sz w:val="19"/>
              </w:rPr>
              <w:t>AI output can be useful and still be wrong. Compare important outputs with trusted source information.</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5. Keep humans accountable</w:t>
              <w:br/>
            </w:r>
            <w:r>
              <w:rPr>
                <w:color w:val="233142"/>
                <w:sz w:val="19"/>
              </w:rPr>
              <w:t>AI assists. People remain responsible for judgement, communication, escalation and final decisions.</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10243E"/>
            <w:tcMar>
              <w:top w:w="520" w:type="dxa"/>
              <w:start w:w="420" w:type="dxa"/>
              <w:bottom w:w="520" w:type="dxa"/>
              <w:end w:w="420" w:type="dxa"/>
            </w:tcMar>
          </w:tcPr>
          <w:p>
            <w:pPr>
              <w:pStyle w:val="BigNum"/>
              <w:jc w:val="center"/>
            </w:pPr>
            <w:r>
              <w:t>MODULE 1</w:t>
            </w:r>
          </w:p>
          <w:p>
            <w:pPr>
              <w:pStyle w:val="ModuleTitle"/>
              <w:jc w:val="center"/>
            </w:pPr>
            <w:r>
              <w:t>What AI Is - and Isn't</w:t>
            </w:r>
          </w:p>
          <w:p>
            <w:pPr>
              <w:jc w:val="center"/>
            </w:pPr>
            <w:r>
              <w:rPr>
                <w:color w:val="D7E4F2"/>
                <w:sz w:val="22"/>
              </w:rPr>
              <w:t>Month 1 · AI Foundations &amp; Safe Usage · Session 1</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Build a practical mental model of AI so staff can use it confidently without treating it as magic, authority, or a replacement for professional judgement.</w:t>
            </w:r>
          </w:p>
        </w:tc>
      </w:tr>
    </w:tbl>
    <w:p>
      <w:pPr>
        <w:spacing w:after="20"/>
      </w:pPr>
    </w:p>
    <w:p>
      <w:r>
        <w:br w:type="page"/>
      </w:r>
    </w:p>
    <w:p>
      <w:pPr>
        <w:pStyle w:val="Heading1"/>
      </w:pPr>
      <w:r>
        <w:t>Module 1 Overview</w:t>
      </w:r>
    </w:p>
    <w:p>
      <w:r>
        <w:t>Build a practical mental model of AI so staff can use it confidently without treating it as magic, authority, or a replacement for professional judgement.</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1. AI as a capable assistant - not magic, not a person</w:t>
              <w:br/>
            </w:r>
            <w:r>
              <w:rPr>
                <w:color w:val="233142"/>
                <w:sz w:val="19"/>
              </w:rPr>
              <w:t>AI can process language and patterns quickly, but it does not think, care, understand context, or hold responsibility in the same way a person does.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2. What AI can help with: drafting, summaries, analysis</w:t>
              <w:br/>
            </w:r>
            <w:r>
              <w:rPr>
                <w:color w:val="233142"/>
                <w:sz w:val="19"/>
              </w:rPr>
              <w:t>The proposal identifies drafting, summarization and analysis as practical use cases.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3. What AI should not be used for and why</w:t>
              <w:br/>
            </w:r>
            <w:r>
              <w:rPr>
                <w:color w:val="233142"/>
                <w:sz w:val="19"/>
              </w:rPr>
              <w:t>AI should not be used as a shortcut around policy, privacy obligations, professional judgement, or required approvals.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4. Real examples relevant to care coordination and operations</w:t>
              <w:br/>
            </w:r>
            <w:r>
              <w:rPr>
                <w:color w:val="233142"/>
                <w:sz w:val="19"/>
              </w:rPr>
              <w:t>Learning becomes useful when staff can connect AI to real work.</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1.1  AI as a capable assistant - not magic, not a person</w:t>
      </w:r>
    </w:p>
    <w:p>
      <w:pPr>
        <w:pStyle w:val="Heading2"/>
      </w:pPr>
      <w:r>
        <w:t>What this means</w:t>
      </w:r>
    </w:p>
    <w:p>
      <w:r>
        <w:t>AI can process language and patterns quickly, but it does not think, care, understand context, or hold responsibility in the same way a person does. The safest mental model is an assistant that can help produce a first draft, organize information, summarize material, or explore options. Human staff remain responsible for checking the output and deciding what is appropriate.</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care coordinator asks an approved AI tool to turn meeting notes into a structured draft. The AI provides a useful starting point, but the coordinator checks names, dates, decisions and tone before using it.</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Treat AI output as a draft to review, not as an unquestionable answer.</w:t>
            </w:r>
          </w:p>
        </w:tc>
      </w:tr>
    </w:tbl>
    <w:p>
      <w:pPr>
        <w:spacing w:after="20"/>
      </w:pPr>
    </w:p>
    <w:p>
      <w:r>
        <w:br w:type="page"/>
      </w:r>
    </w:p>
    <w:p>
      <w:pPr>
        <w:pStyle w:val="Heading1"/>
      </w:pPr>
      <w:r>
        <w:t>1.2  What AI can help with: drafting, summaries, analysis</w:t>
      </w:r>
    </w:p>
    <w:p>
      <w:pPr>
        <w:pStyle w:val="Heading2"/>
      </w:pPr>
      <w:r>
        <w:t>What this means</w:t>
      </w:r>
    </w:p>
    <w:p>
      <w:r>
        <w:t>The proposal identifies drafting, summarization and analysis as practical use cases. These tasks are useful because they can reduce repetitive work while keeping a human in control. AI can help create a first version of an email, compress a long document into key themes, or organize information into a comparison. It is most useful when the task is clear and the user can verify the result.</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program manager provides non-restricted, approved information and asks AI to produce a first draft of a weekly update organized by accomplishments, risks and next actions.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Use AI where it saves preparation time and where a knowledgeable person can verify the result.</w:t>
            </w:r>
          </w:p>
        </w:tc>
      </w:tr>
    </w:tbl>
    <w:p>
      <w:pPr>
        <w:spacing w:after="20"/>
      </w:pPr>
    </w:p>
    <w:p>
      <w:r>
        <w:br w:type="page"/>
      </w:r>
    </w:p>
    <w:p>
      <w:pPr>
        <w:pStyle w:val="Heading1"/>
      </w:pPr>
      <w:r>
        <w:t>1.3  What AI should not be used for and why</w:t>
      </w:r>
    </w:p>
    <w:p>
      <w:pPr>
        <w:pStyle w:val="Heading2"/>
      </w:pPr>
      <w:r>
        <w:t>What this means</w:t>
      </w:r>
    </w:p>
    <w:p>
      <w:r>
        <w:t>AI should not be used as a shortcut around policy, privacy obligations, professional judgement, or required approvals. A tool may generate a confident response even when information is missing or wrong. It also should not receive data that is not permitted by the organization or by the approved tool rules.</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An employee is tempted to paste member details into a public consumer AI tool to summarize a case. The correct action is to stop, check the approved tool catalog and follow DWIHN data-handling rules.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When the task involves sensitive data, clinical or compliance decisions, or unclear permissions, verify the rule before using AI.</w:t>
            </w:r>
          </w:p>
        </w:tc>
      </w:tr>
    </w:tbl>
    <w:p>
      <w:pPr>
        <w:spacing w:after="20"/>
      </w:pPr>
    </w:p>
    <w:p>
      <w:r>
        <w:br w:type="page"/>
      </w:r>
    </w:p>
    <w:p>
      <w:pPr>
        <w:pStyle w:val="Heading1"/>
      </w:pPr>
      <w:r>
        <w:t>1.4  Real examples relevant to care coordination and operations</w:t>
      </w:r>
    </w:p>
    <w:p>
      <w:pPr>
        <w:pStyle w:val="Heading2"/>
      </w:pPr>
      <w:r>
        <w:t>What this means</w:t>
      </w:r>
    </w:p>
    <w:p>
      <w:r>
        <w:t>Learning becomes useful when staff can connect AI to real work. Relevant examples include drafting routine communications, summarizing approved documents, preparing meeting notes, organizing action items, turning data observations into plain-language explanations, and creating first-draft reports. The purpose is not to automate every task; it is to identify repetitive work where AI can assist safely.</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After a team meeting, an employee uses an approved tool to organize non-sensitive notes into decisions, owners and due dates, then reviews the list with the team.</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Start with low-risk, high-repeat tasks where the benefit is clear and verification is easy.</w:t>
            </w:r>
          </w:p>
        </w:tc>
      </w:tr>
    </w:tbl>
    <w:p>
      <w:pPr>
        <w:spacing w:after="20"/>
      </w:pPr>
    </w:p>
    <w:p>
      <w:r>
        <w:br w:type="page"/>
      </w:r>
    </w:p>
    <w:p>
      <w:pPr>
        <w:pStyle w:val="Heading1"/>
      </w:pPr>
      <w:r>
        <w:t>Module 1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You have a long set of approved internal meeting notes and need a clear summary for your team by the end of the day. Decide where AI can help and where human review is essential.</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1 Knowledge Check</w:t>
      </w:r>
    </w:p>
    <w:p>
      <w:r>
        <w:t>Answer without looking back first. Then review the module and correct anything you are unsure about.</w:t>
      </w:r>
    </w:p>
    <w:p>
      <w:pPr>
        <w:pStyle w:val="Heading3"/>
      </w:pPr>
      <w:r>
        <w:t>1. In one or two sentences, explain the main purpose of What AI Is - and Isn't.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1 Recap &amp; Action Plan</w:t>
      </w:r>
    </w:p>
    <w:p>
      <w:pPr>
        <w:pStyle w:val="Heading2"/>
      </w:pPr>
      <w:r>
        <w:t>Four things to remember</w:t>
      </w:r>
    </w:p>
    <w:p>
      <w:r>
        <w:t>1. Treat AI output as a draft to review, not as an unquestionable answer.</w:t>
      </w:r>
    </w:p>
    <w:p>
      <w:r>
        <w:t>2. Use AI where it saves preparation time and where a knowledgeable person can verify the result.</w:t>
      </w:r>
    </w:p>
    <w:p>
      <w:r>
        <w:t>3. When the task involves sensitive data, clinical or compliance decisions, or unclear permissions, verify the rule before using AI.</w:t>
      </w:r>
    </w:p>
    <w:p>
      <w:r>
        <w:t>4. Start with low-risk, high-repeat tasks where the benefit is clear and verification is easy.</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10243E"/>
            <w:tcMar>
              <w:top w:w="520" w:type="dxa"/>
              <w:start w:w="420" w:type="dxa"/>
              <w:bottom w:w="520" w:type="dxa"/>
              <w:end w:w="420" w:type="dxa"/>
            </w:tcMar>
          </w:tcPr>
          <w:p>
            <w:pPr>
              <w:pStyle w:val="BigNum"/>
              <w:jc w:val="center"/>
            </w:pPr>
            <w:r>
              <w:t>MODULE 2</w:t>
            </w:r>
          </w:p>
          <w:p>
            <w:pPr>
              <w:pStyle w:val="ModuleTitle"/>
              <w:jc w:val="center"/>
            </w:pPr>
            <w:r>
              <w:t>Approved Tools &amp; HIPAA Safety</w:t>
            </w:r>
          </w:p>
          <w:p>
            <w:pPr>
              <w:jc w:val="center"/>
            </w:pPr>
            <w:r>
              <w:rPr>
                <w:color w:val="D7E4F2"/>
                <w:sz w:val="22"/>
              </w:rPr>
              <w:t>Month 1 · AI Foundations &amp; Safe Usage · Session 2</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Help staff understand that safe AI use depends on using the right approved tool, respecting HIPAA boundaries, and knowing what information is permitted in each environment.</w:t>
            </w:r>
          </w:p>
        </w:tc>
      </w:tr>
    </w:tbl>
    <w:p>
      <w:pPr>
        <w:spacing w:after="20"/>
      </w:pPr>
    </w:p>
    <w:p>
      <w:r>
        <w:br w:type="page"/>
      </w:r>
    </w:p>
    <w:p>
      <w:pPr>
        <w:pStyle w:val="Heading1"/>
      </w:pPr>
      <w:r>
        <w:t>Module 2 Overview</w:t>
      </w:r>
    </w:p>
    <w:p>
      <w:r>
        <w:t>Help staff understand that safe AI use depends on using the right approved tool, respecting HIPAA boundaries, and knowing what information is permitted in each environment.</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1. The DWIHN Approved AI Tool Catalog in detail</w:t>
              <w:br/>
            </w:r>
            <w:r>
              <w:rPr>
                <w:color w:val="233142"/>
                <w:sz w:val="19"/>
              </w:rPr>
              <w:t>The proposal calls for a walkthrough of the DWIHN approved AI tool catalog.</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2. HIPAA boundaries - the non-negotiable rules</w:t>
              <w:br/>
            </w:r>
            <w:r>
              <w:rPr>
                <w:color w:val="233142"/>
                <w:sz w:val="19"/>
              </w:rPr>
              <w:t>The training emphasizes HIPAA-safe habits.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3. The four data classification tiers</w:t>
              <w:br/>
            </w:r>
            <w:r>
              <w:rPr>
                <w:color w:val="233142"/>
                <w:sz w:val="19"/>
              </w:rPr>
              <w:t>The proposal names four tiers: Public, Internal, Confidential and Restricted.</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4. What happens when rules are broken - and how to avoid it</w:t>
              <w:br/>
            </w:r>
            <w:r>
              <w:rPr>
                <w:color w:val="233142"/>
                <w:sz w:val="19"/>
              </w:rPr>
              <w:t>Unsafe AI use can create privacy, compliance, accuracy, and trust risks.</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2.1  The DWIHN Approved AI Tool Catalog in detail</w:t>
      </w:r>
    </w:p>
    <w:p>
      <w:pPr>
        <w:pStyle w:val="Heading2"/>
      </w:pPr>
      <w:r>
        <w:t>What this means</w:t>
      </w:r>
    </w:p>
    <w:p>
      <w:r>
        <w:t>The proposal calls for a walkthrough of the DWIHN approved AI tool catalog. The catalog should be treated as the starting point for any work use of AI because different tools may have different security, data, access, and retention rules. A tool that is acceptable for one type of information may not be approved for another.</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Before starting an AI task, an employee checks whether the tool is listed for the intended use and whether the planned data type is allowed.</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Do not assume that a familiar or popular AI tool is approved for DWIHN work.</w:t>
            </w:r>
          </w:p>
        </w:tc>
      </w:tr>
    </w:tbl>
    <w:p>
      <w:pPr>
        <w:spacing w:after="20"/>
      </w:pPr>
    </w:p>
    <w:p>
      <w:r>
        <w:br w:type="page"/>
      </w:r>
    </w:p>
    <w:p>
      <w:pPr>
        <w:pStyle w:val="Heading1"/>
      </w:pPr>
      <w:r>
        <w:t>2.2  HIPAA boundaries - the non-negotiable rules</w:t>
      </w:r>
    </w:p>
    <w:p>
      <w:pPr>
        <w:pStyle w:val="Heading2"/>
      </w:pPr>
      <w:r>
        <w:t>What this means</w:t>
      </w:r>
    </w:p>
    <w:p>
      <w:r>
        <w:t>The training emphasizes HIPAA-safe habits. Staff should avoid exposing protected or sensitive health information to tools or workflows that are not explicitly approved for that data. HIPAA safety is not only a technical issue; it is a daily behavior: minimum necessary information, approved systems, controlled sharing, and careful review before sending or publishing output.</w:t>
      </w:r>
    </w:p>
    <w:p>
      <w:pPr>
        <w:pStyle w:val="Heading2"/>
      </w:pPr>
      <w:r>
        <w:t>Why this matters in daily work</w:t>
      </w:r>
    </w:p>
    <w:p>
      <w:r>
        <w:t>AI creates value only when people trust how it is used. In a healthcare environment, a small shortcut can create a much larger privacy, compliance or trust problem. The safest approach is to make the correct action easy to repeat: check the classification, confirm the approved tool, share only what is necessary, and raise a question early when the rule is unclear.</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user wants help rewriting a member communication. Instead of pasting full identifying details, the user follows the approved workflow and uses only information permitted by policy.</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If you are unsure whether information may be used in a tool, stop and confirm before entering it.</w:t>
            </w:r>
          </w:p>
        </w:tc>
      </w:tr>
    </w:tbl>
    <w:p>
      <w:pPr>
        <w:spacing w:after="20"/>
      </w:pPr>
    </w:p>
    <w:p>
      <w:r>
        <w:br w:type="page"/>
      </w:r>
    </w:p>
    <w:p>
      <w:pPr>
        <w:pStyle w:val="Heading1"/>
      </w:pPr>
      <w:r>
        <w:t>2.3  The four data classification tiers</w:t>
      </w:r>
    </w:p>
    <w:p>
      <w:pPr>
        <w:pStyle w:val="Heading2"/>
      </w:pPr>
      <w:r>
        <w:t>What this means</w:t>
      </w:r>
    </w:p>
    <w:p>
      <w:r>
        <w:t>The proposal names four tiers: Public, Internal, Confidential and Restricted. Classification helps employees make a consistent decision about how information should be handled. Public information can generally be shared broadly; Internal information is intended for organizational use; Confidential information requires stronger control; Restricted information requires the highest level of protection and should only be handled in specifically authorized systems and workflows.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public event announcement and a member-specific health record are not treated the same way. Classification determines which tools and sharing methods are appropriate.</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Classify first, choose the tool second.</w:t>
            </w:r>
          </w:p>
        </w:tc>
      </w:tr>
    </w:tbl>
    <w:p>
      <w:pPr>
        <w:spacing w:after="20"/>
      </w:pPr>
    </w:p>
    <w:p>
      <w:r>
        <w:br w:type="page"/>
      </w:r>
    </w:p>
    <w:p>
      <w:pPr>
        <w:pStyle w:val="Heading1"/>
      </w:pPr>
      <w:r>
        <w:t>2.4  What happens when rules are broken - and how to avoid it</w:t>
      </w:r>
    </w:p>
    <w:p>
      <w:pPr>
        <w:pStyle w:val="Heading2"/>
      </w:pPr>
      <w:r>
        <w:t>What this means</w:t>
      </w:r>
    </w:p>
    <w:p>
      <w:r>
        <w:t>Unsafe AI use can create privacy, compliance, accuracy, and trust risks. Prevention is easier than incident response: use approved tools, classify the data, minimize what you provide, check recipients, review output, and report mistakes quickly. The training should create confidence to stop and ask rather than hide uncertainty.</w:t>
      </w:r>
    </w:p>
    <w:p>
      <w:pPr>
        <w:pStyle w:val="Heading2"/>
      </w:pPr>
      <w:r>
        <w:t>Why this matters in daily work</w:t>
      </w:r>
    </w:p>
    <w:p>
      <w:r>
        <w:t>AI creates value only when people trust how it is used. In a healthcare environment, a small shortcut can create a much larger privacy, compliance or trust problem. The safest approach is to make the correct action easy to repeat: check the classification, confirm the approved tool, share only what is necessary, and raise a question early when the rule is unclear.</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An employee realizes information may have been entered into the wrong tool. Instead of deleting evidence or waiting, the employee follows the incident reporting process described later in the program.</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Fast, transparent reporting is part of safe AI culture.</w:t>
            </w:r>
          </w:p>
        </w:tc>
      </w:tr>
    </w:tbl>
    <w:p>
      <w:pPr>
        <w:spacing w:after="20"/>
      </w:pPr>
    </w:p>
    <w:p>
      <w:r>
        <w:br w:type="page"/>
      </w:r>
    </w:p>
    <w:p>
      <w:pPr>
        <w:pStyle w:val="Heading1"/>
      </w:pPr>
      <w:r>
        <w:t>Module 2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A colleague wants to use a familiar public AI website for a work task. The planned text may include sensitive member information. Explain the safe decision path.</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2 Knowledge Check</w:t>
      </w:r>
    </w:p>
    <w:p>
      <w:r>
        <w:t>Answer without looking back first. Then review the module and correct anything you are unsure about.</w:t>
      </w:r>
    </w:p>
    <w:p>
      <w:pPr>
        <w:pStyle w:val="Heading3"/>
      </w:pPr>
      <w:r>
        <w:t>1. In one or two sentences, explain the main purpose of Approved Tools &amp; HIPAA Safety.</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2 Recap &amp; Action Plan</w:t>
      </w:r>
    </w:p>
    <w:p>
      <w:pPr>
        <w:pStyle w:val="Heading2"/>
      </w:pPr>
      <w:r>
        <w:t>Four things to remember</w:t>
      </w:r>
    </w:p>
    <w:p>
      <w:r>
        <w:t>1. Do not assume that a familiar or popular AI tool is approved for DWIHN work.</w:t>
      </w:r>
    </w:p>
    <w:p>
      <w:r>
        <w:t>2. If you are unsure whether information may be used in a tool, stop and confirm before entering it.</w:t>
      </w:r>
    </w:p>
    <w:p>
      <w:r>
        <w:t>3. Classify first, choose the tool second.</w:t>
      </w:r>
    </w:p>
    <w:p>
      <w:r>
        <w:t>4. Fast, transparent reporting is part of safe AI culture.</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10243E"/>
            <w:tcMar>
              <w:top w:w="520" w:type="dxa"/>
              <w:start w:w="420" w:type="dxa"/>
              <w:bottom w:w="520" w:type="dxa"/>
              <w:end w:w="420" w:type="dxa"/>
            </w:tcMar>
          </w:tcPr>
          <w:p>
            <w:pPr>
              <w:pStyle w:val="BigNum"/>
              <w:jc w:val="center"/>
            </w:pPr>
            <w:r>
              <w:t>MODULE 3</w:t>
            </w:r>
          </w:p>
          <w:p>
            <w:pPr>
              <w:pStyle w:val="ModuleTitle"/>
              <w:jc w:val="center"/>
            </w:pPr>
            <w:r>
              <w:t>Data Classification in Practice</w:t>
            </w:r>
          </w:p>
          <w:p>
            <w:pPr>
              <w:jc w:val="center"/>
            </w:pPr>
            <w:r>
              <w:rPr>
                <w:color w:val="D7E4F2"/>
                <w:sz w:val="22"/>
              </w:rPr>
              <w:t>Month 1 · AI Foundations &amp; Safe Usage · Session 2</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Turn classification rules into a repeatable decision habit that staff can apply before they copy, upload, paste, summarize, analyze or share information with an AI tool.</w:t>
            </w:r>
          </w:p>
        </w:tc>
      </w:tr>
    </w:tbl>
    <w:p>
      <w:pPr>
        <w:spacing w:after="20"/>
      </w:pPr>
    </w:p>
    <w:p>
      <w:r>
        <w:br w:type="page"/>
      </w:r>
    </w:p>
    <w:p>
      <w:pPr>
        <w:pStyle w:val="Heading1"/>
      </w:pPr>
      <w:r>
        <w:t>Module 3 Overview</w:t>
      </w:r>
    </w:p>
    <w:p>
      <w:r>
        <w:t>Turn classification rules into a repeatable decision habit that staff can apply before they copy, upload, paste, summarize, analyze or share information with an AI tool.</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1. Public, Internal, Confidential, Restricted - in your context</w:t>
              <w:br/>
            </w:r>
            <w:r>
              <w:rPr>
                <w:color w:val="233142"/>
                <w:sz w:val="19"/>
              </w:rPr>
              <w:t>The four labels become useful only when employees can apply them to the information they actually handle.</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2. The wallet analogy and other easy memory techniques</w:t>
              <w:br/>
            </w:r>
            <w:r>
              <w:rPr>
                <w:color w:val="233142"/>
                <w:sz w:val="19"/>
              </w:rPr>
              <w:t>The proposal suggests simple memory techniques such as a wallet analogy.</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3. Decision scenarios: real DWIHN data situations</w:t>
              <w:br/>
            </w:r>
            <w:r>
              <w:rPr>
                <w:color w:val="233142"/>
                <w:sz w:val="19"/>
              </w:rPr>
              <w:t>Scenario practice is essential because real work is messy.</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4. Quick-reference desk card walkthrough</w:t>
              <w:br/>
            </w:r>
            <w:r>
              <w:rPr>
                <w:color w:val="233142"/>
                <w:sz w:val="19"/>
              </w:rPr>
              <w:t>A desk card should function as a short decision aid: identify the data tier, check the approved tool, apply minimum-necessary thinking, verify the output, and know where to report a concern.</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3.1  Public, Internal, Confidential, Restricted - in your context</w:t>
      </w:r>
    </w:p>
    <w:p>
      <w:pPr>
        <w:pStyle w:val="Heading2"/>
      </w:pPr>
      <w:r>
        <w:t>What this means</w:t>
      </w:r>
    </w:p>
    <w:p>
      <w:r>
        <w:t>The four labels become useful only when employees can apply them to the information they actually handle. The classification decision should happen before an AI task begins. Staff should consider who is allowed to see the information, how harmful unauthorized disclosure could be, whether it relates to members or internal operations, and which system is approved to process it.</w:t>
      </w:r>
    </w:p>
    <w:p>
      <w:pPr>
        <w:pStyle w:val="Heading2"/>
      </w:pPr>
      <w:r>
        <w:t>Why this matters in daily work</w:t>
      </w:r>
    </w:p>
    <w:p>
      <w:r>
        <w:t>AI creates value only when people trust how it is used. In a healthcare environment, a small shortcut can create a much larger privacy, compliance or trust problem. The safest approach is to make the correct action easy to repeat: check the classification, confirm the approved tool, share only what is necessary, and raise a question early when the rule is unclear.</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published community resource list may be Public, while internal operational notes may be Internal or Confidential, and member-identifiable health information may require Restricted handling under organizational policy.</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The label should guide the tool, sharing method and level of protection.</w:t>
            </w:r>
          </w:p>
        </w:tc>
      </w:tr>
    </w:tbl>
    <w:p>
      <w:pPr>
        <w:spacing w:after="20"/>
      </w:pPr>
    </w:p>
    <w:p>
      <w:r>
        <w:br w:type="page"/>
      </w:r>
    </w:p>
    <w:p>
      <w:pPr>
        <w:pStyle w:val="Heading1"/>
      </w:pPr>
      <w:r>
        <w:t>3.2  The wallet analogy and other easy memory techniques</w:t>
      </w:r>
    </w:p>
    <w:p>
      <w:pPr>
        <w:pStyle w:val="Heading2"/>
      </w:pPr>
      <w:r>
        <w:t>What this means</w:t>
      </w:r>
    </w:p>
    <w:p>
      <w:r>
        <w:t>The proposal suggests simple memory techniques such as a wallet analogy. The purpose is to make classification easy to remember under time pressure. Think of Public information as something safe to display openly; Internal information as something kept inside the workplace; Confidential information as something you would protect like financial documents; and Restricted information as something you would guard with the strongest controls.</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Before pasting text into AI, pause for a two-second classification check: “Which tier is this?”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 memorable rule is valuable only if it leads to the correct policy check.</w:t>
            </w:r>
          </w:p>
        </w:tc>
      </w:tr>
    </w:tbl>
    <w:p>
      <w:pPr>
        <w:spacing w:after="20"/>
      </w:pPr>
    </w:p>
    <w:p>
      <w:r>
        <w:br w:type="page"/>
      </w:r>
    </w:p>
    <w:p>
      <w:pPr>
        <w:pStyle w:val="Heading1"/>
      </w:pPr>
      <w:r>
        <w:t>3.3  Decision scenarios: real DWIHN data situations</w:t>
      </w:r>
    </w:p>
    <w:p>
      <w:pPr>
        <w:pStyle w:val="Heading2"/>
      </w:pPr>
      <w:r>
        <w:t>What this means</w:t>
      </w:r>
    </w:p>
    <w:p>
      <w:r>
        <w:t>Scenario practice is essential because real work is messy. A single document may contain several data types, and a user may need to separate safe content from protected content. Staff should practice identifying the highest-risk element, deciding whether AI is appropriate, choosing the approved tool, and reducing the amount of data shared.</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report contains aggregate program statistics plus a small section with identifiable member notes. Staff should not treat the entire report as ordinary aggregate data; they should identify and protect the sensitive section.</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When mixed data is present, handle the task according to the most sensitive relevant information.</w:t>
            </w:r>
          </w:p>
        </w:tc>
      </w:tr>
    </w:tbl>
    <w:p>
      <w:pPr>
        <w:spacing w:after="20"/>
      </w:pPr>
    </w:p>
    <w:p>
      <w:r>
        <w:br w:type="page"/>
      </w:r>
    </w:p>
    <w:p>
      <w:pPr>
        <w:pStyle w:val="Heading1"/>
      </w:pPr>
      <w:r>
        <w:t>3.4  Quick-reference desk card walkthrough</w:t>
      </w:r>
    </w:p>
    <w:p>
      <w:pPr>
        <w:pStyle w:val="Heading2"/>
      </w:pPr>
      <w:r>
        <w:t>What this means</w:t>
      </w:r>
    </w:p>
    <w:p>
      <w:r>
        <w:t>A desk card should function as a short decision aid: identify the data tier, check the approved tool, apply minimum-necessary thinking, verify the output, and know where to report a concern. The training should encourage staff to use the card until the habit becomes automatic.</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An employee keeps the reference card near their workstation and uses it before uploading a file into any AI-enabled workflow.</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Good safety design reduces the number of decisions staff must remember from memory.</w:t>
            </w:r>
          </w:p>
        </w:tc>
      </w:tr>
    </w:tbl>
    <w:p>
      <w:pPr>
        <w:spacing w:after="20"/>
      </w:pPr>
    </w:p>
    <w:p>
      <w:r>
        <w:br w:type="page"/>
      </w:r>
    </w:p>
    <w:p>
      <w:pPr>
        <w:pStyle w:val="Heading1"/>
      </w:pPr>
      <w:r>
        <w:t>Module 3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A file contains aggregate program statistics, internal commentary and a small section with identifiable member information. Decide how you would classify and handle the task.</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3 Knowledge Check</w:t>
      </w:r>
    </w:p>
    <w:p>
      <w:r>
        <w:t>Answer without looking back first. Then review the module and correct anything you are unsure about.</w:t>
      </w:r>
    </w:p>
    <w:p>
      <w:pPr>
        <w:pStyle w:val="Heading3"/>
      </w:pPr>
      <w:r>
        <w:t>1. In one or two sentences, explain the main purpose of Data Classification in Practice.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3 Recap &amp; Action Plan</w:t>
      </w:r>
    </w:p>
    <w:p>
      <w:pPr>
        <w:pStyle w:val="Heading2"/>
      </w:pPr>
      <w:r>
        <w:t>Four things to remember</w:t>
      </w:r>
    </w:p>
    <w:p>
      <w:r>
        <w:t>1. The label should guide the tool, sharing method and level of protection.</w:t>
      </w:r>
    </w:p>
    <w:p>
      <w:r>
        <w:t>2. A memorable rule is valuable only if it leads to the correct policy check.</w:t>
      </w:r>
    </w:p>
    <w:p>
      <w:r>
        <w:t>3. When mixed data is present, handle the task according to the most sensitive relevant information.</w:t>
      </w:r>
    </w:p>
    <w:p>
      <w:r>
        <w:t>4. Good safety design reduces the number of decisions staff must remember from memory.</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10243E"/>
            <w:tcMar>
              <w:top w:w="520" w:type="dxa"/>
              <w:start w:w="420" w:type="dxa"/>
              <w:bottom w:w="520" w:type="dxa"/>
              <w:end w:w="420" w:type="dxa"/>
            </w:tcMar>
          </w:tcPr>
          <w:p>
            <w:pPr>
              <w:pStyle w:val="BigNum"/>
              <w:jc w:val="center"/>
            </w:pPr>
            <w:r>
              <w:t>MODULE 4</w:t>
            </w:r>
          </w:p>
          <w:p>
            <w:pPr>
              <w:pStyle w:val="ModuleTitle"/>
              <w:jc w:val="center"/>
            </w:pPr>
            <w:r>
              <w:t>Prompting Skills for DWIHN Roles</w:t>
            </w:r>
          </w:p>
          <w:p>
            <w:pPr>
              <w:jc w:val="center"/>
            </w:pPr>
            <w:r>
              <w:rPr>
                <w:color w:val="D7E4F2"/>
                <w:sz w:val="22"/>
              </w:rPr>
              <w:t>Month 1 · AI Foundations &amp; Safe Usage · Session 3</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Teach staff how to give AI clear instructions so outputs are more useful, safe, relevant and easy to review.</w:t>
            </w:r>
          </w:p>
        </w:tc>
      </w:tr>
    </w:tbl>
    <w:p>
      <w:pPr>
        <w:spacing w:after="20"/>
      </w:pPr>
    </w:p>
    <w:p>
      <w:r>
        <w:br w:type="page"/>
      </w:r>
    </w:p>
    <w:p>
      <w:pPr>
        <w:pStyle w:val="Heading1"/>
      </w:pPr>
      <w:r>
        <w:t>Module 4 Overview</w:t>
      </w:r>
    </w:p>
    <w:p>
      <w:r>
        <w:t>Teach staff how to give AI clear instructions so outputs are more useful, safe, relevant and easy to review.</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1. The 5-part prompt anatomy: Role · Task · Context · Format · Constraint</w:t>
              <w:br/>
            </w:r>
            <w:r>
              <w:rPr>
                <w:color w:val="233142"/>
                <w:sz w:val="19"/>
              </w:rPr>
              <w:t>A strong prompt tells the system what perspective to take, what job to perform, what context is relevant, how the answer should be formatted, and what boundaries must be respected.</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2. Before-and-after prompt examples for each DWIHN role</w:t>
              <w:br/>
            </w:r>
            <w:r>
              <w:rPr>
                <w:color w:val="233142"/>
                <w:sz w:val="19"/>
              </w:rPr>
              <w:t>Comparing weak and strong prompts helps staff see why specificity matters.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3. Live practice: write your first 3 work prompts</w:t>
              <w:br/>
            </w:r>
            <w:r>
              <w:rPr>
                <w:color w:val="233142"/>
                <w:sz w:val="19"/>
              </w:rPr>
              <w:t>Practice should begin with low-risk tasks and familiar material.</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4. Common mistakes that produce bad AI output - and fixes</w:t>
              <w:br/>
            </w:r>
            <w:r>
              <w:rPr>
                <w:color w:val="233142"/>
                <w:sz w:val="19"/>
              </w:rPr>
              <w:t>Common problems include vague instructions, missing context, conflicting requirements, overly broad tasks, asking for facts that are not supplied, and failing to specify the required format.</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4.1  The 5-part prompt anatomy: Role · Task · Context · Format · Constraint</w:t>
      </w:r>
    </w:p>
    <w:p>
      <w:pPr>
        <w:pStyle w:val="Heading2"/>
      </w:pPr>
      <w:r>
        <w:t>What this means</w:t>
      </w:r>
    </w:p>
    <w:p>
      <w:r>
        <w:t>A strong prompt tells the system what perspective to take, what job to perform, what context is relevant, how the answer should be formatted, and what boundaries must be respected. This structure reduces vague output and makes review easier. The “constraint” section is especially important for safety, length, tone, source limits and data-handling boundaries.</w:t>
      </w:r>
    </w:p>
    <w:p>
      <w:pPr>
        <w:pStyle w:val="Heading2"/>
      </w:pPr>
      <w:r>
        <w:t>Why this matters in daily work</w:t>
      </w:r>
    </w:p>
    <w:p>
      <w:r>
        <w:t>AI cannot reliably infer every unstated requirement. Clear instructions reduce guesswork and make the output easier to evaluate. A good prompt also creates an audit-friendly way of thinking: you can explain what you asked for, what information you provided and what constraints you expected the tool to follow.</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“Role: act as a writing assistant. Task: draft a meeting summary. Context: use only the notes below. Format: decisions, owners, due dates. Constraint: do not invent missing details.”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Clear instructions improve output quality but do not remove the need for human verification.</w:t>
            </w:r>
          </w:p>
        </w:tc>
      </w:tr>
    </w:tbl>
    <w:p>
      <w:pPr>
        <w:spacing w:after="20"/>
      </w:pPr>
    </w:p>
    <w:p>
      <w:r>
        <w:br w:type="page"/>
      </w:r>
    </w:p>
    <w:p>
      <w:pPr>
        <w:pStyle w:val="Heading1"/>
      </w:pPr>
      <w:r>
        <w:t>4.2  Before-and-after prompt examples for each DWIHN role</w:t>
      </w:r>
    </w:p>
    <w:p>
      <w:pPr>
        <w:pStyle w:val="Heading2"/>
      </w:pPr>
      <w:r>
        <w:t>What this means</w:t>
      </w:r>
    </w:p>
    <w:p>
      <w:r>
        <w:t>Comparing weak and strong prompts helps staff see why specificity matters. A weak prompt such as “write a report” leaves the system guessing. A stronger version defines the audience, purpose, source material, format and what must not be assumed. Role-specific examples should reflect care coordination, program management, administration and leadership without exposing restricted information.</w:t>
      </w:r>
    </w:p>
    <w:p>
      <w:pPr>
        <w:pStyle w:val="Heading2"/>
      </w:pPr>
      <w:r>
        <w:t>Why this matters in daily work</w:t>
      </w:r>
    </w:p>
    <w:p>
      <w:r>
        <w:t>AI cannot reliably infer every unstated requirement. Clear instructions reduce guesswork and make the output easier to evaluate. A good prompt also creates an audit-friendly way of thinking: you can explain what you asked for, what information you provided and what constraints you expected the tool to follow.</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manager changes “summarize this” into “summarize these approved notes for leadership in five bullets: progress, risks, decisions, owners and next steps; flag anything unclear.”</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The best prompt makes the review criteria obvious.</w:t>
            </w:r>
          </w:p>
        </w:tc>
      </w:tr>
    </w:tbl>
    <w:p>
      <w:pPr>
        <w:spacing w:after="20"/>
      </w:pPr>
    </w:p>
    <w:p>
      <w:r>
        <w:br w:type="page"/>
      </w:r>
    </w:p>
    <w:p>
      <w:pPr>
        <w:pStyle w:val="Heading1"/>
      </w:pPr>
      <w:r>
        <w:t>4.3  Live practice: write your first 3 work prompts</w:t>
      </w:r>
    </w:p>
    <w:p>
      <w:pPr>
        <w:pStyle w:val="Heading2"/>
      </w:pPr>
      <w:r>
        <w:t>What this means</w:t>
      </w:r>
    </w:p>
    <w:p>
      <w:r>
        <w:t>Practice should begin with low-risk tasks and familiar material. Staff can write three prompts for tasks they already understand, compare outputs, revise instructions, and observe how changes affect the result. The goal is not to memorize perfect wording; it is to learn an iterative process: ask, inspect, clarify, verify.</w:t>
      </w:r>
    </w:p>
    <w:p>
      <w:pPr>
        <w:pStyle w:val="Heading2"/>
      </w:pPr>
      <w:r>
        <w:t>Why this matters in daily work</w:t>
      </w:r>
    </w:p>
    <w:p>
      <w:r>
        <w:t>AI cannot reliably infer every unstated requirement. Clear instructions reduce guesswork and make the output easier to evaluate. A good prompt also creates an audit-friendly way of thinking: you can explain what you asked for, what information you provided and what constraints you expected the tool to follow.</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participant writes one prompt for an email, one for a meeting summary and one for a structured list, then improves each after reviewing the first output.</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Prompting is a skill that improves through short cycles of testing and refinement.</w:t>
            </w:r>
          </w:p>
        </w:tc>
      </w:tr>
    </w:tbl>
    <w:p>
      <w:pPr>
        <w:spacing w:after="20"/>
      </w:pPr>
    </w:p>
    <w:p>
      <w:r>
        <w:br w:type="page"/>
      </w:r>
    </w:p>
    <w:p>
      <w:pPr>
        <w:pStyle w:val="Heading1"/>
      </w:pPr>
      <w:r>
        <w:t>4.4  Common mistakes that produce bad AI output - and fixes</w:t>
      </w:r>
    </w:p>
    <w:p>
      <w:pPr>
        <w:pStyle w:val="Heading2"/>
      </w:pPr>
      <w:r>
        <w:t>What this means</w:t>
      </w:r>
    </w:p>
    <w:p>
      <w:r>
        <w:t>Common problems include vague instructions, missing context, conflicting requirements, overly broad tasks, asking for facts that are not supplied, and failing to specify the required format. Another mistake is trusting polished language as proof of accuracy. Fixes include narrowing the task, providing approved source material, asking the system to flag uncertainty, and defining what “good” looks like.</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Instead of “analyze our performance,” provide the approved dataset, define the period, identify the measures of interest and ask for a clearly structured summary without unsupported conclusions.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Better prompts reduce avoidable errors; careful review catches the errors that remain.</w:t>
            </w:r>
          </w:p>
        </w:tc>
      </w:tr>
    </w:tbl>
    <w:p>
      <w:pPr>
        <w:spacing w:after="20"/>
      </w:pPr>
    </w:p>
    <w:p>
      <w:r>
        <w:br w:type="page"/>
      </w:r>
    </w:p>
    <w:p>
      <w:pPr>
        <w:pStyle w:val="Heading1"/>
      </w:pPr>
      <w:r>
        <w:t>Module 4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You need a first-draft weekly update for leadership. Build a prompt using Role, Task, Context, Format and Constraint.</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4 Knowledge Check</w:t>
      </w:r>
    </w:p>
    <w:p>
      <w:r>
        <w:t>Answer without looking back first. Then review the module and correct anything you are unsure about.</w:t>
      </w:r>
    </w:p>
    <w:p>
      <w:pPr>
        <w:pStyle w:val="Heading3"/>
      </w:pPr>
      <w:r>
        <w:t>1. In one or two sentences, explain the main purpose of Prompting Skills for DWIHN Roles.</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4 Recap &amp; Action Plan</w:t>
      </w:r>
    </w:p>
    <w:p>
      <w:pPr>
        <w:pStyle w:val="Heading2"/>
      </w:pPr>
      <w:r>
        <w:t>Four things to remember</w:t>
      </w:r>
    </w:p>
    <w:p>
      <w:r>
        <w:t>1. Clear instructions improve output quality but do not remove the need for human verification.</w:t>
      </w:r>
    </w:p>
    <w:p>
      <w:r>
        <w:t>2. The best prompt makes the review criteria obvious.</w:t>
      </w:r>
    </w:p>
    <w:p>
      <w:r>
        <w:t>3. Prompting is a skill that improves through short cycles of testing and refinement.</w:t>
      </w:r>
    </w:p>
    <w:p>
      <w:r>
        <w:t>4. Better prompts reduce avoidable errors; careful review catches the errors that remain.</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10243E"/>
            <w:tcMar>
              <w:top w:w="520" w:type="dxa"/>
              <w:start w:w="420" w:type="dxa"/>
              <w:bottom w:w="520" w:type="dxa"/>
              <w:end w:w="420" w:type="dxa"/>
            </w:tcMar>
          </w:tcPr>
          <w:p>
            <w:pPr>
              <w:pStyle w:val="BigNum"/>
              <w:jc w:val="center"/>
            </w:pPr>
            <w:r>
              <w:t>MODULE 5</w:t>
            </w:r>
          </w:p>
          <w:p>
            <w:pPr>
              <w:pStyle w:val="ModuleTitle"/>
              <w:jc w:val="center"/>
            </w:pPr>
            <w:r>
              <w:t>AI in Your Daily DWIHN Work</w:t>
            </w:r>
          </w:p>
          <w:p>
            <w:pPr>
              <w:jc w:val="center"/>
            </w:pPr>
            <w:r>
              <w:rPr>
                <w:color w:val="D7E4F2"/>
                <w:sz w:val="22"/>
              </w:rPr>
              <w:t>Month 1 · AI Foundations &amp; Safe Usage · Session 4</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Bring the foundations together into practical, repeatable workflows for everyday work while keeping safety and human review visible at every step.</w:t>
            </w:r>
          </w:p>
        </w:tc>
      </w:tr>
    </w:tbl>
    <w:p>
      <w:pPr>
        <w:spacing w:after="20"/>
      </w:pPr>
    </w:p>
    <w:p>
      <w:r>
        <w:br w:type="page"/>
      </w:r>
    </w:p>
    <w:p>
      <w:pPr>
        <w:pStyle w:val="Heading1"/>
      </w:pPr>
      <w:r>
        <w:t>Module 5 Overview</w:t>
      </w:r>
    </w:p>
    <w:p>
      <w:r>
        <w:t>Bring the foundations together into practical, repeatable workflows for everyday work while keeping safety and human review visible at every step.</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1. Role-specific workflows: coordinators, managers, admin, compliance</w:t>
              <w:br/>
            </w:r>
            <w:r>
              <w:rPr>
                <w:color w:val="233142"/>
                <w:sz w:val="19"/>
              </w:rPr>
              <w:t>Different roles should use AI differently because responsibilities, information access and review standards differ.</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2. Writing emails, summaries and reports with AI assistance</w:t>
              <w:br/>
            </w:r>
            <w:r>
              <w:rPr>
                <w:color w:val="233142"/>
                <w:sz w:val="19"/>
              </w:rPr>
              <w:t>AI can reduce time spent on blank-page drafting.</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3. Reviewing and editing AI output before using it</w:t>
              <w:br/>
            </w:r>
            <w:r>
              <w:rPr>
                <w:color w:val="233142"/>
                <w:sz w:val="19"/>
              </w:rPr>
              <w:t>Review is a required step, not an optional polish.</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74B5"/>
                <w:sz w:val="21"/>
              </w:rPr>
              <w:t>4. The daily AI checklist - building safe habits</w:t>
              <w:br/>
            </w:r>
            <w:r>
              <w:rPr>
                <w:color w:val="233142"/>
                <w:sz w:val="19"/>
              </w:rPr>
              <w:t>A daily checklist turns policy into behavior.</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5.1  Role-specific workflows: coordinators, managers, admin, compliance</w:t>
      </w:r>
    </w:p>
    <w:p>
      <w:pPr>
        <w:pStyle w:val="Heading2"/>
      </w:pPr>
      <w:r>
        <w:t>What this means</w:t>
      </w:r>
    </w:p>
    <w:p>
      <w:r>
        <w:t>Different roles should use AI differently because responsibilities, information access and review standards differ. The training should help each group identify recurring tasks that are appropriate for AI assistance, define a safe workflow, and know where human judgement must remain. A good workflow starts with classification and ends with verification.</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coordinator may use AI to structure approved notes, while a program manager may use it to turn approved data findings into a first-draft narrative. Compliance staff may focus more on review, policy interpretation support and incident documentation.</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Design workflows around real responsibilities, not around what the technology can do in theory.</w:t>
            </w:r>
          </w:p>
        </w:tc>
      </w:tr>
    </w:tbl>
    <w:p>
      <w:pPr>
        <w:spacing w:after="20"/>
      </w:pPr>
    </w:p>
    <w:p>
      <w:r>
        <w:br w:type="page"/>
      </w:r>
    </w:p>
    <w:p>
      <w:pPr>
        <w:pStyle w:val="Heading1"/>
      </w:pPr>
      <w:r>
        <w:t>5.2  Writing emails, summaries and reports with AI assistance</w:t>
      </w:r>
    </w:p>
    <w:p>
      <w:pPr>
        <w:pStyle w:val="Heading2"/>
      </w:pPr>
      <w:r>
        <w:t>What this means</w:t>
      </w:r>
    </w:p>
    <w:p>
      <w:r>
        <w:t>AI can reduce time spent on blank-page drafting. Users can provide approved context, specify audience and tone, request a structured first draft, then edit for accuracy and organizational voice. Summaries should preserve key decisions, caveats and action items rather than simply shorten text. Reports should clearly separate source facts from interpretation.</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An employee asks AI to draft a concise internal update from approved bullet notes, then checks names, dates, commitments and tone before sending.</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AI can accelerate drafting; the sender still owns the final communication.</w:t>
            </w:r>
          </w:p>
        </w:tc>
      </w:tr>
    </w:tbl>
    <w:p>
      <w:pPr>
        <w:spacing w:after="20"/>
      </w:pPr>
    </w:p>
    <w:p>
      <w:r>
        <w:br w:type="page"/>
      </w:r>
    </w:p>
    <w:p>
      <w:pPr>
        <w:pStyle w:val="Heading1"/>
      </w:pPr>
      <w:r>
        <w:t>5.3  Reviewing and editing AI output before using it</w:t>
      </w:r>
    </w:p>
    <w:p>
      <w:pPr>
        <w:pStyle w:val="Heading2"/>
      </w:pPr>
      <w:r>
        <w:t>What this means</w:t>
      </w:r>
    </w:p>
    <w:p>
      <w:r>
        <w:t>Review is a required step, not an optional polish. Users should check factual accuracy, completeness, tone, bias, privacy, unsupported claims, missing caveats and whether the answer actually follows the request. For important work, compare the output against the original approved source.</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generated summary says a decision was finalized, but the original notes only say it was discussed. The user corrects the wording before distribution.</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Never let fluent wording substitute for verification.</w:t>
            </w:r>
          </w:p>
        </w:tc>
      </w:tr>
    </w:tbl>
    <w:p>
      <w:pPr>
        <w:spacing w:after="20"/>
      </w:pPr>
    </w:p>
    <w:p>
      <w:r>
        <w:br w:type="page"/>
      </w:r>
    </w:p>
    <w:p>
      <w:pPr>
        <w:pStyle w:val="Heading1"/>
      </w:pPr>
      <w:r>
        <w:t>5.4  The daily AI checklist - building safe habits</w:t>
      </w:r>
    </w:p>
    <w:p>
      <w:pPr>
        <w:pStyle w:val="Heading2"/>
      </w:pPr>
      <w:r>
        <w:t>What this means</w:t>
      </w:r>
    </w:p>
    <w:p>
      <w:r>
        <w:t>A daily checklist turns policy into behavior. A practical sequence is: classify the information, confirm the tool, minimize the data, write a clear prompt, review the output, verify important facts, edit for context and tone, and report anything unusual. Repeating the same sequence reduces accidental shortcuts.</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Before every AI task, an employee performs a short pre-use check and a short post-output review.</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Consistency is one of the strongest controls in safe AI use.</w:t>
            </w:r>
          </w:p>
        </w:tc>
      </w:tr>
    </w:tbl>
    <w:p>
      <w:pPr>
        <w:spacing w:after="20"/>
      </w:pPr>
    </w:p>
    <w:p>
      <w:r>
        <w:br w:type="page"/>
      </w:r>
    </w:p>
    <w:p>
      <w:pPr>
        <w:pStyle w:val="Heading1"/>
      </w:pPr>
      <w:r>
        <w:t>Module 5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Choose one recurring task in your role that could benefit from AI assistance. Design the workflow from classification through final review.</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5 Knowledge Check</w:t>
      </w:r>
    </w:p>
    <w:p>
      <w:r>
        <w:t>Answer without looking back first. Then review the module and correct anything you are unsure about.</w:t>
      </w:r>
    </w:p>
    <w:p>
      <w:pPr>
        <w:pStyle w:val="Heading3"/>
      </w:pPr>
      <w:r>
        <w:t>1. In one or two sentences, explain the main purpose of AI in Your Daily DWIHN Work.</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5 Recap &amp; Action Plan</w:t>
      </w:r>
    </w:p>
    <w:p>
      <w:pPr>
        <w:pStyle w:val="Heading2"/>
      </w:pPr>
      <w:r>
        <w:t>Four things to remember</w:t>
      </w:r>
    </w:p>
    <w:p>
      <w:r>
        <w:t>1. Design workflows around real responsibilities, not around what the technology can do in theory.</w:t>
      </w:r>
    </w:p>
    <w:p>
      <w:r>
        <w:t>2. AI can accelerate drafting; the sender still owns the final communication.</w:t>
      </w:r>
    </w:p>
    <w:p>
      <w:r>
        <w:t>3. Never let fluent wording substitute for verification.</w:t>
      </w:r>
    </w:p>
    <w:p>
      <w:r>
        <w:t>4. Consistency is one of the strongest controls in safe AI use.</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45346B"/>
            <w:tcMar>
              <w:top w:w="520" w:type="dxa"/>
              <w:start w:w="420" w:type="dxa"/>
              <w:bottom w:w="520" w:type="dxa"/>
              <w:end w:w="420" w:type="dxa"/>
            </w:tcMar>
          </w:tcPr>
          <w:p>
            <w:pPr>
              <w:pStyle w:val="BigNum"/>
              <w:jc w:val="center"/>
            </w:pPr>
            <w:r>
              <w:t>MODULE 6</w:t>
            </w:r>
          </w:p>
          <w:p>
            <w:pPr>
              <w:pStyle w:val="ModuleTitle"/>
              <w:jc w:val="center"/>
            </w:pPr>
            <w:r>
              <w:t>Lumenore Impact - Deep Dive</w:t>
            </w:r>
          </w:p>
          <w:p>
            <w:pPr>
              <w:jc w:val="center"/>
            </w:pPr>
            <w:r>
              <w:rPr>
                <w:color w:val="D7E4F2"/>
                <w:sz w:val="22"/>
              </w:rPr>
              <w:t>Month 2 · Advanced AI &amp; Lumenore Mastery · Sessions 5, 6, 7</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Develop practical fluency with Lumenore Impact, moving from asking a first question to using dashboards, service-gap analysis, alerts and board-ready reporting.</w:t>
            </w:r>
          </w:p>
        </w:tc>
      </w:tr>
    </w:tbl>
    <w:p>
      <w:pPr>
        <w:spacing w:after="20"/>
      </w:pPr>
    </w:p>
    <w:p>
      <w:r>
        <w:br w:type="page"/>
      </w:r>
    </w:p>
    <w:p>
      <w:pPr>
        <w:pStyle w:val="Heading1"/>
      </w:pPr>
      <w:r>
        <w:t>Module 6 Overview</w:t>
      </w:r>
    </w:p>
    <w:p>
      <w:r>
        <w:t>Develop practical fluency with Lumenore Impact, moving from asking a first question to using dashboards, service-gap analysis, alerts and board-ready reporting.</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1. Ask Me: typing real questions, reading results</w:t>
              <w:br/>
            </w:r>
            <w:r>
              <w:rPr>
                <w:color w:val="233142"/>
                <w:sz w:val="19"/>
              </w:rPr>
              <w:t>The proposal positions “Ask Me” as a way to query data using natural questions.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2. Working on your first dashboard for your Program</w:t>
              <w:br/>
            </w:r>
            <w:r>
              <w:rPr>
                <w:color w:val="233142"/>
                <w:sz w:val="19"/>
              </w:rPr>
              <w:t>A dashboard should help a team make recurring decisions, not simply display every available metric.</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3. Service gap analysis by zip code - live practice</w:t>
              <w:br/>
            </w:r>
            <w:r>
              <w:rPr>
                <w:color w:val="233142"/>
                <w:sz w:val="19"/>
              </w:rPr>
              <w:t>Geographic analysis can help teams see where service demand, access or outcomes vary by location.</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4. Setting smart alerts and exporting board reports</w:t>
              <w:br/>
            </w:r>
            <w:r>
              <w:rPr>
                <w:color w:val="233142"/>
                <w:sz w:val="19"/>
              </w:rPr>
              <w:t>Alerts are valuable when they are tied to a meaningful threshold and a clear response.</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6.1  Ask Me: typing real questions, reading results</w:t>
      </w:r>
    </w:p>
    <w:p>
      <w:pPr>
        <w:pStyle w:val="Heading2"/>
      </w:pPr>
      <w:r>
        <w:t>What this means</w:t>
      </w:r>
    </w:p>
    <w:p>
      <w:r>
        <w:t>The proposal positions “Ask Me” as a way to query data using natural questions. Effective use starts with a specific business question: what measure, which population or program, what time period, and what comparison is needed. Users then need to read the result carefully, confirm filters and definitions, and avoid overinterpreting a chart or summary without context.</w:t>
      </w:r>
    </w:p>
    <w:p>
      <w:pPr>
        <w:pStyle w:val="Heading2"/>
      </w:pPr>
      <w:r>
        <w:t>Why this matters in daily work</w:t>
      </w:r>
    </w:p>
    <w:p>
      <w:r>
        <w:t>Analytics becomes useful when the question is tied to a real decision. The user should know what they are trying to understand, which measure is relevant and what action could follow from the result. This keeps the tool connected to operational value rather than curiosity alone.</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Instead of asking “How are we doing?”, a manager asks a focused question about a defined program metric for a defined period and then checks whether the result matches the intended filters.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 useful question is specific enough that another person would know what evidence is needed to answer it.</w:t>
            </w:r>
          </w:p>
        </w:tc>
      </w:tr>
    </w:tbl>
    <w:p>
      <w:pPr>
        <w:spacing w:after="20"/>
      </w:pPr>
    </w:p>
    <w:p>
      <w:r>
        <w:br w:type="page"/>
      </w:r>
    </w:p>
    <w:p>
      <w:pPr>
        <w:pStyle w:val="Heading1"/>
      </w:pPr>
      <w:r>
        <w:t>6.2  Working on your first dashboard for your Program</w:t>
      </w:r>
    </w:p>
    <w:p>
      <w:pPr>
        <w:pStyle w:val="Heading2"/>
      </w:pPr>
      <w:r>
        <w:t>What this means</w:t>
      </w:r>
    </w:p>
    <w:p>
      <w:r>
        <w:t>A dashboard should help a team make recurring decisions, not simply display every available metric. Start with a small set of measures tied to program goals, use clear labels, keep time periods consistent, and design the view around the questions staff ask most often. The proposal emphasizes practical dashboard building for program teams.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team creates a dashboard with a handful of program KPIs, recent trends and a clear view of where attention is required.</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 focused dashboard is more useful than a crowded dashboard.</w:t>
            </w:r>
          </w:p>
        </w:tc>
      </w:tr>
    </w:tbl>
    <w:p>
      <w:pPr>
        <w:spacing w:after="20"/>
      </w:pPr>
    </w:p>
    <w:p>
      <w:r>
        <w:br w:type="page"/>
      </w:r>
    </w:p>
    <w:p>
      <w:pPr>
        <w:pStyle w:val="Heading1"/>
      </w:pPr>
      <w:r>
        <w:t>6.3  Service gap analysis by zip code - live practice</w:t>
      </w:r>
    </w:p>
    <w:p>
      <w:pPr>
        <w:pStyle w:val="Heading2"/>
      </w:pPr>
      <w:r>
        <w:t>What this means</w:t>
      </w:r>
    </w:p>
    <w:p>
      <w:r>
        <w:t>Geographic analysis can help teams see where service demand, access or outcomes vary by location. The training should focus on reading patterns responsibly: checking volume, definitions and time periods before drawing conclusions. A visible difference on a map may be a useful signal, but it is not automatically an explanation of why the difference exists.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map shows variation across ZIP codes. The team uses it to identify where further investigation may be needed rather than immediately assigning a cause.</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Use geographic patterns to ask better questions, not to jump to unsupported conclusions.</w:t>
            </w:r>
          </w:p>
        </w:tc>
      </w:tr>
    </w:tbl>
    <w:p>
      <w:pPr>
        <w:spacing w:after="20"/>
      </w:pPr>
    </w:p>
    <w:p>
      <w:r>
        <w:br w:type="page"/>
      </w:r>
    </w:p>
    <w:p>
      <w:pPr>
        <w:pStyle w:val="Heading1"/>
      </w:pPr>
      <w:r>
        <w:t>6.4  Setting smart alerts and exporting board reports</w:t>
      </w:r>
    </w:p>
    <w:p>
      <w:pPr>
        <w:pStyle w:val="Heading2"/>
      </w:pPr>
      <w:r>
        <w:t>What this means</w:t>
      </w:r>
    </w:p>
    <w:p>
      <w:r>
        <w:t>Alerts are valuable when they are tied to a meaningful threshold and a clear response. Too many alerts create noise; too few may miss important changes. Reports for leadership should present the relevant metric, period, trend, context and next action in a concise way. The proposal also calls for exporting board-ready reports.</w:t>
      </w:r>
    </w:p>
    <w:p>
      <w:pPr>
        <w:pStyle w:val="Heading2"/>
      </w:pPr>
      <w:r>
        <w:t>Why this matters in daily work</w:t>
      </w:r>
    </w:p>
    <w:p>
      <w:r>
        <w:t>Analytics becomes useful when the question is tied to a real decision. The user should know what they are trying to understand, which measure is relevant and what action could follow from the result. This keeps the tool connected to operational value rather than curiosity alone.</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program sets an alert for a defined KPI condition and establishes who reviews it and what follow-up occurs when triggered.</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Every alert should have an owner and a purpose; every report should make the decision context clear.</w:t>
            </w:r>
          </w:p>
        </w:tc>
      </w:tr>
    </w:tbl>
    <w:p>
      <w:pPr>
        <w:spacing w:after="20"/>
      </w:pPr>
    </w:p>
    <w:p>
      <w:r>
        <w:br w:type="page"/>
      </w:r>
    </w:p>
    <w:p>
      <w:pPr>
        <w:pStyle w:val="Heading1"/>
      </w:pPr>
      <w:r>
        <w:t>Module 6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Your program team wants to understand a change in one KPI. Write a focused question for Lumenore, identify the filters to check and describe how you would communicate the result.</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6 Knowledge Check</w:t>
      </w:r>
    </w:p>
    <w:p>
      <w:r>
        <w:t>Answer without looking back first. Then review the module and correct anything you are unsure about.</w:t>
      </w:r>
    </w:p>
    <w:p>
      <w:pPr>
        <w:pStyle w:val="Heading3"/>
      </w:pPr>
      <w:r>
        <w:t>1. In one or two sentences, explain the main purpose of Lumenore Impact - Deep Dive.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6 Recap &amp; Action Plan</w:t>
      </w:r>
    </w:p>
    <w:p>
      <w:pPr>
        <w:pStyle w:val="Heading2"/>
      </w:pPr>
      <w:r>
        <w:t>Four things to remember</w:t>
      </w:r>
    </w:p>
    <w:p>
      <w:r>
        <w:t>1. A useful question is specific enough that another person would know what evidence is needed to answer it.</w:t>
      </w:r>
    </w:p>
    <w:p>
      <w:r>
        <w:t>2. A focused dashboard is more useful than a crowded dashboard.</w:t>
      </w:r>
    </w:p>
    <w:p>
      <w:r>
        <w:t>3. Use geographic patterns to ask better questions, not to jump to unsupported conclusions.</w:t>
      </w:r>
    </w:p>
    <w:p>
      <w:r>
        <w:t>4. Every alert should have an owner and a purpose; every report should make the decision context clear.</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45346B"/>
            <w:tcMar>
              <w:top w:w="520" w:type="dxa"/>
              <w:start w:w="420" w:type="dxa"/>
              <w:bottom w:w="520" w:type="dxa"/>
              <w:end w:w="420" w:type="dxa"/>
            </w:tcMar>
          </w:tcPr>
          <w:p>
            <w:pPr>
              <w:pStyle w:val="BigNum"/>
              <w:jc w:val="center"/>
            </w:pPr>
            <w:r>
              <w:t>MODULE 7</w:t>
            </w:r>
          </w:p>
          <w:p>
            <w:pPr>
              <w:pStyle w:val="ModuleTitle"/>
              <w:jc w:val="center"/>
            </w:pPr>
            <w:r>
              <w:t>Genesys AI - Call Center Excellence</w:t>
            </w:r>
          </w:p>
          <w:p>
            <w:pPr>
              <w:jc w:val="center"/>
            </w:pPr>
            <w:r>
              <w:rPr>
                <w:color w:val="D7E4F2"/>
                <w:sz w:val="22"/>
              </w:rPr>
              <w:t>Month 2 · Advanced AI &amp; Lumenore Mastery · Session 8</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Help call-center staff understand and use the AI capabilities highlighted in the proposal while maintaining accurate review and appropriate member service judgement.</w:t>
            </w:r>
          </w:p>
        </w:tc>
      </w:tr>
    </w:tbl>
    <w:p>
      <w:pPr>
        <w:spacing w:after="20"/>
      </w:pPr>
    </w:p>
    <w:p>
      <w:r>
        <w:br w:type="page"/>
      </w:r>
    </w:p>
    <w:p>
      <w:pPr>
        <w:pStyle w:val="Heading1"/>
      </w:pPr>
      <w:r>
        <w:t>Module 7 Overview</w:t>
      </w:r>
    </w:p>
    <w:p>
      <w:r>
        <w:t>Help call-center staff understand and use the AI capabilities highlighted in the proposal while maintaining accurate review and appropriate member service judgement.</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1. Agent AI - insights and suggestions from registered calls</w:t>
              <w:br/>
            </w:r>
            <w:r>
              <w:rPr>
                <w:color w:val="233142"/>
                <w:sz w:val="19"/>
              </w:rPr>
              <w:t>The proposal describes agent AI as providing insights and suggestions from registered calls.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2. Auto Call Summary - stop manual note-taking forever</w:t>
              <w:br/>
            </w:r>
            <w:r>
              <w:rPr>
                <w:color w:val="233142"/>
                <w:sz w:val="19"/>
              </w:rPr>
              <w:t>Automatic summaries can reduce the time spent converting a call into structured notes.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3. Sentiment alerts - catch escalating calls early</w:t>
              <w:br/>
            </w:r>
            <w:r>
              <w:rPr>
                <w:color w:val="233142"/>
                <w:sz w:val="19"/>
              </w:rPr>
              <w:t>Sentiment indicators may help draw attention to changes in tone or possible escalation.</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4. Predictive routing - serving members better from first ring</w:t>
              <w:br/>
            </w:r>
            <w:r>
              <w:rPr>
                <w:color w:val="233142"/>
                <w:sz w:val="19"/>
              </w:rPr>
              <w:t>The proposal highlights predictive routing as a way to improve how calls are directed.</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7.1  Agent AI - insights and suggestions from registered calls</w:t>
      </w:r>
    </w:p>
    <w:p>
      <w:pPr>
        <w:pStyle w:val="Heading2"/>
      </w:pPr>
      <w:r>
        <w:t>What this means</w:t>
      </w:r>
    </w:p>
    <w:p>
      <w:r>
        <w:t>The proposal describes agent AI as providing insights and suggestions from registered calls. Such assistance can help an agent notice relevant information or structure follow-up, but the agent should treat suggestions as support rather than instruction. Context, member needs, policy and human judgement remain essential.</w:t>
      </w:r>
    </w:p>
    <w:p>
      <w:pPr>
        <w:pStyle w:val="Heading2"/>
      </w:pPr>
      <w:r>
        <w:t>Why this matters in daily work</w:t>
      </w:r>
    </w:p>
    <w:p>
      <w:r>
        <w:t>Call-center AI is most valuable when it reduces repetitive work and helps staff notice useful signals while preserving attention to the member. The technology should support the conversation, not distract from it or become the final authority on what the member needs.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During a call workflow, an agent sees an AI-generated suggestion and checks whether it matches the member’s actual situation before acting.</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AI suggestions should improve attention and consistency, not replace listening.</w:t>
            </w:r>
          </w:p>
        </w:tc>
      </w:tr>
    </w:tbl>
    <w:p>
      <w:pPr>
        <w:spacing w:after="20"/>
      </w:pPr>
    </w:p>
    <w:p>
      <w:r>
        <w:br w:type="page"/>
      </w:r>
    </w:p>
    <w:p>
      <w:pPr>
        <w:pStyle w:val="Heading1"/>
      </w:pPr>
      <w:r>
        <w:t>7.2  Auto Call Summary - stop manual note-taking forever</w:t>
      </w:r>
    </w:p>
    <w:p>
      <w:pPr>
        <w:pStyle w:val="Heading2"/>
      </w:pPr>
      <w:r>
        <w:t>What this means</w:t>
      </w:r>
    </w:p>
    <w:p>
      <w:r>
        <w:t>Automatic summaries can reduce the time spent converting a call into structured notes. The practical value is strongest when staff review the summary for missing details, incorrect wording, names, dates, commitments and follow-up actions. The proposal emphasizes reducing manual note-taking, but quality review remains necessary.</w:t>
      </w:r>
    </w:p>
    <w:p>
      <w:pPr>
        <w:pStyle w:val="Heading2"/>
      </w:pPr>
      <w:r>
        <w:t>Why this matters in daily work</w:t>
      </w:r>
    </w:p>
    <w:p>
      <w:r>
        <w:t>Call-center AI is most valuable when it reduces repetitive work and helps staff notice useful signals while preserving attention to the member. The technology should support the conversation, not distract from it or become the final authority on what the member needs.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After a call, the agent reviews the generated summary, corrects one misunderstood detail and confirms the final action items.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Automation can create the first draft of notes; the responsible employee validates the final record.</w:t>
            </w:r>
          </w:p>
        </w:tc>
      </w:tr>
    </w:tbl>
    <w:p>
      <w:pPr>
        <w:spacing w:after="20"/>
      </w:pPr>
    </w:p>
    <w:p>
      <w:r>
        <w:br w:type="page"/>
      </w:r>
    </w:p>
    <w:p>
      <w:pPr>
        <w:pStyle w:val="Heading1"/>
      </w:pPr>
      <w:r>
        <w:t>7.3  Sentiment alerts - catch escalating calls early</w:t>
      </w:r>
    </w:p>
    <w:p>
      <w:pPr>
        <w:pStyle w:val="Heading2"/>
      </w:pPr>
      <w:r>
        <w:t>What this means</w:t>
      </w:r>
    </w:p>
    <w:p>
      <w:r>
        <w:t>Sentiment indicators may help draw attention to changes in tone or possible escalation. They should be used as signals, not as definitive judgments about a person’s intent or emotional state. Agents should continue to listen to the actual conversation and follow established escalation procedures.</w:t>
      </w:r>
    </w:p>
    <w:p>
      <w:pPr>
        <w:pStyle w:val="Heading2"/>
      </w:pPr>
      <w:r>
        <w:t>Why this matters in daily work</w:t>
      </w:r>
    </w:p>
    <w:p>
      <w:r>
        <w:t>Call-center AI is most valuable when it reduces repetitive work and helps staff notice useful signals while preserving attention to the member. The technology should support the conversation, not distract from it or become the final authority on what the member needs.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sentiment alert appears during a difficult interaction. The agent uses it as a reminder to slow down, clarify the concern and follow the appropriate service process.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Treat sentiment as an additional cue, not as a diagnosis or a substitute for human interpretation.</w:t>
            </w:r>
          </w:p>
        </w:tc>
      </w:tr>
    </w:tbl>
    <w:p>
      <w:pPr>
        <w:spacing w:after="20"/>
      </w:pPr>
    </w:p>
    <w:p>
      <w:r>
        <w:br w:type="page"/>
      </w:r>
    </w:p>
    <w:p>
      <w:pPr>
        <w:pStyle w:val="Heading1"/>
      </w:pPr>
      <w:r>
        <w:t>7.4  Predictive routing - serving members better from first ring</w:t>
      </w:r>
    </w:p>
    <w:p>
      <w:pPr>
        <w:pStyle w:val="Heading2"/>
      </w:pPr>
      <w:r>
        <w:t>What this means</w:t>
      </w:r>
    </w:p>
    <w:p>
      <w:r>
        <w:t>The proposal highlights predictive routing as a way to improve how calls are directed. Staff should understand what the routing is intended to optimize, what information it uses according to the approved system design, and what to do when the routing does not fit the member’s needs.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call reaches a team based on routing logic, but the agent recognizes that a different path is required and follows the correct transfer or escalation process.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Automation should reduce friction while preserving a clear human fallback.</w:t>
            </w:r>
          </w:p>
        </w:tc>
      </w:tr>
    </w:tbl>
    <w:p>
      <w:pPr>
        <w:spacing w:after="20"/>
      </w:pPr>
    </w:p>
    <w:p>
      <w:r>
        <w:br w:type="page"/>
      </w:r>
    </w:p>
    <w:p>
      <w:pPr>
        <w:pStyle w:val="Heading1"/>
      </w:pPr>
      <w:r>
        <w:t>Module 7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An AI-generated call summary appears useful but one key detail sounds wrong. Describe what the agent should do before saving or using the summary.</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7 Knowledge Check</w:t>
      </w:r>
    </w:p>
    <w:p>
      <w:r>
        <w:t>Answer without looking back first. Then review the module and correct anything you are unsure about.</w:t>
      </w:r>
    </w:p>
    <w:p>
      <w:pPr>
        <w:pStyle w:val="Heading3"/>
      </w:pPr>
      <w:r>
        <w:t>1. In one or two sentences, explain the main purpose of Genesys AI - Call Center Excellence.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7 Recap &amp; Action Plan</w:t>
      </w:r>
    </w:p>
    <w:p>
      <w:pPr>
        <w:pStyle w:val="Heading2"/>
      </w:pPr>
      <w:r>
        <w:t>Four things to remember</w:t>
      </w:r>
    </w:p>
    <w:p>
      <w:r>
        <w:t>1. AI suggestions should improve attention and consistency, not replace listening.</w:t>
      </w:r>
    </w:p>
    <w:p>
      <w:r>
        <w:t>2. Automation can create the first draft of notes; the responsible employee validates the final record.</w:t>
      </w:r>
    </w:p>
    <w:p>
      <w:r>
        <w:t>3. Treat sentiment as an additional cue, not as a diagnosis or a substitute for human interpretation.</w:t>
      </w:r>
    </w:p>
    <w:p>
      <w:r>
        <w:t>4. Automation should reduce friction while preserving a clear human fallback.</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45346B"/>
            <w:tcMar>
              <w:top w:w="520" w:type="dxa"/>
              <w:start w:w="420" w:type="dxa"/>
              <w:bottom w:w="520" w:type="dxa"/>
              <w:end w:w="420" w:type="dxa"/>
            </w:tcMar>
          </w:tcPr>
          <w:p>
            <w:pPr>
              <w:pStyle w:val="BigNum"/>
              <w:jc w:val="center"/>
            </w:pPr>
            <w:r>
              <w:t>MODULE 8</w:t>
            </w:r>
          </w:p>
          <w:p>
            <w:pPr>
              <w:pStyle w:val="ModuleTitle"/>
              <w:jc w:val="center"/>
            </w:pPr>
            <w:r>
              <w:t>Objective Decisions with Data</w:t>
            </w:r>
          </w:p>
          <w:p>
            <w:pPr>
              <w:jc w:val="center"/>
            </w:pPr>
            <w:r>
              <w:rPr>
                <w:color w:val="D7E4F2"/>
                <w:sz w:val="22"/>
              </w:rPr>
              <w:t>Month 2 · Advanced AI &amp; Lumenore Mastery · Sessions 9, 10</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Use AI-powered data tools to support evidence-based discussion while keeping definitions, context, uncertainty and human accountability visible.</w:t>
            </w:r>
          </w:p>
        </w:tc>
      </w:tr>
    </w:tbl>
    <w:p>
      <w:pPr>
        <w:spacing w:after="20"/>
      </w:pPr>
    </w:p>
    <w:p>
      <w:r>
        <w:br w:type="page"/>
      </w:r>
    </w:p>
    <w:p>
      <w:pPr>
        <w:pStyle w:val="Heading1"/>
      </w:pPr>
      <w:r>
        <w:t>Module 8 Overview</w:t>
      </w:r>
    </w:p>
    <w:p>
      <w:r>
        <w:t>Use AI-powered data tools to support evidence-based discussion while keeping definitions, context, uncertainty and human accountability visible.</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1. Single source of truth - ending data conflicts in meetings</w:t>
              <w:br/>
            </w:r>
            <w:r>
              <w:rPr>
                <w:color w:val="233142"/>
                <w:sz w:val="19"/>
              </w:rPr>
              <w:t>A shared, governed source of data reduces time spent debating whose spreadsheet is correct.</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2. Reading and presenting AI-generated trend analysis</w:t>
              <w:br/>
            </w:r>
            <w:r>
              <w:rPr>
                <w:color w:val="233142"/>
                <w:sz w:val="19"/>
              </w:rPr>
              <w:t>Trend analysis should answer: what changed, over what period, by how much, and what context might matter.</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3. Predictive insights - acting before a problem escalates</w:t>
              <w:br/>
            </w:r>
            <w:r>
              <w:rPr>
                <w:color w:val="233142"/>
                <w:sz w:val="19"/>
              </w:rPr>
              <w:t>Predictive outputs can help teams prioritize attention, but they are estimates based on available data and assumptions.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4. Running a data-driven team meeting with Lumenore</w:t>
              <w:br/>
            </w:r>
            <w:r>
              <w:rPr>
                <w:color w:val="233142"/>
                <w:sz w:val="19"/>
              </w:rPr>
              <w:t>A data-driven meeting starts with defined questions, reviews a small set of trusted metrics, identifies changes that need attention, records decisions and assigns owners.</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8.1  Single source of truth - ending data conflicts in meetings</w:t>
      </w:r>
    </w:p>
    <w:p>
      <w:pPr>
        <w:pStyle w:val="Heading2"/>
      </w:pPr>
      <w:r>
        <w:t>What this means</w:t>
      </w:r>
    </w:p>
    <w:p>
      <w:r>
        <w:t>A shared, governed source of data reduces time spent debating whose spreadsheet is correct. The goal is not merely one dashboard; it is agreement on definitions, time periods, ownership and the source used for decisions. AI and analytics are most useful when everyone is looking at the same trusted foundation.</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Before a meeting, the team agrees that a defined Lumenore view and its metric definitions are the reference for the discussion.</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Alignment on data definitions is a prerequisite for alignment on decisions.</w:t>
            </w:r>
          </w:p>
        </w:tc>
      </w:tr>
    </w:tbl>
    <w:p>
      <w:pPr>
        <w:spacing w:after="20"/>
      </w:pPr>
    </w:p>
    <w:p>
      <w:r>
        <w:br w:type="page"/>
      </w:r>
    </w:p>
    <w:p>
      <w:pPr>
        <w:pStyle w:val="Heading1"/>
      </w:pPr>
      <w:r>
        <w:t>8.2  Reading and presenting AI-generated trend analysis</w:t>
      </w:r>
    </w:p>
    <w:p>
      <w:pPr>
        <w:pStyle w:val="Heading2"/>
      </w:pPr>
      <w:r>
        <w:t>What this means</w:t>
      </w:r>
    </w:p>
    <w:p>
      <w:r>
        <w:t>Trend analysis should answer: what changed, over what period, by how much, and what context might matter. AI can help summarize patterns, but presenters should verify the underlying data and avoid claiming causation when only an association is visible. Good communication separates observation from interpretation.</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chart shows a change over several months. The presenter states the observed trend and then separately lists possible questions for investigation rather than asserting a cause.</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Say what the data shows, what it does not show, and what needs follow-up.</w:t>
            </w:r>
          </w:p>
        </w:tc>
      </w:tr>
    </w:tbl>
    <w:p>
      <w:pPr>
        <w:spacing w:after="20"/>
      </w:pPr>
    </w:p>
    <w:p>
      <w:r>
        <w:br w:type="page"/>
      </w:r>
    </w:p>
    <w:p>
      <w:pPr>
        <w:pStyle w:val="Heading1"/>
      </w:pPr>
      <w:r>
        <w:t>8.3  Predictive insights - acting before a problem escalates</w:t>
      </w:r>
    </w:p>
    <w:p>
      <w:pPr>
        <w:pStyle w:val="Heading2"/>
      </w:pPr>
      <w:r>
        <w:t>What this means</w:t>
      </w:r>
    </w:p>
    <w:p>
      <w:r>
        <w:t>Predictive outputs can help teams prioritize attention, but they are estimates based on available data and assumptions. Staff should understand that predictions are not certainties, check for relevant limitations, and use them as one input into a broader decision process.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risk indicator increases for a program measure. The team uses it to trigger review and additional analysis rather than treating the prediction as guaranteed.</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Predictions should lead to investigation and proportionate action, not automatic conclusions.</w:t>
            </w:r>
          </w:p>
        </w:tc>
      </w:tr>
    </w:tbl>
    <w:p>
      <w:pPr>
        <w:spacing w:after="20"/>
      </w:pPr>
    </w:p>
    <w:p>
      <w:r>
        <w:br w:type="page"/>
      </w:r>
    </w:p>
    <w:p>
      <w:pPr>
        <w:pStyle w:val="Heading1"/>
      </w:pPr>
      <w:r>
        <w:t>8.4  Running a data-driven team meeting with Lumenore</w:t>
      </w:r>
    </w:p>
    <w:p>
      <w:pPr>
        <w:pStyle w:val="Heading2"/>
      </w:pPr>
      <w:r>
        <w:t>What this means</w:t>
      </w:r>
    </w:p>
    <w:p>
      <w:r>
        <w:t>A data-driven meeting starts with defined questions, reviews a small set of trusted metrics, identifies changes that need attention, records decisions and assigns owners. Lumenore can make the evidence visible, but the meeting still needs facilitation and clear decision rules.</w:t>
      </w:r>
    </w:p>
    <w:p>
      <w:pPr>
        <w:pStyle w:val="Heading2"/>
      </w:pPr>
      <w:r>
        <w:t>Why this matters in daily work</w:t>
      </w:r>
    </w:p>
    <w:p>
      <w:r>
        <w:t>Data tools can make patterns visible faster, but speed should not be confused with certainty. Good users check definitions, filters, time periods and context before presenting an insight. The goal is to improve the quality of questions and decisions, not simply to produce more charts.</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The team opens with three agreed KPIs, discusses one unusual trend, records a follow-up analysis request and assigns an owner and due date.</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Use the dashboard to focus the conversation, not to overwhelm it.</w:t>
            </w:r>
          </w:p>
        </w:tc>
      </w:tr>
    </w:tbl>
    <w:p>
      <w:pPr>
        <w:spacing w:after="20"/>
      </w:pPr>
    </w:p>
    <w:p>
      <w:r>
        <w:br w:type="page"/>
      </w:r>
    </w:p>
    <w:p>
      <w:pPr>
        <w:pStyle w:val="Heading1"/>
      </w:pPr>
      <w:r>
        <w:t>Module 8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A dashboard shows a concerning trend. Prepare a short meeting approach that separates what is observed from what still needs investigation.</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8 Knowledge Check</w:t>
      </w:r>
    </w:p>
    <w:p>
      <w:r>
        <w:t>Answer without looking back first. Then review the module and correct anything you are unsure about.</w:t>
      </w:r>
    </w:p>
    <w:p>
      <w:pPr>
        <w:pStyle w:val="Heading3"/>
      </w:pPr>
      <w:r>
        <w:t>1. In one or two sentences, explain the main purpose of Objective Decisions with Data.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8 Recap &amp; Action Plan</w:t>
      </w:r>
    </w:p>
    <w:p>
      <w:pPr>
        <w:pStyle w:val="Heading2"/>
      </w:pPr>
      <w:r>
        <w:t>Four things to remember</w:t>
      </w:r>
    </w:p>
    <w:p>
      <w:r>
        <w:t>1. Alignment on data definitions is a prerequisite for alignment on decisions.</w:t>
      </w:r>
    </w:p>
    <w:p>
      <w:r>
        <w:t>2. Say what the data shows, what it does not show, and what needs follow-up.</w:t>
      </w:r>
    </w:p>
    <w:p>
      <w:r>
        <w:t>3. Predictions should lead to investigation and proportionate action, not automatic conclusions.</w:t>
      </w:r>
    </w:p>
    <w:p>
      <w:r>
        <w:t>4. Use the dashboard to focus the conversation, not to overwhelm it.</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45346B"/>
            <w:tcMar>
              <w:top w:w="520" w:type="dxa"/>
              <w:start w:w="420" w:type="dxa"/>
              <w:bottom w:w="520" w:type="dxa"/>
              <w:end w:w="420" w:type="dxa"/>
            </w:tcMar>
          </w:tcPr>
          <w:p>
            <w:pPr>
              <w:pStyle w:val="BigNum"/>
              <w:jc w:val="center"/>
            </w:pPr>
            <w:r>
              <w:t>MODULE 9</w:t>
            </w:r>
          </w:p>
          <w:p>
            <w:pPr>
              <w:pStyle w:val="ModuleTitle"/>
              <w:jc w:val="center"/>
            </w:pPr>
            <w:r>
              <w:t>AI Governance &amp; Incident Handling</w:t>
            </w:r>
          </w:p>
          <w:p>
            <w:pPr>
              <w:jc w:val="center"/>
            </w:pPr>
            <w:r>
              <w:rPr>
                <w:color w:val="D7E4F2"/>
                <w:sz w:val="22"/>
              </w:rPr>
              <w:t>Month 2 · Advanced AI &amp; Lumenore Mastery · Session 11</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Build the governance habits needed to use AI responsibly, recognize problems early, report them promptly, and support staff without creating fear around honest mistakes.</w:t>
            </w:r>
          </w:p>
        </w:tc>
      </w:tr>
    </w:tbl>
    <w:p>
      <w:pPr>
        <w:spacing w:after="20"/>
      </w:pPr>
    </w:p>
    <w:p>
      <w:r>
        <w:br w:type="page"/>
      </w:r>
    </w:p>
    <w:p>
      <w:pPr>
        <w:pStyle w:val="Heading1"/>
      </w:pPr>
      <w:r>
        <w:t>Module 9 Overview</w:t>
      </w:r>
    </w:p>
    <w:p>
      <w:r>
        <w:t>Build the governance habits needed to use AI responsibly, recognize problems early, report them promptly, and support staff without creating fear around honest mistakes.</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1. The AI Governance Committee - who does what</w:t>
              <w:br/>
            </w:r>
            <w:r>
              <w:rPr>
                <w:color w:val="233142"/>
                <w:sz w:val="19"/>
              </w:rPr>
              <w:t>The proposal identifies an AI Governance Committee as part of the operating model.</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2. Recognising an AI incident - and responding within 24 hours</w:t>
              <w:br/>
            </w:r>
            <w:r>
              <w:rPr>
                <w:color w:val="233142"/>
                <w:sz w:val="19"/>
              </w:rPr>
              <w:t>The proposal teaches staff to recognize incidents and respond within 24 hours.</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3. The 5-step incident response process - hands-on practice</w:t>
              <w:br/>
            </w:r>
            <w:r>
              <w:rPr>
                <w:color w:val="233142"/>
                <w:sz w:val="19"/>
              </w:rPr>
              <w:t>The proposal calls for a five-step process, but it does not specify the exact steps in the provided document.</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4. Manager responsibilities: supporting your team's AI use</w:t>
              <w:br/>
            </w:r>
            <w:r>
              <w:rPr>
                <w:color w:val="233142"/>
                <w:sz w:val="19"/>
              </w:rPr>
              <w:t>Managers shape daily AI culture.</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9.1  The AI Governance Committee - who does what</w:t>
      </w:r>
    </w:p>
    <w:p>
      <w:pPr>
        <w:pStyle w:val="Heading2"/>
      </w:pPr>
      <w:r>
        <w:t>What this means</w:t>
      </w:r>
    </w:p>
    <w:p>
      <w:r>
        <w:t>The proposal identifies an AI Governance Committee as part of the operating model. Effective governance requires clear roles: who defines policy, who approves tools, who handles security or privacy concerns, who owns training, and who reviews incidents and lessons learned. Staff do not need to know every governance detail, but they should know where questions and concerns go.</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An employee encounters a new AI use case that is not covered by current guidance. Instead of improvising, the question is routed through the appropriate governance channel.</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Good governance creates a clear path for questions before they become problems.</w:t>
            </w:r>
          </w:p>
        </w:tc>
      </w:tr>
    </w:tbl>
    <w:p>
      <w:pPr>
        <w:spacing w:after="20"/>
      </w:pPr>
    </w:p>
    <w:p>
      <w:r>
        <w:br w:type="page"/>
      </w:r>
    </w:p>
    <w:p>
      <w:pPr>
        <w:pStyle w:val="Heading1"/>
      </w:pPr>
      <w:r>
        <w:t>9.2  Recognising an AI incident - and responding within 24 hours</w:t>
      </w:r>
    </w:p>
    <w:p>
      <w:pPr>
        <w:pStyle w:val="Heading2"/>
      </w:pPr>
      <w:r>
        <w:t>What this means</w:t>
      </w:r>
    </w:p>
    <w:p>
      <w:r>
        <w:t>The proposal teaches staff to recognize incidents and respond within 24 hours. An incident may involve inappropriate data exposure, use of an unapproved tool, inaccurate AI output that affected work, unexpected system behavior, or another event defined by DWIHN policy. The first responsibility is to recognize that something may require review and report it through the approved process.</w:t>
      </w:r>
    </w:p>
    <w:p>
      <w:pPr>
        <w:pStyle w:val="Heading2"/>
      </w:pPr>
      <w:r>
        <w:t>Why this matters in daily work</w:t>
      </w:r>
    </w:p>
    <w:p>
      <w:r>
        <w:t>AI creates value only when people trust how it is used. In a healthcare environment, a small shortcut can create a much larger privacy, compliance or trust problem. The safest approach is to make the correct action easy to repeat: check the classification, confirm the approved tool, share only what is necessary, and raise a question early when the rule is unclear.</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staff member notices that sensitive information may have been entered into the wrong environment. The employee documents what happened and reports it promptly rather than waiting to see whether harm occurs.</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When in doubt, early reporting allows the right team to assess the situation.</w:t>
            </w:r>
          </w:p>
        </w:tc>
      </w:tr>
    </w:tbl>
    <w:p>
      <w:pPr>
        <w:spacing w:after="20"/>
      </w:pPr>
    </w:p>
    <w:p>
      <w:r>
        <w:br w:type="page"/>
      </w:r>
    </w:p>
    <w:p>
      <w:pPr>
        <w:pStyle w:val="Heading1"/>
      </w:pPr>
      <w:r>
        <w:t>9.3  The 5-step incident response process - hands-on practice</w:t>
      </w:r>
    </w:p>
    <w:p>
      <w:pPr>
        <w:pStyle w:val="Heading2"/>
      </w:pPr>
      <w:r>
        <w:t>What this means</w:t>
      </w:r>
    </w:p>
    <w:p>
      <w:r>
        <w:t>The proposal calls for a five-step process, but it does not specify the exact steps in the provided document. Training material should therefore use DWIHN’s approved incident-response procedure when available. A practical learning flow is to recognize the event, stop or contain further exposure where safe, preserve relevant facts, report through the designated channel, and cooperate with follow-up. The official DWIHN process should take precedence over any training example.</w:t>
      </w:r>
    </w:p>
    <w:p>
      <w:pPr>
        <w:pStyle w:val="Heading2"/>
      </w:pPr>
      <w:r>
        <w:t>Why this matters in daily work</w:t>
      </w:r>
    </w:p>
    <w:p>
      <w:r>
        <w:t>AI creates value only when people trust how it is used. In a healthcare environment, a small shortcut can create a much larger privacy, compliance or trust problem. The safest approach is to make the correct action easy to repeat: check the classification, confirm the approved tool, share only what is necessary, and raise a question early when the rule is unclear.</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Participants work through a scenario and identify what information they would capture, who they would contact, and what they should avoid doing on their own.</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Practice should make the official response process familiar before a real incident occurs.</w:t>
            </w:r>
          </w:p>
        </w:tc>
      </w:tr>
    </w:tbl>
    <w:p>
      <w:pPr>
        <w:spacing w:after="20"/>
      </w:pPr>
    </w:p>
    <w:p>
      <w:r>
        <w:br w:type="page"/>
      </w:r>
    </w:p>
    <w:p>
      <w:pPr>
        <w:pStyle w:val="Heading1"/>
      </w:pPr>
      <w:r>
        <w:t>9.4  Manager responsibilities: supporting your team's AI use</w:t>
      </w:r>
    </w:p>
    <w:p>
      <w:pPr>
        <w:pStyle w:val="Heading2"/>
      </w:pPr>
      <w:r>
        <w:t>What this means</w:t>
      </w:r>
    </w:p>
    <w:p>
      <w:r>
        <w:t>Managers shape daily AI culture. They should reinforce approved-tool rules, encourage questions, make time for training, check that staff understand data classification, and respond constructively when concerns are raised. They also help distinguish productivity goals from unsafe pressure to automate everything.</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team member is unsure whether a task can be done with AI. The manager helps route the question to the right policy or governance resource instead of guessing.</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Managers should make safe behavior easy to discuss and easy to follow.</w:t>
            </w:r>
          </w:p>
        </w:tc>
      </w:tr>
    </w:tbl>
    <w:p>
      <w:pPr>
        <w:spacing w:after="20"/>
      </w:pPr>
    </w:p>
    <w:p>
      <w:r>
        <w:br w:type="page"/>
      </w:r>
    </w:p>
    <w:p>
      <w:pPr>
        <w:pStyle w:val="Heading1"/>
      </w:pPr>
      <w:r>
        <w:t>Module 9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A staff member believes sensitive information may have been entered into an unapproved environment. Describe the immediate safe behaviors and the need to follow the official incident process.</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9 Knowledge Check</w:t>
      </w:r>
    </w:p>
    <w:p>
      <w:r>
        <w:t>Answer without looking back first. Then review the module and correct anything you are unsure about.</w:t>
      </w:r>
    </w:p>
    <w:p>
      <w:pPr>
        <w:pStyle w:val="Heading3"/>
      </w:pPr>
      <w:r>
        <w:t>1. In one or two sentences, explain the main purpose of AI Governance &amp; Incident Handling.</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9 Recap &amp; Action Plan</w:t>
      </w:r>
    </w:p>
    <w:p>
      <w:pPr>
        <w:pStyle w:val="Heading2"/>
      </w:pPr>
      <w:r>
        <w:t>Four things to remember</w:t>
      </w:r>
    </w:p>
    <w:p>
      <w:r>
        <w:t>1. Good governance creates a clear path for questions before they become problems.</w:t>
      </w:r>
    </w:p>
    <w:p>
      <w:r>
        <w:t>2. When in doubt, early reporting allows the right team to assess the situation.</w:t>
      </w:r>
    </w:p>
    <w:p>
      <w:r>
        <w:t>3. Practice should make the official response process familiar before a real incident occurs.</w:t>
      </w:r>
    </w:p>
    <w:p>
      <w:r>
        <w:t>4. Managers should make safe behavior easy to discuss and easy to follow.</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tbl>
      <w:tblPr>
        <w:tblW w:type="auto" w:w="0"/>
        <w:jc w:val="center"/>
        <w:tblLayout w:type="fixed"/>
        <w:tblLook w:firstColumn="1" w:firstRow="1" w:lastColumn="0" w:lastRow="0" w:noHBand="0" w:noVBand="1" w:val="04A0"/>
      </w:tblPr>
      <w:tblGrid>
        <w:gridCol w:w="9648"/>
      </w:tblGrid>
      <w:tr>
        <w:trPr>
          <w:cantSplit/>
        </w:trPr>
        <w:tc>
          <w:tcPr>
            <w:tcW w:type="dxa" w:w="10166"/>
            <w:shd w:fill="45346B"/>
            <w:tcMar>
              <w:top w:w="520" w:type="dxa"/>
              <w:start w:w="420" w:type="dxa"/>
              <w:bottom w:w="520" w:type="dxa"/>
              <w:end w:w="420" w:type="dxa"/>
            </w:tcMar>
          </w:tcPr>
          <w:p>
            <w:pPr>
              <w:pStyle w:val="BigNum"/>
              <w:jc w:val="center"/>
            </w:pPr>
            <w:r>
              <w:t>MODULE 10</w:t>
            </w:r>
          </w:p>
          <w:p>
            <w:pPr>
              <w:pStyle w:val="ModuleTitle"/>
              <w:jc w:val="center"/>
            </w:pPr>
            <w:r>
              <w:t>Knowledge Assessment &amp; Certification</w:t>
            </w:r>
          </w:p>
          <w:p>
            <w:pPr>
              <w:jc w:val="center"/>
            </w:pPr>
            <w:r>
              <w:rPr>
                <w:color w:val="D7E4F2"/>
                <w:sz w:val="22"/>
              </w:rPr>
              <w:t>Month 2 · Advanced AI &amp; Lumenore Mastery · Session 12</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Module purpose</w:t>
              <w:br/>
            </w:r>
            <w:r>
              <w:rPr>
                <w:color w:val="233142"/>
                <w:sz w:val="19"/>
              </w:rPr>
              <w:t>Consolidate learning, confirm understanding, address remaining questions and recognize staff who complete the program.</w:t>
            </w:r>
          </w:p>
        </w:tc>
      </w:tr>
    </w:tbl>
    <w:p>
      <w:pPr>
        <w:spacing w:after="20"/>
      </w:pPr>
    </w:p>
    <w:p>
      <w:r>
        <w:br w:type="page"/>
      </w:r>
    </w:p>
    <w:p>
      <w:pPr>
        <w:pStyle w:val="Heading1"/>
      </w:pPr>
      <w:r>
        <w:t>Module 10 Overview</w:t>
      </w:r>
    </w:p>
    <w:p>
      <w:r>
        <w:t>Consolidate learning, confirm understanding, address remaining questions and recognize staff who complete the program.</w:t>
      </w:r>
    </w:p>
    <w:p>
      <w:pPr>
        <w:pStyle w:val="Heading2"/>
      </w:pPr>
      <w:r>
        <w:t>What you will learn</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1. Full Program knowledge review - all 9 modules</w:t>
              <w:br/>
            </w:r>
            <w:r>
              <w:rPr>
                <w:color w:val="233142"/>
                <w:sz w:val="19"/>
              </w:rPr>
              <w:t>The final review should connect the entire learning journey: AI fundamentals, approved tools, data classification, prompting, daily workflows, Lumenore, Genesys, data-driven decisions and governance.</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2. Live Q&amp;A: every outstanding question answered</w:t>
              <w:br/>
            </w:r>
            <w:r>
              <w:rPr>
                <w:color w:val="233142"/>
                <w:sz w:val="19"/>
              </w:rPr>
              <w:t>A final Q&amp;A gives staff a safe place to resolve uncertainty before they apply the skills independently.</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3. Individual knowledge assessment - online, 20 questions</w:t>
              <w:br/>
            </w:r>
            <w:r>
              <w:rPr>
                <w:color w:val="233142"/>
                <w:sz w:val="19"/>
              </w:rPr>
              <w:t>The proposal specifies a 20-question online assessment.</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4. DWIHN AI Readiness Certificate - issued by Netlink + DWIHN</w:t>
              <w:br/>
            </w:r>
            <w:r>
              <w:rPr>
                <w:color w:val="233142"/>
                <w:sz w:val="19"/>
              </w:rPr>
              <w:t>The certificate represents completion of the training and knowledge assessment described in the proposal.</w:t>
            </w:r>
          </w:p>
        </w:tc>
      </w:tr>
    </w:tbl>
    <w:p>
      <w:pPr>
        <w:spacing w:after="20"/>
      </w:pPr>
    </w:p>
    <w:p>
      <w:pPr>
        <w:pStyle w:val="Heading2"/>
      </w:pPr>
      <w:r>
        <w:t>Learning objective</w:t>
      </w:r>
    </w:p>
    <w:p>
      <w:r>
        <w:t>By the end of this module, you should be able to explain the four concepts in your own words, apply them to a realistic DWIHN work scenario, and identify when you need to stop and check an approved policy, tool rule, or governance resource.</w:t>
      </w:r>
    </w:p>
    <w:p>
      <w:r>
        <w:br w:type="page"/>
      </w:r>
    </w:p>
    <w:p>
      <w:pPr>
        <w:pStyle w:val="Heading1"/>
      </w:pPr>
      <w:r>
        <w:t>10.1  Full Program knowledge review - all 9 modules</w:t>
      </w:r>
    </w:p>
    <w:p>
      <w:pPr>
        <w:pStyle w:val="Heading2"/>
      </w:pPr>
      <w:r>
        <w:t>What this means</w:t>
      </w:r>
    </w:p>
    <w:p>
      <w:r>
        <w:t>The final review should connect the entire learning journey: AI fundamentals, approved tools, data classification, prompting, daily workflows, Lumenore, Genesys, data-driven decisions and governance. Rather than re-teaching every slide, the review should use short scenarios that require learners to combine concepts.</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scenario asks a participant to classify information, select an approved-tool path, write a safe prompt and explain how they would verify the output.</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The best review tests whether learners can connect concepts, not whether they can memorize isolated terms.</w:t>
            </w:r>
          </w:p>
        </w:tc>
      </w:tr>
    </w:tbl>
    <w:p>
      <w:pPr>
        <w:spacing w:after="20"/>
      </w:pPr>
    </w:p>
    <w:p>
      <w:r>
        <w:br w:type="page"/>
      </w:r>
    </w:p>
    <w:p>
      <w:pPr>
        <w:pStyle w:val="Heading1"/>
      </w:pPr>
      <w:r>
        <w:t>10.2  Live Q&amp;A: every outstanding question answered</w:t>
      </w:r>
    </w:p>
    <w:p>
      <w:pPr>
        <w:pStyle w:val="Heading2"/>
      </w:pPr>
      <w:r>
        <w:t>What this means</w:t>
      </w:r>
    </w:p>
    <w:p>
      <w:r>
        <w:t>A final Q&amp;A gives staff a safe place to resolve uncertainty before they apply the skills independently. Questions should be grouped into tool use, data safety, prompting, role workflows and governance so recurring gaps become visible. Unresolved policy questions should be documented and routed to the appropriate owner rather than answered by guesswork.</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Several participants ask similar questions about a new use case. The trainer records the issue and directs it to governance for an authoritative answer.</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 good Q&amp;A makes uncertainty visible and turns it into follow-up action.</w:t>
            </w:r>
          </w:p>
        </w:tc>
      </w:tr>
    </w:tbl>
    <w:p>
      <w:pPr>
        <w:spacing w:after="20"/>
      </w:pPr>
    </w:p>
    <w:p>
      <w:r>
        <w:br w:type="page"/>
      </w:r>
    </w:p>
    <w:p>
      <w:pPr>
        <w:pStyle w:val="Heading1"/>
      </w:pPr>
      <w:r>
        <w:t>10.3  Individual knowledge assessment - online, 20 questions</w:t>
      </w:r>
    </w:p>
    <w:p>
      <w:pPr>
        <w:pStyle w:val="Heading2"/>
      </w:pPr>
      <w:r>
        <w:t>What this means</w:t>
      </w:r>
    </w:p>
    <w:p>
      <w:r>
        <w:t>The proposal specifies a 20-question online assessment. A balanced assessment should test understanding of safe tool selection, classification, prompting, verification, Lumenore and Genesys concepts, data-driven reasoning and incident handling. Questions should favor realistic scenarios over trivia.</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Instead of asking only for definitions, a question presents a short work situation and asks the learner to identify the safest next step.</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Assessment should measure practical readiness, not memory of slide wording.</w:t>
            </w:r>
          </w:p>
        </w:tc>
      </w:tr>
    </w:tbl>
    <w:p>
      <w:pPr>
        <w:spacing w:after="20"/>
      </w:pPr>
    </w:p>
    <w:p>
      <w:r>
        <w:br w:type="page"/>
      </w:r>
    </w:p>
    <w:p>
      <w:pPr>
        <w:pStyle w:val="Heading1"/>
      </w:pPr>
      <w:r>
        <w:t>10.4  DWIHN AI Readiness Certificate - issued by Netlink + DWIHN</w:t>
      </w:r>
    </w:p>
    <w:p>
      <w:pPr>
        <w:pStyle w:val="Heading2"/>
      </w:pPr>
      <w:r>
        <w:t>What this means</w:t>
      </w:r>
    </w:p>
    <w:p>
      <w:r>
        <w:t>The certificate represents completion of the training and knowledge assessment described in the proposal. It should communicate that the learner has completed the program and demonstrated the expected foundational knowledge. Certification should complement, not replace, ongoing policy updates and refresher learning as tools and rules evolve.</w:t>
      </w:r>
    </w:p>
    <w:p>
      <w:pPr>
        <w:pStyle w:val="Heading2"/>
      </w:pPr>
      <w:r>
        <w:t>Why this matters in daily work</w:t>
      </w:r>
    </w:p>
    <w:p>
      <w:r>
        <w:t>The practical goal is not to use AI everywhere. It is to identify tasks where AI can reduce preparation time, improve structure or surface useful information while a responsible employee remains able to verify the result and take the final action.</w:t>
      </w:r>
    </w:p>
    <w:p>
      <w:pPr>
        <w:pStyle w:val="Heading2"/>
      </w:pPr>
      <w:r>
        <w:t>Example 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DWIHN-oriented example</w:t>
              <w:br/>
            </w:r>
            <w:r>
              <w:rPr>
                <w:color w:val="233142"/>
                <w:sz w:val="19"/>
              </w:rPr>
              <w:t>A certified employee continues to use the approved tool catalog and updated guidance rather than treating certification as permanent permission for every future AI use case.</w:t>
            </w:r>
          </w:p>
        </w:tc>
      </w:tr>
    </w:tbl>
    <w:p>
      <w:pPr>
        <w:spacing w:after="20"/>
      </w:pPr>
    </w:p>
    <w:p>
      <w:pPr>
        <w:pStyle w:val="Heading2"/>
      </w:pPr>
      <w:r>
        <w:t>How to apply it</w:t>
      </w:r>
    </w:p>
    <w:p>
      <w:pPr>
        <w:pStyle w:val="ListNumber"/>
        <w:spacing w:after="60"/>
      </w:pPr>
      <w:r>
        <w:t>Pause and define the work goal before opening the AI tool.</w:t>
      </w:r>
    </w:p>
    <w:p>
      <w:pPr>
        <w:pStyle w:val="ListNumber"/>
        <w:spacing w:after="60"/>
      </w:pPr>
      <w:r>
        <w:t>Classify the information and confirm the tool or workflow is approved for the intended use.</w:t>
      </w:r>
    </w:p>
    <w:p>
      <w:pPr>
        <w:pStyle w:val="ListNumber"/>
        <w:spacing w:after="60"/>
      </w:pPr>
      <w:r>
        <w:t>Give the system only the context needed to complete the task.</w:t>
      </w:r>
    </w:p>
    <w:p>
      <w:pPr>
        <w:pStyle w:val="ListNumber"/>
        <w:spacing w:after="60"/>
      </w:pPr>
      <w:r>
        <w:t>Review the result against the original source, policy and real-world context.</w:t>
      </w:r>
    </w:p>
    <w:p>
      <w:pPr>
        <w:pStyle w:val="ListNumber"/>
        <w:spacing w:after="60"/>
      </w:pPr>
      <w:r>
        <w:t>Edit, escalate or stop when something is unclear, sensitive or unsupported.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Key takeaway</w:t>
              <w:br/>
            </w:r>
            <w:r>
              <w:rPr>
                <w:color w:val="233142"/>
                <w:sz w:val="19"/>
              </w:rPr>
              <w:t>Readiness is maintained through continued safe practice, not a one-time certificate.</w:t>
            </w:r>
          </w:p>
        </w:tc>
      </w:tr>
    </w:tbl>
    <w:p>
      <w:pPr>
        <w:spacing w:after="20"/>
      </w:pPr>
    </w:p>
    <w:p>
      <w:r>
        <w:br w:type="page"/>
      </w:r>
    </w:p>
    <w:p>
      <w:pPr>
        <w:pStyle w:val="Heading1"/>
      </w:pPr>
      <w:r>
        <w:t>Module 10 Practice Lab</w:t>
      </w:r>
    </w:p>
    <w:p>
      <w:r>
        <w:t>Use this page during the live session or as self-study. The goal is to turn the concepts into a repeatable work habit.</w:t>
      </w:r>
    </w:p>
    <w:p>
      <w:pPr>
        <w:pStyle w:val="Heading2"/>
      </w:pPr>
      <w:r>
        <w:t>Scenario</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6C5CE7"/>
                <w:sz w:val="21"/>
              </w:rPr>
              <w:t>Practice case</w:t>
              <w:br/>
            </w:r>
            <w:r>
              <w:rPr>
                <w:color w:val="233142"/>
                <w:sz w:val="19"/>
              </w:rPr>
              <w:t>You are preparing for the final assessment. Create one scenario that combines tool approval, data classification, prompting and verification.</w:t>
            </w:r>
          </w:p>
        </w:tc>
      </w:tr>
    </w:tbl>
    <w:p>
      <w:pPr>
        <w:spacing w:after="20"/>
      </w:pPr>
    </w:p>
    <w:p>
      <w:pPr>
        <w:pStyle w:val="Heading2"/>
      </w:pPr>
      <w:r>
        <w:t>Work through these questions</w:t>
      </w:r>
    </w:p>
    <w:p>
      <w:pPr>
        <w:pStyle w:val="ListNumber"/>
        <w:spacing w:after="60"/>
      </w:pPr>
      <w:r>
        <w:t>What is the work objective?</w:t>
      </w:r>
    </w:p>
    <w:p>
      <w:pPr>
        <w:pStyle w:val="ListNumber"/>
        <w:spacing w:after="60"/>
      </w:pPr>
      <w:r>
        <w:t>What information is involved and how should it be classified?</w:t>
      </w:r>
    </w:p>
    <w:p>
      <w:pPr>
        <w:pStyle w:val="ListNumber"/>
        <w:spacing w:after="60"/>
      </w:pPr>
      <w:r>
        <w:t>Which approved tool or workflow is appropriate?</w:t>
      </w:r>
    </w:p>
    <w:p>
      <w:pPr>
        <w:pStyle w:val="ListNumber"/>
        <w:spacing w:after="60"/>
      </w:pPr>
      <w:r>
        <w:t>What could AI assist with?</w:t>
      </w:r>
    </w:p>
    <w:p>
      <w:pPr>
        <w:pStyle w:val="ListNumber"/>
        <w:spacing w:after="60"/>
      </w:pPr>
      <w:r>
        <w:t>What must a human verify or decide?</w:t>
      </w:r>
    </w:p>
    <w:p>
      <w:pPr>
        <w:pStyle w:val="ListNumber"/>
        <w:spacing w:after="60"/>
      </w:pPr>
      <w:r>
        <w:t>What would make you stop and ask for help?</w:t>
      </w:r>
    </w:p>
    <w:p>
      <w:pPr>
        <w:pStyle w:val="Heading2"/>
      </w:pPr>
      <w:r>
        <w:t>Reflection</w:t>
      </w:r>
    </w:p>
    <w:p>
      <w:r>
        <w:t>Write one sentence describing how you would apply this module in your own role. Then identify one question that should be confirmed with your manager, trainer, compliance team or AI governance resource.</w:t>
      </w:r>
    </w:p>
    <w:p>
      <w:r>
        <w:br w:type="page"/>
      </w:r>
    </w:p>
    <w:p>
      <w:pPr>
        <w:pStyle w:val="Heading1"/>
      </w:pPr>
      <w:r>
        <w:t>Module 10 Knowledge Check</w:t>
      </w:r>
    </w:p>
    <w:p>
      <w:r>
        <w:t>Answer without looking back first. Then review the module and correct anything you are unsure about.</w:t>
      </w:r>
    </w:p>
    <w:p>
      <w:pPr>
        <w:pStyle w:val="Heading3"/>
      </w:pPr>
      <w:r>
        <w:t>1. In one or two sentences, explain the main purpose of Knowledge Assessment &amp; Certification.</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2. Choose one of the four learning points and describe a safe real-work example.</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3. What is one common mistake a user could make in this area?</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4. What should you verify before relying on an AI-generated result?</w:t>
      </w:r>
    </w:p>
    <w:p>
      <w:pPr>
        <w:pStyle w:val="Small"/>
      </w:pPr>
      <w:r>
        <w:t>________________________________________________________________________________</w:t>
      </w:r>
    </w:p>
    <w:p>
      <w:pPr>
        <w:pStyle w:val="Small"/>
      </w:pPr>
      <w:r>
        <w:t>________________________________________________________________________________</w:t>
      </w:r>
    </w:p>
    <w:p>
      <w:pPr>
        <w:pStyle w:val="Heading3"/>
      </w:pPr>
      <w:r>
        <w:t>5. When should you stop and consult an approved policy, tool rule or governance resource?</w:t>
      </w:r>
    </w:p>
    <w:p>
      <w:pPr>
        <w:pStyle w:val="Small"/>
      </w:pPr>
      <w:r>
        <w:t>________________________________________________________________________________</w:t>
      </w:r>
    </w:p>
    <w:p>
      <w:pPr>
        <w:pStyle w:val="Small"/>
      </w:pPr>
      <w:r>
        <w:t>________________________________________________________________________________</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Facilitator note</w:t>
              <w:br/>
            </w:r>
            <w:r>
              <w:rPr>
                <w:color w:val="233142"/>
                <w:sz w:val="19"/>
              </w:rPr>
              <w:t>Discuss answers as a group. The objective is correct reasoning and safe application, not memorizing exact phrases.</w:t>
            </w:r>
          </w:p>
        </w:tc>
      </w:tr>
    </w:tbl>
    <w:p>
      <w:pPr>
        <w:spacing w:after="20"/>
      </w:pPr>
    </w:p>
    <w:p>
      <w:r>
        <w:br w:type="page"/>
      </w:r>
    </w:p>
    <w:p>
      <w:pPr>
        <w:pStyle w:val="Heading1"/>
      </w:pPr>
      <w:r>
        <w:t>Module 10 Recap &amp; Action Plan</w:t>
      </w:r>
    </w:p>
    <w:p>
      <w:pPr>
        <w:pStyle w:val="Heading2"/>
      </w:pPr>
      <w:r>
        <w:t>Four things to remember</w:t>
      </w:r>
    </w:p>
    <w:p>
      <w:r>
        <w:t>1. The best review tests whether learners can connect concepts, not whether they can memorize isolated terms.</w:t>
      </w:r>
    </w:p>
    <w:p>
      <w:r>
        <w:t>2. A good Q&amp;A makes uncertainty visible and turns it into follow-up action.</w:t>
      </w:r>
    </w:p>
    <w:p>
      <w:r>
        <w:t>3. Assessment should measure practical readiness, not memory of slide wording.</w:t>
      </w:r>
    </w:p>
    <w:p>
      <w:r>
        <w:t>4. Readiness is maintained through continued safe practice, not a one-time certificate.</w:t>
      </w:r>
    </w:p>
    <w:p>
      <w:pPr>
        <w:pStyle w:val="Heading2"/>
      </w:pPr>
      <w:r>
        <w:t>My action plan</w:t>
      </w:r>
    </w:p>
    <w:tbl>
      <w:tblPr>
        <w:tblW w:type="auto" w:w="0"/>
        <w:jc w:val="center"/>
        <w:tblLayout w:type="fixed"/>
        <w:tblLook w:firstColumn="1" w:firstRow="1" w:lastColumn="0" w:lastRow="0" w:noHBand="0" w:noVBand="1" w:val="04A0"/>
      </w:tblPr>
      <w:tblGrid>
        <w:gridCol w:w="5083"/>
        <w:gridCol w:w="5083"/>
      </w:tblGrid>
      <w:tr>
        <w:trPr>
          <w:cantSplit/>
        </w:trPr>
        <w:tc>
          <w:tcPr>
            <w:tcW w:type="dxa" w:w="3600"/>
            <w:tcMar>
              <w:top w:w="130" w:type="dxa"/>
              <w:start w:w="150" w:type="dxa"/>
              <w:bottom w:w="200" w:type="dxa"/>
              <w:end w:w="150" w:type="dxa"/>
            </w:tcMar>
            <w:vAlign w:val="top"/>
            <w:shd w:fill="EEF4FA"/>
          </w:tcPr>
          <w:p>
            <w:r>
              <w:rPr>
                <w:b/>
              </w:rPr>
              <w:t>One task I can improve with this module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safety check I will use every time</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question I still need answered</w:t>
            </w:r>
          </w:p>
        </w:tc>
        <w:tc>
          <w:tcPr>
            <w:tcW w:type="dxa" w:w="5760"/>
            <w:tcMar>
              <w:top w:w="130" w:type="dxa"/>
              <w:start w:w="150" w:type="dxa"/>
              <w:bottom w:w="200" w:type="dxa"/>
              <w:end w:w="150" w:type="dxa"/>
            </w:tcMar>
            <w:vAlign w:val="top"/>
          </w:tcPr>
          <w:p>
            <w:r>
              <w:t xml:space="preserve"> </w:t>
            </w:r>
          </w:p>
        </w:tc>
      </w:tr>
      <w:tr>
        <w:trPr>
          <w:cantSplit/>
        </w:trPr>
        <w:tc>
          <w:tcPr>
            <w:tcW w:type="dxa" w:w="3600"/>
            <w:tcMar>
              <w:top w:w="130" w:type="dxa"/>
              <w:start w:w="150" w:type="dxa"/>
              <w:bottom w:w="200" w:type="dxa"/>
              <w:end w:w="150" w:type="dxa"/>
            </w:tcMar>
            <w:vAlign w:val="top"/>
            <w:shd w:fill="EEF4FA"/>
          </w:tcPr>
          <w:p>
            <w:r>
              <w:rPr>
                <w:b/>
              </w:rPr>
              <w:t>One person/resource I will use for support</w:t>
            </w:r>
          </w:p>
        </w:tc>
        <w:tc>
          <w:tcPr>
            <w:tcW w:type="dxa" w:w="5760"/>
            <w:tcMar>
              <w:top w:w="130" w:type="dxa"/>
              <w:start w:w="150" w:type="dxa"/>
              <w:bottom w:w="200" w:type="dxa"/>
              <w:end w:w="150" w:type="dxa"/>
            </w:tcMar>
            <w:vAlign w:val="top"/>
          </w:tcPr>
          <w:p>
            <w:r>
              <w:t xml:space="preserve"> </w:t>
            </w:r>
          </w:p>
        </w:tc>
      </w:tr>
    </w:tbl>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Module complete</w:t>
              <w:br/>
            </w:r>
            <w:r>
              <w:rPr>
                <w:color w:val="233142"/>
                <w:sz w:val="19"/>
              </w:rPr>
              <w:t>You are ready to move forward when you can explain the main concepts, apply them to a realistic scenario, and know where to check the official rule when a situation is uncertain.</w:t>
            </w:r>
          </w:p>
        </w:tc>
      </w:tr>
    </w:tbl>
    <w:p>
      <w:pPr>
        <w:spacing w:after="20"/>
      </w:pPr>
    </w:p>
    <w:p>
      <w:r>
        <w:br w:type="page"/>
      </w:r>
    </w:p>
    <w:p>
      <w:pPr>
        <w:pStyle w:val="Heading1"/>
      </w:pPr>
      <w:r>
        <w:t>Final Program Review</w:t>
      </w:r>
    </w:p>
    <w:p>
      <w:r>
        <w:t>Use this section before the 20-question online knowledge assessment. It summarizes the reasoning pattern that connects the full program.</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1F9D9A"/>
                <w:sz w:val="21"/>
              </w:rPr>
              <w:t>The core decision sequence</w:t>
              <w:br/>
            </w:r>
            <w:r>
              <w:rPr>
                <w:color w:val="233142"/>
                <w:sz w:val="19"/>
              </w:rPr>
              <w:t>1) What is the task?  2) What information is involved?  3) How is it classified?  4) Which tool is approved?  5) What should the prompt say?  6) How will the output be verified?  7) What should happen if something goes wrong?</w:t>
            </w:r>
          </w:p>
        </w:tc>
      </w:tr>
    </w:tbl>
    <w:p>
      <w:pPr>
        <w:spacing w:after="20"/>
      </w:pPr>
    </w:p>
    <w:p>
      <w:pPr>
        <w:pStyle w:val="Heading2"/>
      </w:pPr>
      <w:r>
        <w:t>Cross-module practice questions</w:t>
      </w:r>
    </w:p>
    <w:p>
      <w:pPr>
        <w:pStyle w:val="ListNumber"/>
        <w:spacing w:after="60"/>
      </w:pPr>
      <w:r>
        <w:t>Explain why an AI answer can sound confident and still require verification.</w:t>
      </w:r>
    </w:p>
    <w:p>
      <w:pPr>
        <w:pStyle w:val="ListNumber"/>
        <w:spacing w:after="60"/>
      </w:pPr>
      <w:r>
        <w:t>Describe how the approved tool catalog and data classification work together.</w:t>
      </w:r>
    </w:p>
    <w:p>
      <w:pPr>
        <w:pStyle w:val="ListNumber"/>
        <w:spacing w:after="60"/>
      </w:pPr>
      <w:r>
        <w:t>Write a five-part prompt for a low-risk work task.</w:t>
      </w:r>
    </w:p>
    <w:p>
      <w:pPr>
        <w:pStyle w:val="ListNumber"/>
        <w:spacing w:after="60"/>
      </w:pPr>
      <w:r>
        <w:t>Explain one safe use of Lumenore and one check you would perform before presenting the result.</w:t>
      </w:r>
    </w:p>
    <w:p>
      <w:pPr>
        <w:pStyle w:val="ListNumber"/>
        <w:spacing w:after="60"/>
      </w:pPr>
      <w:r>
        <w:t>Explain how an agent should treat an AI-generated call summary or sentiment signal.</w:t>
      </w:r>
    </w:p>
    <w:p>
      <w:pPr>
        <w:pStyle w:val="ListNumber"/>
        <w:spacing w:after="60"/>
      </w:pPr>
      <w:r>
        <w:t>Describe the difference between an observed trend and a claim about its cause.</w:t>
      </w:r>
    </w:p>
    <w:p>
      <w:pPr>
        <w:pStyle w:val="ListNumber"/>
        <w:spacing w:after="60"/>
      </w:pPr>
      <w:r>
        <w:t>Explain why early incident reporting is part of responsible AI use.</w:t>
      </w:r>
    </w:p>
    <w:p>
      <w:pPr>
        <w:pStyle w:val="ListNumber"/>
        <w:spacing w:after="60"/>
      </w:pPr>
      <w:r>
        <w:t>Describe what certification demonstrates and what it does not replace.</w:t>
      </w:r>
    </w:p>
    <w:p>
      <w:r>
        <w:br w:type="page"/>
      </w:r>
    </w:p>
    <w:p>
      <w:pPr>
        <w:pStyle w:val="Heading1"/>
      </w:pPr>
      <w:r>
        <w:t>Quick Reference: Daily AI Checklist</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792"/>
            <w:shd w:fill="10243E"/>
            <w:tcMar>
              <w:top w:w="120" w:type="dxa"/>
              <w:start w:w="130" w:type="dxa"/>
              <w:bottom w:w="120" w:type="dxa"/>
              <w:end w:w="130" w:type="dxa"/>
            </w:tcMar>
            <w:vAlign w:val="center"/>
          </w:tcPr>
          <w:p>
            <w:pPr>
              <w:jc w:val="center"/>
            </w:pPr>
            <w:r>
              <w:rPr>
                <w:b/>
                <w:color w:val="FFFFFF"/>
              </w:rPr>
              <w:t>1</w:t>
            </w:r>
          </w:p>
        </w:tc>
        <w:tc>
          <w:tcPr>
            <w:tcW w:type="dxa" w:w="1800"/>
            <w:shd w:fill="EAF2F8"/>
            <w:tcMar>
              <w:top w:w="120" w:type="dxa"/>
              <w:start w:w="130" w:type="dxa"/>
              <w:bottom w:w="120" w:type="dxa"/>
              <w:end w:w="130" w:type="dxa"/>
            </w:tcMar>
            <w:vAlign w:val="center"/>
          </w:tcPr>
          <w:p>
            <w:r>
              <w:rPr>
                <w:b/>
              </w:rPr>
              <w:t>Classify</w:t>
            </w:r>
          </w:p>
        </w:tc>
        <w:tc>
          <w:tcPr>
            <w:tcW w:type="dxa" w:w="6984"/>
            <w:tcMar>
              <w:top w:w="120" w:type="dxa"/>
              <w:start w:w="130" w:type="dxa"/>
              <w:bottom w:w="120" w:type="dxa"/>
              <w:end w:w="130" w:type="dxa"/>
            </w:tcMar>
            <w:vAlign w:val="center"/>
          </w:tcPr>
          <w:p>
            <w:r>
              <w:t>What type of information am I handling?</w:t>
            </w:r>
          </w:p>
        </w:tc>
      </w:tr>
      <w:tr>
        <w:trPr>
          <w:cantSplit/>
        </w:trPr>
        <w:tc>
          <w:tcPr>
            <w:tcW w:type="dxa" w:w="792"/>
            <w:shd w:fill="10243E"/>
            <w:tcMar>
              <w:top w:w="120" w:type="dxa"/>
              <w:start w:w="130" w:type="dxa"/>
              <w:bottom w:w="120" w:type="dxa"/>
              <w:end w:w="130" w:type="dxa"/>
            </w:tcMar>
            <w:vAlign w:val="center"/>
          </w:tcPr>
          <w:p>
            <w:pPr>
              <w:jc w:val="center"/>
            </w:pPr>
            <w:r>
              <w:rPr>
                <w:b/>
                <w:color w:val="FFFFFF"/>
              </w:rPr>
              <w:t>2</w:t>
            </w:r>
          </w:p>
        </w:tc>
        <w:tc>
          <w:tcPr>
            <w:tcW w:type="dxa" w:w="1800"/>
            <w:shd w:fill="EAF2F8"/>
            <w:tcMar>
              <w:top w:w="120" w:type="dxa"/>
              <w:start w:w="130" w:type="dxa"/>
              <w:bottom w:w="120" w:type="dxa"/>
              <w:end w:w="130" w:type="dxa"/>
            </w:tcMar>
            <w:vAlign w:val="center"/>
          </w:tcPr>
          <w:p>
            <w:r>
              <w:rPr>
                <w:b/>
              </w:rPr>
              <w:t>Confirm</w:t>
            </w:r>
          </w:p>
        </w:tc>
        <w:tc>
          <w:tcPr>
            <w:tcW w:type="dxa" w:w="6984"/>
            <w:tcMar>
              <w:top w:w="120" w:type="dxa"/>
              <w:start w:w="130" w:type="dxa"/>
              <w:bottom w:w="120" w:type="dxa"/>
              <w:end w:w="130" w:type="dxa"/>
            </w:tcMar>
            <w:vAlign w:val="center"/>
          </w:tcPr>
          <w:p>
            <w:r>
              <w:t>Is this tool approved for this task and data?</w:t>
            </w:r>
          </w:p>
        </w:tc>
      </w:tr>
      <w:tr>
        <w:trPr>
          <w:cantSplit/>
        </w:trPr>
        <w:tc>
          <w:tcPr>
            <w:tcW w:type="dxa" w:w="792"/>
            <w:shd w:fill="10243E"/>
            <w:tcMar>
              <w:top w:w="120" w:type="dxa"/>
              <w:start w:w="130" w:type="dxa"/>
              <w:bottom w:w="120" w:type="dxa"/>
              <w:end w:w="130" w:type="dxa"/>
            </w:tcMar>
            <w:vAlign w:val="center"/>
          </w:tcPr>
          <w:p>
            <w:pPr>
              <w:jc w:val="center"/>
            </w:pPr>
            <w:r>
              <w:rPr>
                <w:b/>
                <w:color w:val="FFFFFF"/>
              </w:rPr>
              <w:t>3</w:t>
            </w:r>
          </w:p>
        </w:tc>
        <w:tc>
          <w:tcPr>
            <w:tcW w:type="dxa" w:w="1800"/>
            <w:shd w:fill="EAF2F8"/>
            <w:tcMar>
              <w:top w:w="120" w:type="dxa"/>
              <w:start w:w="130" w:type="dxa"/>
              <w:bottom w:w="120" w:type="dxa"/>
              <w:end w:w="130" w:type="dxa"/>
            </w:tcMar>
            <w:vAlign w:val="center"/>
          </w:tcPr>
          <w:p>
            <w:r>
              <w:rPr>
                <w:b/>
              </w:rPr>
              <w:t>Minimize</w:t>
            </w:r>
          </w:p>
        </w:tc>
        <w:tc>
          <w:tcPr>
            <w:tcW w:type="dxa" w:w="6984"/>
            <w:tcMar>
              <w:top w:w="120" w:type="dxa"/>
              <w:start w:w="130" w:type="dxa"/>
              <w:bottom w:w="120" w:type="dxa"/>
              <w:end w:w="130" w:type="dxa"/>
            </w:tcMar>
            <w:vAlign w:val="center"/>
          </w:tcPr>
          <w:p>
            <w:r>
              <w:t>Am I providing only what is necessary?</w:t>
            </w:r>
          </w:p>
        </w:tc>
      </w:tr>
      <w:tr>
        <w:trPr>
          <w:cantSplit/>
        </w:trPr>
        <w:tc>
          <w:tcPr>
            <w:tcW w:type="dxa" w:w="792"/>
            <w:shd w:fill="10243E"/>
            <w:tcMar>
              <w:top w:w="120" w:type="dxa"/>
              <w:start w:w="130" w:type="dxa"/>
              <w:bottom w:w="120" w:type="dxa"/>
              <w:end w:w="130" w:type="dxa"/>
            </w:tcMar>
            <w:vAlign w:val="center"/>
          </w:tcPr>
          <w:p>
            <w:pPr>
              <w:jc w:val="center"/>
            </w:pPr>
            <w:r>
              <w:rPr>
                <w:b/>
                <w:color w:val="FFFFFF"/>
              </w:rPr>
              <w:t>4</w:t>
            </w:r>
          </w:p>
        </w:tc>
        <w:tc>
          <w:tcPr>
            <w:tcW w:type="dxa" w:w="1800"/>
            <w:shd w:fill="EAF2F8"/>
            <w:tcMar>
              <w:top w:w="120" w:type="dxa"/>
              <w:start w:w="130" w:type="dxa"/>
              <w:bottom w:w="120" w:type="dxa"/>
              <w:end w:w="130" w:type="dxa"/>
            </w:tcMar>
            <w:vAlign w:val="center"/>
          </w:tcPr>
          <w:p>
            <w:r>
              <w:rPr>
                <w:b/>
              </w:rPr>
              <w:t>Prompt</w:t>
            </w:r>
          </w:p>
        </w:tc>
        <w:tc>
          <w:tcPr>
            <w:tcW w:type="dxa" w:w="6984"/>
            <w:tcMar>
              <w:top w:w="120" w:type="dxa"/>
              <w:start w:w="130" w:type="dxa"/>
              <w:bottom w:w="120" w:type="dxa"/>
              <w:end w:w="130" w:type="dxa"/>
            </w:tcMar>
            <w:vAlign w:val="center"/>
          </w:tcPr>
          <w:p>
            <w:r>
              <w:t>Did I clearly define role, task, context, format and constraints?</w:t>
            </w:r>
          </w:p>
        </w:tc>
      </w:tr>
      <w:tr>
        <w:trPr>
          <w:cantSplit/>
        </w:trPr>
        <w:tc>
          <w:tcPr>
            <w:tcW w:type="dxa" w:w="792"/>
            <w:shd w:fill="10243E"/>
            <w:tcMar>
              <w:top w:w="120" w:type="dxa"/>
              <w:start w:w="130" w:type="dxa"/>
              <w:bottom w:w="120" w:type="dxa"/>
              <w:end w:w="130" w:type="dxa"/>
            </w:tcMar>
            <w:vAlign w:val="center"/>
          </w:tcPr>
          <w:p>
            <w:pPr>
              <w:jc w:val="center"/>
            </w:pPr>
            <w:r>
              <w:rPr>
                <w:b/>
                <w:color w:val="FFFFFF"/>
              </w:rPr>
              <w:t>5</w:t>
            </w:r>
          </w:p>
        </w:tc>
        <w:tc>
          <w:tcPr>
            <w:tcW w:type="dxa" w:w="1800"/>
            <w:shd w:fill="EAF2F8"/>
            <w:tcMar>
              <w:top w:w="120" w:type="dxa"/>
              <w:start w:w="130" w:type="dxa"/>
              <w:bottom w:w="120" w:type="dxa"/>
              <w:end w:w="130" w:type="dxa"/>
            </w:tcMar>
            <w:vAlign w:val="center"/>
          </w:tcPr>
          <w:p>
            <w:r>
              <w:rPr>
                <w:b/>
              </w:rPr>
              <w:t>Review</w:t>
            </w:r>
          </w:p>
        </w:tc>
        <w:tc>
          <w:tcPr>
            <w:tcW w:type="dxa" w:w="6984"/>
            <w:tcMar>
              <w:top w:w="120" w:type="dxa"/>
              <w:start w:w="130" w:type="dxa"/>
              <w:bottom w:w="120" w:type="dxa"/>
              <w:end w:w="130" w:type="dxa"/>
            </w:tcMar>
            <w:vAlign w:val="center"/>
          </w:tcPr>
          <w:p>
            <w:r>
              <w:t>Did I check accuracy, completeness, tone and privacy?</w:t>
            </w:r>
          </w:p>
        </w:tc>
      </w:tr>
      <w:tr>
        <w:trPr>
          <w:cantSplit/>
        </w:trPr>
        <w:tc>
          <w:tcPr>
            <w:tcW w:type="dxa" w:w="792"/>
            <w:shd w:fill="10243E"/>
            <w:tcMar>
              <w:top w:w="120" w:type="dxa"/>
              <w:start w:w="130" w:type="dxa"/>
              <w:bottom w:w="120" w:type="dxa"/>
              <w:end w:w="130" w:type="dxa"/>
            </w:tcMar>
            <w:vAlign w:val="center"/>
          </w:tcPr>
          <w:p>
            <w:pPr>
              <w:jc w:val="center"/>
            </w:pPr>
            <w:r>
              <w:rPr>
                <w:b/>
                <w:color w:val="FFFFFF"/>
              </w:rPr>
              <w:t>6</w:t>
            </w:r>
          </w:p>
        </w:tc>
        <w:tc>
          <w:tcPr>
            <w:tcW w:type="dxa" w:w="1800"/>
            <w:shd w:fill="EAF2F8"/>
            <w:tcMar>
              <w:top w:w="120" w:type="dxa"/>
              <w:start w:w="130" w:type="dxa"/>
              <w:bottom w:w="120" w:type="dxa"/>
              <w:end w:w="130" w:type="dxa"/>
            </w:tcMar>
            <w:vAlign w:val="center"/>
          </w:tcPr>
          <w:p>
            <w:r>
              <w:rPr>
                <w:b/>
              </w:rPr>
              <w:t>Verify</w:t>
            </w:r>
          </w:p>
        </w:tc>
        <w:tc>
          <w:tcPr>
            <w:tcW w:type="dxa" w:w="6984"/>
            <w:tcMar>
              <w:top w:w="120" w:type="dxa"/>
              <w:start w:w="130" w:type="dxa"/>
              <w:bottom w:w="120" w:type="dxa"/>
              <w:end w:w="130" w:type="dxa"/>
            </w:tcMar>
            <w:vAlign w:val="center"/>
          </w:tcPr>
          <w:p>
            <w:r>
              <w:t>Did I compare important facts with a trusted source?</w:t>
            </w:r>
          </w:p>
        </w:tc>
      </w:tr>
      <w:tr>
        <w:trPr>
          <w:cantSplit/>
        </w:trPr>
        <w:tc>
          <w:tcPr>
            <w:tcW w:type="dxa" w:w="792"/>
            <w:shd w:fill="10243E"/>
            <w:tcMar>
              <w:top w:w="120" w:type="dxa"/>
              <w:start w:w="130" w:type="dxa"/>
              <w:bottom w:w="120" w:type="dxa"/>
              <w:end w:w="130" w:type="dxa"/>
            </w:tcMar>
            <w:vAlign w:val="center"/>
          </w:tcPr>
          <w:p>
            <w:pPr>
              <w:jc w:val="center"/>
            </w:pPr>
            <w:r>
              <w:rPr>
                <w:b/>
                <w:color w:val="FFFFFF"/>
              </w:rPr>
              <w:t>7</w:t>
            </w:r>
          </w:p>
        </w:tc>
        <w:tc>
          <w:tcPr>
            <w:tcW w:type="dxa" w:w="1800"/>
            <w:shd w:fill="EAF2F8"/>
            <w:tcMar>
              <w:top w:w="120" w:type="dxa"/>
              <w:start w:w="130" w:type="dxa"/>
              <w:bottom w:w="120" w:type="dxa"/>
              <w:end w:w="130" w:type="dxa"/>
            </w:tcMar>
            <w:vAlign w:val="center"/>
          </w:tcPr>
          <w:p>
            <w:r>
              <w:rPr>
                <w:b/>
              </w:rPr>
              <w:t>Decide</w:t>
            </w:r>
          </w:p>
        </w:tc>
        <w:tc>
          <w:tcPr>
            <w:tcW w:type="dxa" w:w="6984"/>
            <w:tcMar>
              <w:top w:w="120" w:type="dxa"/>
              <w:start w:w="130" w:type="dxa"/>
              <w:bottom w:w="120" w:type="dxa"/>
              <w:end w:w="130" w:type="dxa"/>
            </w:tcMar>
            <w:vAlign w:val="center"/>
          </w:tcPr>
          <w:p>
            <w:r>
              <w:t>What must a human approve, edit or escalate?</w:t>
            </w:r>
          </w:p>
        </w:tc>
      </w:tr>
      <w:tr>
        <w:trPr>
          <w:cantSplit/>
        </w:trPr>
        <w:tc>
          <w:tcPr>
            <w:tcW w:type="dxa" w:w="792"/>
            <w:shd w:fill="10243E"/>
            <w:tcMar>
              <w:top w:w="120" w:type="dxa"/>
              <w:start w:w="130" w:type="dxa"/>
              <w:bottom w:w="120" w:type="dxa"/>
              <w:end w:w="130" w:type="dxa"/>
            </w:tcMar>
            <w:vAlign w:val="center"/>
          </w:tcPr>
          <w:p>
            <w:pPr>
              <w:jc w:val="center"/>
            </w:pPr>
            <w:r>
              <w:rPr>
                <w:b/>
                <w:color w:val="FFFFFF"/>
              </w:rPr>
              <w:t>8</w:t>
            </w:r>
          </w:p>
        </w:tc>
        <w:tc>
          <w:tcPr>
            <w:tcW w:type="dxa" w:w="1800"/>
            <w:shd w:fill="EAF2F8"/>
            <w:tcMar>
              <w:top w:w="120" w:type="dxa"/>
              <w:start w:w="130" w:type="dxa"/>
              <w:bottom w:w="120" w:type="dxa"/>
              <w:end w:w="130" w:type="dxa"/>
            </w:tcMar>
            <w:vAlign w:val="center"/>
          </w:tcPr>
          <w:p>
            <w:r>
              <w:rPr>
                <w:b/>
              </w:rPr>
              <w:t>Report</w:t>
            </w:r>
          </w:p>
        </w:tc>
        <w:tc>
          <w:tcPr>
            <w:tcW w:type="dxa" w:w="6984"/>
            <w:tcMar>
              <w:top w:w="120" w:type="dxa"/>
              <w:start w:w="130" w:type="dxa"/>
              <w:bottom w:w="120" w:type="dxa"/>
              <w:end w:w="130" w:type="dxa"/>
            </w:tcMar>
            <w:vAlign w:val="center"/>
          </w:tcPr>
          <w:p>
            <w:r>
              <w:t>If something unusual happened, did I follow the official process?</w:t>
            </w:r>
          </w:p>
        </w:tc>
      </w:tr>
    </w:tbl>
    <w:p>
      <w:r>
        <w:br w:type="page"/>
      </w:r>
    </w:p>
    <w:p>
      <w:pPr>
        <w:pStyle w:val="Heading1"/>
      </w:pPr>
      <w:r>
        <w:t>Glossary</w:t>
      </w:r>
    </w:p>
    <w:p>
      <w:r>
        <w:rPr>
          <w:b/>
          <w:color w:val="2E74B5"/>
        </w:rPr>
        <w:t xml:space="preserve">AI / Artificial Intelligence: </w:t>
      </w:r>
      <w:r>
        <w:t>Computer systems that can perform tasks such as generating text, identifying patterns, summarizing information or assisting analysis.</w:t>
      </w:r>
    </w:p>
    <w:p>
      <w:r>
        <w:rPr>
          <w:b/>
          <w:color w:val="2E74B5"/>
        </w:rPr>
        <w:t xml:space="preserve">Approved AI Tool Catalog: </w:t>
      </w:r>
      <w:r>
        <w:t>The DWIHN reference for which AI-enabled tools are approved and what kinds of work or information may be used with them.</w:t>
      </w:r>
    </w:p>
    <w:p>
      <w:r>
        <w:rPr>
          <w:b/>
          <w:color w:val="2E74B5"/>
        </w:rPr>
        <w:t xml:space="preserve">Data Classification: </w:t>
      </w:r>
      <w:r>
        <w:t>A method of assigning a handling level to information. The proposal uses Public, Internal, Confidential and Restricted.</w:t>
      </w:r>
    </w:p>
    <w:p>
      <w:r>
        <w:rPr>
          <w:b/>
          <w:color w:val="2E74B5"/>
        </w:rPr>
        <w:t xml:space="preserve">Prompt: </w:t>
      </w:r>
      <w:r>
        <w:t>The instruction and context given to an AI system.</w:t>
      </w:r>
    </w:p>
    <w:p>
      <w:r>
        <w:rPr>
          <w:b/>
          <w:color w:val="2E74B5"/>
        </w:rPr>
        <w:t xml:space="preserve">Hallucination / unsupported output: </w:t>
      </w:r>
      <w:r>
        <w:t>A fluent AI response that contains information not supported by the provided or trusted source material.</w:t>
      </w:r>
    </w:p>
    <w:p>
      <w:r>
        <w:rPr>
          <w:b/>
          <w:color w:val="2E74B5"/>
        </w:rPr>
        <w:t xml:space="preserve">Human-in-the-loop: </w:t>
      </w:r>
      <w:r>
        <w:t>A workflow in which a person reviews, verifies or decides before AI-assisted work is finalized.</w:t>
      </w:r>
    </w:p>
    <w:p>
      <w:r>
        <w:rPr>
          <w:b/>
          <w:color w:val="2E74B5"/>
        </w:rPr>
        <w:t xml:space="preserve">Lumenore Impact: </w:t>
      </w:r>
      <w:r>
        <w:t>The analytics AI platform emphasized in the proposal for questions, dashboards, service-gap analysis, alerts and reporting.</w:t>
      </w:r>
    </w:p>
    <w:p>
      <w:r>
        <w:rPr>
          <w:b/>
          <w:color w:val="2E74B5"/>
        </w:rPr>
        <w:t xml:space="preserve">Genesys AI: </w:t>
      </w:r>
      <w:r>
        <w:t>The call-center AI capabilities emphasized in the proposal, including agent insights, summaries, sentiment signals and predictive routing.</w:t>
      </w:r>
    </w:p>
    <w:p>
      <w:r>
        <w:rPr>
          <w:b/>
          <w:color w:val="2E74B5"/>
        </w:rPr>
        <w:t xml:space="preserve">AI Governance: </w:t>
      </w:r>
      <w:r>
        <w:t>The policies, roles and oversight processes used to guide responsible AI use.</w:t>
      </w:r>
    </w:p>
    <w:p>
      <w:r>
        <w:rPr>
          <w:b/>
          <w:color w:val="2E74B5"/>
        </w:rPr>
        <w:t xml:space="preserve">AI Incident: </w:t>
      </w:r>
      <w:r>
        <w:t>An event involving AI use that may require review under organizational privacy, security, compliance, accuracy or governance procedures.</w:t>
      </w:r>
    </w:p>
    <w:p>
      <w:r>
        <w:br w:type="page"/>
      </w:r>
    </w:p>
    <w:p>
      <w:pPr>
        <w:pStyle w:val="Heading1"/>
      </w:pPr>
      <w:r>
        <w:t>Program Completion</w:t>
      </w:r>
    </w:p>
    <w:p>
      <w:r>
        <w:t>The goal of the program is applied confidence: staff know what AI can help with, know the boundaries, can use approved tools effectively, and know when human judgement, policy review or escalation is required.</w:t>
      </w:r>
    </w:p>
    <w:tbl>
      <w:tblPr>
        <w:tblW w:type="auto" w:w="0"/>
        <w:jc w:val="center"/>
        <w:tblLayout w:type="fixed"/>
        <w:tblLook w:firstColumn="1" w:firstRow="1" w:lastColumn="0" w:lastRow="0" w:noHBand="0" w:noVBand="1" w:val="04A0"/>
      </w:tblPr>
      <w:tblGrid>
        <w:gridCol w:w="9720"/>
      </w:tblGrid>
      <w:tr>
        <w:trPr>
          <w:cantSplit/>
        </w:trPr>
        <w:tc>
          <w:tcPr>
            <w:tcW w:type="dxa" w:w="10166"/>
            <w:shd w:fill="EEF4FA"/>
            <w:tcMar>
              <w:top w:w="160" w:type="dxa"/>
              <w:start w:w="180" w:type="dxa"/>
              <w:bottom w:w="160" w:type="dxa"/>
              <w:end w:w="180" w:type="dxa"/>
            </w:tcMar>
          </w:tcPr>
          <w:p>
            <w:r>
              <w:rPr>
                <w:b/>
                <w:color w:val="2E8B78"/>
                <w:sz w:val="21"/>
              </w:rPr>
              <w:t>Certificate milestone</w:t>
              <w:br/>
            </w:r>
            <w:r>
              <w:rPr>
                <w:color w:val="233142"/>
                <w:sz w:val="19"/>
              </w:rPr>
              <w:t>The proposal provides for a DWIHN AI Readiness Certificate issued by Netlink + DWIHN after program completion and the final knowledge assessment.</w:t>
            </w:r>
          </w:p>
        </w:tc>
      </w:tr>
    </w:tbl>
    <w:p>
      <w:pPr>
        <w:spacing w:after="20"/>
      </w:pPr>
    </w:p>
    <w:p>
      <w:pPr>
        <w:pStyle w:val="Heading2"/>
      </w:pPr>
      <w:r>
        <w:t>Keep learning</w:t>
      </w:r>
    </w:p>
    <w:p>
      <w:pPr>
        <w:pStyle w:val="ListBullet"/>
        <w:spacing w:after="60"/>
      </w:pPr>
      <w:r>
        <w:t>Revisit the approved tool catalog when tools or use cases change.</w:t>
      </w:r>
    </w:p>
    <w:p>
      <w:pPr>
        <w:pStyle w:val="ListBullet"/>
        <w:spacing w:after="60"/>
      </w:pPr>
      <w:r>
        <w:t>Use the daily AI checklist until it becomes routine.</w:t>
      </w:r>
    </w:p>
    <w:p>
      <w:pPr>
        <w:pStyle w:val="ListBullet"/>
        <w:spacing w:after="60"/>
      </w:pPr>
      <w:r>
        <w:t>Ask questions early when classification, permissions or outputs are unclear.</w:t>
      </w:r>
    </w:p>
    <w:p>
      <w:pPr>
        <w:pStyle w:val="ListBullet"/>
        <w:spacing w:after="60"/>
      </w:pPr>
      <w:r>
        <w:t>Share useful prompts and safe workflows with colleagues through approved channels.</w:t>
      </w:r>
    </w:p>
    <w:p>
      <w:pPr>
        <w:pStyle w:val="ListBullet"/>
        <w:spacing w:after="60"/>
      </w:pPr>
      <w:r>
        <w:t>Treat governance updates and refresher training as part of ongoing AI readiness.</w:t>
      </w:r>
    </w:p>
    <w:p/>
    <w:p/>
    <w:p/>
    <w:p/>
    <w:p/>
    <w:p>
      <w:pPr>
        <w:jc w:val="center"/>
      </w:pPr>
      <w:r>
        <w:rPr>
          <w:b/>
          <w:color w:val="10243E"/>
          <w:sz w:val="32"/>
        </w:rPr>
        <w:t>Helping DWIHN staff do what they do best - care for their community.</w:t>
      </w:r>
    </w:p>
    <w:p>
      <w:pPr>
        <w:jc w:val="center"/>
      </w:pPr>
      <w:r>
        <w:rPr>
          <w:color w:val="5A6B7B"/>
          <w:sz w:val="18"/>
        </w:rPr>
        <w:t>Netlink · Enterprise AI · Decision Intelligence · Digital Transformation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7785"/>
        <w:sz w:val="16"/>
      </w:rPr>
      <w:t xml:space="preserve">NetSeed   |   Learning for confident, safe and practical AI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Netlink · DWIHN AI Training Handbook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Liberation Sans" w:hAnsi="Liberation Sans" w:eastAsia="Liberation Sans"/>
      <w:b/>
      <w:bCs/>
      <w:color w:val="10243E"/>
      <w:sz w:val="4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Liberation Sans" w:hAnsi="Liberation Sans" w:eastAsia="Liberation Sans"/>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Liberation Sans" w:hAnsi="Liberation Sans" w:eastAsia="Liberation Sans"/>
      <w:b/>
      <w:bCs/>
      <w:color w:val="6C5CE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Liberation Sans" w:hAnsi="Liberation Sans" w:eastAsia="Liberation Sans"/>
      <w:b/>
      <w:color w:val="1024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Liberation Sans" w:hAnsi="Liberation Sans" w:eastAsia="Liberation Sans"/>
      <w:b/>
      <w:color w:val="1F9D9A"/>
      <w:sz w:val="17"/>
    </w:rPr>
  </w:style>
  <w:style w:type="paragraph" w:customStyle="1" w:styleId="Small">
    <w:name w:val="Small"/>
    <w:rPr>
      <w:rFonts w:ascii="Liberation Sans" w:hAnsi="Liberation Sans" w:eastAsia="Liberation Sans"/>
      <w:b w:val="0"/>
      <w:color w:val="5A6B7B"/>
      <w:sz w:val="17"/>
    </w:rPr>
  </w:style>
  <w:style w:type="paragraph" w:customStyle="1" w:styleId="Callout">
    <w:name w:val="Callout"/>
    <w:rPr>
      <w:rFonts w:ascii="Liberation Sans" w:hAnsi="Liberation Sans" w:eastAsia="Liberation Sans"/>
      <w:b w:val="0"/>
      <w:color w:val="233142"/>
      <w:sz w:val="20"/>
    </w:rPr>
  </w:style>
  <w:style w:type="paragraph" w:customStyle="1" w:styleId="ModuleTitle">
    <w:name w:val="ModuleTitle"/>
    <w:rPr>
      <w:rFonts w:ascii="Liberation Sans" w:hAnsi="Liberation Sans" w:eastAsia="Liberation Sans"/>
      <w:b/>
      <w:color w:val="FFFFFF"/>
      <w:sz w:val="52"/>
    </w:rPr>
  </w:style>
  <w:style w:type="paragraph" w:customStyle="1" w:styleId="BigNum">
    <w:name w:val="BigNum"/>
    <w:rPr>
      <w:rFonts w:ascii="Liberation Sans" w:hAnsi="Liberation Sans" w:eastAsia="Liberation Sans"/>
      <w:b/>
      <w:color w:val="FFFFFF"/>
      <w:sz w:val="6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DWIHN AI Training Handbook</dc:title>
  <dc:subject>10-module AI training handbook based on the Netlink DWIHN AI Training Program Proposal</dc:subject>
  <dc:creator>Netlink</dc:creator>
  <cp:keywords/>
  <dc:description>Prepared as an expanded learning companion to the 2026 proposal curriculum.</dc:description>
  <cp:lastModifiedBy/>
  <cp:revision>1</cp:revision>
  <dcterms:created xsi:type="dcterms:W3CDTF">2013-12-23T23:15:00Z</dcterms:created>
  <dcterms:modified xsi:type="dcterms:W3CDTF">2013-12-23T23:15:00Z</dcterms:modified>
  <cp:category/>
</cp:coreProperties>
</file>