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</w:t>
      </w:r>
      <w:r w:rsidR="000C3744">
        <w:rPr>
          <w:b/>
          <w:bCs/>
        </w:rPr>
        <w:t>(26</w:t>
      </w:r>
      <w:r w:rsidR="000C3744" w:rsidRPr="0020259E">
        <w:rPr>
          <w:b/>
          <w:bCs/>
        </w:rPr>
        <w:t xml:space="preserve"> de junio de 201</w:t>
      </w:r>
      <w:r w:rsidR="000C3744">
        <w:rPr>
          <w:b/>
          <w:bCs/>
        </w:rPr>
        <w:t>5)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9538B3" w:rsidRPr="0020259E" w:rsidRDefault="00FC507B" w:rsidP="00DB30B5">
      <w:pPr>
        <w:contextualSpacing/>
        <w:jc w:val="both"/>
        <w:rPr>
          <w:b/>
          <w:bCs/>
          <w:i/>
          <w:iCs/>
        </w:rPr>
      </w:pPr>
      <w:r w:rsidRPr="0020259E">
        <w:rPr>
          <w:b/>
          <w:bCs/>
          <w:i/>
          <w:iCs/>
        </w:rPr>
        <w:t>Ejercicio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</w:t>
      </w:r>
      <w:r w:rsidR="0088420B">
        <w:rPr>
          <w:b/>
          <w:bCs/>
          <w:i/>
          <w:iCs/>
        </w:rPr>
        <w:t xml:space="preserve"> </w:t>
      </w:r>
      <w:r w:rsidR="0088420B">
        <w:rPr>
          <w:b/>
          <w:bCs/>
        </w:rPr>
        <w:t>(</w:t>
      </w:r>
      <w:r w:rsidR="00E727B4" w:rsidRPr="00E727B4">
        <w:rPr>
          <w:b/>
          <w:bCs/>
          <w:i/>
        </w:rPr>
        <w:t>10</w:t>
      </w:r>
      <w:r w:rsidR="0088420B" w:rsidRPr="00452B09">
        <w:rPr>
          <w:b/>
          <w:bCs/>
          <w:i/>
        </w:rPr>
        <w:t>.0 p</w:t>
      </w:r>
      <w:r w:rsidR="0088420B">
        <w:rPr>
          <w:b/>
          <w:bCs/>
          <w:i/>
        </w:rPr>
        <w:t>/ejercicio</w:t>
      </w:r>
      <w:r w:rsidR="0088420B">
        <w:rPr>
          <w:b/>
          <w:b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</w:t>
      </w:r>
      <w:r w:rsidR="00413A7C">
        <w:t>un</w:t>
      </w:r>
      <w:r w:rsidR="0036182B" w:rsidRPr="0020259E">
        <w:t xml:space="preserve">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413A7C">
        <w:t xml:space="preserve"> que se ajuste a la especificación dada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 xml:space="preserve">definición de </w:t>
      </w:r>
      <w:r w:rsidR="00E95860">
        <w:t xml:space="preserve">las </w:t>
      </w:r>
      <w:r w:rsidR="0020259E" w:rsidRPr="0020259E">
        <w:t>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E727B4" w:rsidRDefault="002325D2">
      <w:pPr>
        <w:rPr>
          <w:b/>
          <w:bCs/>
        </w:rPr>
      </w:pPr>
      <w:r w:rsidRPr="002325D2"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5pt;margin-top:-.1pt;width:180.5pt;height:153.5pt;z-index:251661312" filled="f" stroked="f">
            <v:textbox>
              <w:txbxContent>
                <w:p w:rsidR="00E727B4" w:rsidRDefault="00E727B4">
                  <w:r w:rsidRPr="00E727B4">
                    <w:rPr>
                      <w:noProof/>
                    </w:rPr>
                    <w:drawing>
                      <wp:inline distT="0" distB="0" distL="0" distR="0">
                        <wp:extent cx="2076450" cy="1897088"/>
                        <wp:effectExtent l="19050" t="0" r="0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0211" cy="1900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325D2">
        <w:rPr>
          <w:bCs/>
          <w:noProof/>
        </w:rPr>
        <w:pict>
          <v:shape id="_x0000_s1026" type="#_x0000_t202" style="position:absolute;margin-left:-6.5pt;margin-top:3.4pt;width:345pt;height:150pt;z-index:251658240" filled="f" stroked="f">
            <v:textbox style="mso-next-textbox:#_x0000_s1026">
              <w:txbxContent>
                <w:p w:rsidR="006C3F7C" w:rsidRDefault="00E727B4" w:rsidP="00591F0A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  <w:r>
                    <w:rPr>
                      <w:b/>
                      <w:bCs/>
                    </w:rPr>
                    <w:t>Ejercicio 1</w:t>
                  </w:r>
                  <w:r w:rsidR="006C3F7C" w:rsidRPr="0020259E">
                    <w:rPr>
                      <w:b/>
                      <w:bCs/>
                    </w:rPr>
                    <w:t xml:space="preserve">: </w:t>
                  </w:r>
                  <w:r w:rsidR="006C3F7C">
                    <w:rPr>
                      <w:bCs/>
                    </w:rPr>
                    <w:t xml:space="preserve">construir un programa para analizar las interacciones electrostáticas de un sistema de cargas puntuales  (máximo </w:t>
                  </w:r>
                  <w:r w:rsidR="006C3F7C" w:rsidRPr="00336642">
                    <w:rPr>
                      <w:b/>
                      <w:bCs/>
                      <w:i/>
                    </w:rPr>
                    <w:t>100</w:t>
                  </w:r>
                  <w:r w:rsidR="006C3F7C">
                    <w:rPr>
                      <w:bCs/>
                    </w:rPr>
                    <w:t xml:space="preserve">), confinadas en el interior de un cubo simétrico de lado </w:t>
                  </w:r>
                  <w:r w:rsidR="006C3F7C" w:rsidRPr="00336642">
                    <w:rPr>
                      <w:b/>
                      <w:bCs/>
                      <w:i/>
                    </w:rPr>
                    <w:t>L=1m</w:t>
                  </w:r>
                  <w:r w:rsidR="006C3F7C">
                    <w:rPr>
                      <w:bCs/>
                    </w:rPr>
                    <w:t xml:space="preserve"> (esto es, un cubo centrado en el origen de coordenadas en posición estándar: lados paralelos a los ejes cartesianos).  </w:t>
                  </w:r>
                </w:p>
                <w:p w:rsidR="006C3F7C" w:rsidRDefault="006C3F7C" w:rsidP="00591F0A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t xml:space="preserve">El programa presentará al usuario un menú </w:t>
                  </w:r>
                  <w:r w:rsidR="00E727B4">
                    <w:t xml:space="preserve">en pantalla </w:t>
                  </w:r>
                  <w:r>
                    <w:t>con las siguientes opciones, seleccionándose una de ellas por teclado, tras cuya ejecución se volverá a presentar nuevamente el menú de opciones, terminándose la ejecución del programa cuando se seleccione explícitamente la opción de finalización:</w:t>
                  </w:r>
                </w:p>
                <w:p w:rsidR="006C3F7C" w:rsidRDefault="006C3F7C"/>
              </w:txbxContent>
            </v:textbox>
          </v:shape>
        </w:pict>
      </w: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E727B4" w:rsidRDefault="00E727B4">
      <w:pPr>
        <w:rPr>
          <w:b/>
          <w:bCs/>
        </w:rPr>
      </w:pPr>
    </w:p>
    <w:p w:rsidR="00591F0A" w:rsidRDefault="00591F0A" w:rsidP="00196E32">
      <w:pPr>
        <w:autoSpaceDE w:val="0"/>
        <w:autoSpaceDN w:val="0"/>
        <w:adjustRightInd w:val="0"/>
        <w:jc w:val="right"/>
        <w:rPr>
          <w:bCs/>
        </w:rPr>
      </w:pPr>
    </w:p>
    <w:p w:rsidR="00B24D9D" w:rsidRDefault="00210386" w:rsidP="00B24D9D">
      <w:pPr>
        <w:pStyle w:val="Prrafodelista"/>
        <w:numPr>
          <w:ilvl w:val="0"/>
          <w:numId w:val="36"/>
        </w:numPr>
        <w:jc w:val="both"/>
      </w:pPr>
      <w:r>
        <w:t>Añadir</w:t>
      </w:r>
      <w:r w:rsidR="00B24D9D">
        <w:t xml:space="preserve"> un</w:t>
      </w:r>
      <w:r w:rsidR="00CA4F65">
        <w:t>a carga puntual</w:t>
      </w:r>
      <w:r w:rsidR="00B24D9D">
        <w:t xml:space="preserve">. El programa </w:t>
      </w:r>
      <w:r w:rsidR="00CA4F65">
        <w:t>solicitará</w:t>
      </w:r>
      <w:r w:rsidR="00B24D9D">
        <w:t xml:space="preserve"> por teclado </w:t>
      </w:r>
      <w:r w:rsidR="00CA4F65">
        <w:t xml:space="preserve">el valor de la carga </w:t>
      </w:r>
      <w:r w:rsidR="005D4988">
        <w:t xml:space="preserve">eléctrica </w:t>
      </w:r>
      <w:r w:rsidR="005F0F35">
        <w:t xml:space="preserve">con su signo </w:t>
      </w:r>
      <w:r w:rsidR="003526ED">
        <w:t>en micro C</w:t>
      </w:r>
      <w:r w:rsidR="00CA4F65">
        <w:t>ulombios</w:t>
      </w:r>
      <w:r w:rsidR="005F0F35">
        <w:t xml:space="preserve"> (</w:t>
      </w:r>
      <w:r w:rsidR="005F0F35" w:rsidRPr="00336642">
        <w:rPr>
          <w:b/>
          <w:i/>
        </w:rPr>
        <w:t>µC</w:t>
      </w:r>
      <w:r w:rsidR="001857CC">
        <w:rPr>
          <w:b/>
          <w:i/>
        </w:rPr>
        <w:t>=10</w:t>
      </w:r>
      <w:r w:rsidR="001857CC">
        <w:rPr>
          <w:b/>
          <w:i/>
          <w:vertAlign w:val="superscript"/>
        </w:rPr>
        <w:t>-6</w:t>
      </w:r>
      <w:r w:rsidR="001857CC">
        <w:rPr>
          <w:b/>
          <w:i/>
        </w:rPr>
        <w:t>C</w:t>
      </w:r>
      <w:r w:rsidR="005F0F35">
        <w:t xml:space="preserve">) dentro del intervalo </w:t>
      </w:r>
      <w:r w:rsidR="005F0F35" w:rsidRPr="00336642">
        <w:rPr>
          <w:b/>
          <w:i/>
        </w:rPr>
        <w:t>[-1000</w:t>
      </w:r>
      <w:r w:rsidR="00280B95">
        <w:rPr>
          <w:b/>
          <w:i/>
        </w:rPr>
        <w:t>.0</w:t>
      </w:r>
      <w:r w:rsidR="005F0F35" w:rsidRPr="00336642">
        <w:rPr>
          <w:b/>
          <w:i/>
        </w:rPr>
        <w:t>,+1000</w:t>
      </w:r>
      <w:r w:rsidR="00280B95">
        <w:rPr>
          <w:b/>
          <w:i/>
        </w:rPr>
        <w:t>.0</w:t>
      </w:r>
      <w:r w:rsidR="005F0F35" w:rsidRPr="00336642">
        <w:rPr>
          <w:b/>
          <w:i/>
        </w:rPr>
        <w:t>]</w:t>
      </w:r>
      <w:r w:rsidR="005F0F35">
        <w:t xml:space="preserve">, así como las coordenadas cartesianas tridimensionales </w:t>
      </w:r>
      <w:r w:rsidR="005F0F35" w:rsidRPr="00336642">
        <w:rPr>
          <w:b/>
          <w:i/>
        </w:rPr>
        <w:t>(</w:t>
      </w:r>
      <w:proofErr w:type="spellStart"/>
      <w:r w:rsidR="005F0F35" w:rsidRPr="00336642">
        <w:rPr>
          <w:b/>
          <w:i/>
        </w:rPr>
        <w:t>x,y,z</w:t>
      </w:r>
      <w:proofErr w:type="spellEnd"/>
      <w:r w:rsidR="005F0F35" w:rsidRPr="00336642">
        <w:rPr>
          <w:b/>
          <w:i/>
        </w:rPr>
        <w:t>)</w:t>
      </w:r>
      <w:r w:rsidR="005F0F35">
        <w:t xml:space="preserve"> </w:t>
      </w:r>
      <w:r w:rsidR="001415E1">
        <w:t xml:space="preserve">en </w:t>
      </w:r>
      <w:r w:rsidR="001415E1" w:rsidRPr="00336642">
        <w:rPr>
          <w:b/>
          <w:i/>
        </w:rPr>
        <w:t>mm</w:t>
      </w:r>
      <w:r w:rsidR="001415E1">
        <w:t xml:space="preserve"> </w:t>
      </w:r>
      <w:r w:rsidR="005F0F35">
        <w:t xml:space="preserve">de su posición espacial adecuadamente validadas. A continuación comprobará que dicha posición espacial no está ocupada </w:t>
      </w:r>
      <w:r w:rsidR="00B24D9D">
        <w:t xml:space="preserve">y </w:t>
      </w:r>
      <w:r w:rsidR="005F0F35">
        <w:t xml:space="preserve">que no hay ninguna carga próxima (a una distancia menor de </w:t>
      </w:r>
      <w:r w:rsidR="005F0F35" w:rsidRPr="00336642">
        <w:rPr>
          <w:b/>
          <w:i/>
        </w:rPr>
        <w:t>5</w:t>
      </w:r>
      <w:r w:rsidR="005F0F35">
        <w:t xml:space="preserve"> </w:t>
      </w:r>
      <w:r w:rsidR="005F0F35" w:rsidRPr="00336642">
        <w:rPr>
          <w:b/>
          <w:i/>
        </w:rPr>
        <w:t>mm</w:t>
      </w:r>
      <w:r w:rsidR="005F0F35">
        <w:t xml:space="preserve">), en cuyo caso </w:t>
      </w:r>
      <w:r w:rsidR="00B24D9D">
        <w:t xml:space="preserve">registrará </w:t>
      </w:r>
      <w:r w:rsidR="005F0F35">
        <w:t xml:space="preserve">dicha carga </w:t>
      </w:r>
      <w:r w:rsidR="00B24D9D">
        <w:t xml:space="preserve">en </w:t>
      </w:r>
      <w:r w:rsidR="005F0F35">
        <w:t>el sistema de cargas. En caso contrario escribirá en pantalla el correspondiente mensaje de error.</w:t>
      </w:r>
    </w:p>
    <w:p w:rsidR="006843F9" w:rsidRDefault="006843F9" w:rsidP="00CE1CB9">
      <w:pPr>
        <w:pStyle w:val="Prrafodelista"/>
        <w:numPr>
          <w:ilvl w:val="0"/>
          <w:numId w:val="36"/>
        </w:numPr>
        <w:jc w:val="both"/>
      </w:pPr>
      <w:r>
        <w:t>List</w:t>
      </w:r>
      <w:r w:rsidR="00C763F3">
        <w:t xml:space="preserve">ar todos los </w:t>
      </w:r>
      <w:r w:rsidR="005F0F35">
        <w:t>cargas</w:t>
      </w:r>
      <w:r w:rsidR="00C763F3">
        <w:t xml:space="preserve"> registrad</w:t>
      </w:r>
      <w:r w:rsidR="005F0F35">
        <w:t>a</w:t>
      </w:r>
      <w:r w:rsidR="00C763F3">
        <w:t>s, de un</w:t>
      </w:r>
      <w:r w:rsidR="005F0F35">
        <w:t>a</w:t>
      </w:r>
      <w:r w:rsidR="00C763F3">
        <w:t xml:space="preserve"> en un</w:t>
      </w:r>
      <w:r w:rsidR="005F0F35">
        <w:t>a</w:t>
      </w:r>
      <w:r w:rsidR="00C763F3">
        <w:t xml:space="preserve">, </w:t>
      </w:r>
      <w:r w:rsidR="00D1018E">
        <w:t xml:space="preserve">ordenadas según su distancia a un punto de referencia </w:t>
      </w:r>
      <w:r w:rsidR="00D1018E" w:rsidRPr="003526ED">
        <w:rPr>
          <w:b/>
          <w:i/>
        </w:rPr>
        <w:t>P</w:t>
      </w:r>
      <w:r w:rsidR="00D1018E">
        <w:t xml:space="preserve"> cuyas coordenadas </w:t>
      </w:r>
      <w:r w:rsidR="00D1018E" w:rsidRPr="009839DF">
        <w:rPr>
          <w:b/>
          <w:i/>
        </w:rPr>
        <w:t>(</w:t>
      </w:r>
      <w:proofErr w:type="spellStart"/>
      <w:r w:rsidR="00D1018E" w:rsidRPr="009839DF">
        <w:rPr>
          <w:b/>
          <w:i/>
        </w:rPr>
        <w:t>x,y,z</w:t>
      </w:r>
      <w:proofErr w:type="spellEnd"/>
      <w:r w:rsidR="00D1018E" w:rsidRPr="009839DF">
        <w:rPr>
          <w:b/>
          <w:i/>
        </w:rPr>
        <w:t>)</w:t>
      </w:r>
      <w:r w:rsidR="00D1018E">
        <w:rPr>
          <w:b/>
          <w:i/>
        </w:rPr>
        <w:t xml:space="preserve"> </w:t>
      </w:r>
      <w:r w:rsidR="00D1018E">
        <w:t>s</w:t>
      </w:r>
      <w:r w:rsidR="00E727B4">
        <w:t>erá</w:t>
      </w:r>
      <w:r w:rsidR="00D1018E">
        <w:t xml:space="preserve">n introducidas </w:t>
      </w:r>
      <w:r w:rsidR="00E727B4">
        <w:t xml:space="preserve">previamente </w:t>
      </w:r>
      <w:r w:rsidR="00D1018E">
        <w:t>por teclado, empezando por las más próximas a dicho punto.</w:t>
      </w:r>
      <w:r>
        <w:t xml:space="preserve"> </w:t>
      </w:r>
    </w:p>
    <w:p w:rsidR="00CE1CB9" w:rsidRDefault="006843F9" w:rsidP="00CE1CB9">
      <w:pPr>
        <w:pStyle w:val="Prrafodelista"/>
        <w:numPr>
          <w:ilvl w:val="0"/>
          <w:numId w:val="36"/>
        </w:numPr>
        <w:jc w:val="both"/>
      </w:pPr>
      <w:r>
        <w:t xml:space="preserve">Eliminar </w:t>
      </w:r>
      <w:r w:rsidR="001415E1">
        <w:t>cargas</w:t>
      </w:r>
      <w:r w:rsidR="00CE1CB9">
        <w:t>.</w:t>
      </w:r>
      <w:r w:rsidR="00C763F3">
        <w:t xml:space="preserve"> Se solicitará</w:t>
      </w:r>
      <w:r w:rsidR="00376445">
        <w:t>n</w:t>
      </w:r>
      <w:r w:rsidR="00C763F3">
        <w:t xml:space="preserve"> por teclado las coordenadas </w:t>
      </w:r>
      <w:r w:rsidR="00376445" w:rsidRPr="009839DF">
        <w:rPr>
          <w:b/>
          <w:i/>
        </w:rPr>
        <w:t>(</w:t>
      </w:r>
      <w:proofErr w:type="spellStart"/>
      <w:r w:rsidR="00376445" w:rsidRPr="009839DF">
        <w:rPr>
          <w:b/>
          <w:i/>
        </w:rPr>
        <w:t>x,y,z</w:t>
      </w:r>
      <w:proofErr w:type="spellEnd"/>
      <w:r w:rsidR="00376445" w:rsidRPr="009839DF">
        <w:rPr>
          <w:b/>
          <w:i/>
        </w:rPr>
        <w:t>)</w:t>
      </w:r>
      <w:r w:rsidR="00376445">
        <w:rPr>
          <w:b/>
          <w:i/>
        </w:rPr>
        <w:t xml:space="preserve"> </w:t>
      </w:r>
      <w:r w:rsidR="00C763F3">
        <w:t xml:space="preserve">de un punto del </w:t>
      </w:r>
      <w:r w:rsidR="001415E1">
        <w:t>espacio</w:t>
      </w:r>
      <w:r w:rsidR="00C763F3">
        <w:t>, y se presentarán en pantalla todos l</w:t>
      </w:r>
      <w:r w:rsidR="001415E1">
        <w:t>a</w:t>
      </w:r>
      <w:r w:rsidR="00C763F3">
        <w:t>s c</w:t>
      </w:r>
      <w:r w:rsidR="001415E1">
        <w:t>argas</w:t>
      </w:r>
      <w:r w:rsidR="00C763F3">
        <w:t xml:space="preserve"> </w:t>
      </w:r>
      <w:r w:rsidR="001415E1">
        <w:t>confinadas en un cubo</w:t>
      </w:r>
      <w:r w:rsidR="009839DF">
        <w:t xml:space="preserve"> en posición estándar</w:t>
      </w:r>
      <w:r w:rsidR="001415E1">
        <w:t xml:space="preserve"> de lado </w:t>
      </w:r>
      <w:r w:rsidR="001415E1" w:rsidRPr="003526ED">
        <w:rPr>
          <w:b/>
          <w:i/>
        </w:rPr>
        <w:t>10 mm</w:t>
      </w:r>
      <w:r w:rsidR="001415E1">
        <w:t xml:space="preserve"> centrado en dicho punto, de una</w:t>
      </w:r>
      <w:r w:rsidR="00C763F3">
        <w:t xml:space="preserve"> en un</w:t>
      </w:r>
      <w:r w:rsidR="001415E1">
        <w:t>a</w:t>
      </w:r>
      <w:r w:rsidR="00C763F3">
        <w:t>, preguntándole al usuario que confirme el borrado de</w:t>
      </w:r>
      <w:r w:rsidR="001415E1">
        <w:t xml:space="preserve"> </w:t>
      </w:r>
      <w:r w:rsidR="00C763F3">
        <w:t>l</w:t>
      </w:r>
      <w:r w:rsidR="001415E1">
        <w:t>a misma</w:t>
      </w:r>
      <w:r w:rsidR="00C763F3">
        <w:t xml:space="preserve"> y realizando la acción pertinente.</w:t>
      </w:r>
    </w:p>
    <w:p w:rsidR="008040BF" w:rsidRDefault="002325D2" w:rsidP="00CE1CB9">
      <w:pPr>
        <w:pStyle w:val="Prrafodelista"/>
        <w:numPr>
          <w:ilvl w:val="0"/>
          <w:numId w:val="36"/>
        </w:numPr>
        <w:jc w:val="both"/>
      </w:pPr>
      <w:r>
        <w:rPr>
          <w:noProof/>
        </w:rPr>
        <w:pict>
          <v:shape id="_x0000_s1030" type="#_x0000_t202" style="position:absolute;left:0;text-align:left;margin-left:377pt;margin-top:51.75pt;width:145pt;height:38.5pt;z-index:251660288" filled="f" stroked="f">
            <v:textbox>
              <w:txbxContent>
                <w:p w:rsidR="00532DBD" w:rsidRPr="003526ED" w:rsidRDefault="00532DBD" w:rsidP="00532DBD">
                  <w:pPr>
                    <w:rPr>
                      <w:rFonts w:eastAsiaTheme="minorEastAsia"/>
                      <w:b/>
                      <w:vertAlign w:val="superscript"/>
                    </w:rPr>
                  </w:pPr>
                  <w:r w:rsidRPr="008040BF">
                    <w:rPr>
                      <w:b/>
                    </w:rPr>
                    <w:t>k</w:t>
                  </w:r>
                  <w:r w:rsidRPr="003526ED">
                    <w:rPr>
                      <w:b/>
                    </w:rPr>
                    <w:t>=</w:t>
                  </w:r>
                  <w:r w:rsidRPr="003526ED">
                    <w:rPr>
                      <w:rFonts w:eastAsiaTheme="minorEastAsia"/>
                      <w:b/>
                    </w:rPr>
                    <w:t xml:space="preserve"> 8.988 * 10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9</w:t>
                  </w:r>
                  <w:r w:rsidRPr="003526ED">
                    <w:rPr>
                      <w:rFonts w:eastAsiaTheme="minorEastAsia"/>
                      <w:b/>
                    </w:rPr>
                    <w:t xml:space="preserve"> N*m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  <w:r w:rsidRPr="003526ED">
                    <w:rPr>
                      <w:rFonts w:eastAsiaTheme="minorEastAsia"/>
                      <w:b/>
                    </w:rPr>
                    <w:t>/C</w:t>
                  </w:r>
                  <w:r w:rsidRPr="003526ED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</w:p>
                <w:p w:rsidR="00532DBD" w:rsidRPr="00C03011" w:rsidRDefault="002325D2" w:rsidP="00532DBD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i,P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  <w:p w:rsidR="00532DBD" w:rsidRDefault="00532DBD"/>
              </w:txbxContent>
            </v:textbox>
          </v:shape>
        </w:pict>
      </w:r>
      <w:r w:rsidR="008040BF">
        <w:t xml:space="preserve">Calcular </w:t>
      </w:r>
      <w:r w:rsidR="00336642">
        <w:t xml:space="preserve">el </w:t>
      </w:r>
      <w:r w:rsidR="008040BF">
        <w:t xml:space="preserve">campo eléctrico. El programa calculará </w:t>
      </w:r>
      <w:r w:rsidR="0075237C">
        <w:t xml:space="preserve">y presentará en pantalla </w:t>
      </w:r>
      <w:r w:rsidR="008040BF">
        <w:t xml:space="preserve">el campo eléctrico (fuerza eléctrica por unidad de carga) </w:t>
      </w:r>
      <w:r w:rsidR="0075237C">
        <w:t xml:space="preserve">en </w:t>
      </w:r>
      <w:r w:rsidR="0075237C" w:rsidRPr="0075237C">
        <w:rPr>
          <w:b/>
          <w:i/>
        </w:rPr>
        <w:t>N/C</w:t>
      </w:r>
      <w:r w:rsidR="0075237C">
        <w:t xml:space="preserve"> </w:t>
      </w:r>
      <w:r w:rsidR="008040BF">
        <w:t xml:space="preserve">generado por el sistema de cargas en un punto </w:t>
      </w:r>
      <w:r w:rsidR="008040BF" w:rsidRPr="003526ED">
        <w:rPr>
          <w:b/>
          <w:i/>
        </w:rPr>
        <w:t xml:space="preserve">P </w:t>
      </w:r>
      <w:r w:rsidR="008040BF">
        <w:t>cualquiera del espacio</w:t>
      </w:r>
      <w:r w:rsidR="00532DBD">
        <w:t xml:space="preserve"> no ocupado por ninguna de las cargas</w:t>
      </w:r>
      <w:r w:rsidR="00C577E5">
        <w:t>,</w:t>
      </w:r>
      <w:r w:rsidR="008040BF">
        <w:t xml:space="preserve"> solicita</w:t>
      </w:r>
      <w:r w:rsidR="009839DF">
        <w:t>n</w:t>
      </w:r>
      <w:r w:rsidR="008040BF">
        <w:t>do previamente por teclado su</w:t>
      </w:r>
      <w:r w:rsidR="003526ED">
        <w:t>s</w:t>
      </w:r>
      <w:r w:rsidR="008040BF">
        <w:t xml:space="preserve"> </w:t>
      </w:r>
      <w:r w:rsidR="003526ED">
        <w:t xml:space="preserve">coordenadas </w:t>
      </w:r>
      <w:r w:rsidR="008040BF">
        <w:t>espacial</w:t>
      </w:r>
      <w:r w:rsidR="003526ED">
        <w:t xml:space="preserve">es </w:t>
      </w:r>
      <w:r w:rsidR="008040BF">
        <w:t xml:space="preserve"> </w:t>
      </w:r>
      <w:r w:rsidR="003526ED">
        <w:rPr>
          <w:b/>
          <w:i/>
        </w:rPr>
        <w:t>r</w:t>
      </w:r>
      <w:r w:rsidR="008040BF" w:rsidRPr="009839DF">
        <w:rPr>
          <w:b/>
          <w:i/>
        </w:rPr>
        <w:t>(</w:t>
      </w:r>
      <w:proofErr w:type="spellStart"/>
      <w:r w:rsidR="008040BF" w:rsidRPr="009839DF">
        <w:rPr>
          <w:b/>
          <w:i/>
        </w:rPr>
        <w:t>x,y,z</w:t>
      </w:r>
      <w:proofErr w:type="spellEnd"/>
      <w:r w:rsidR="008040BF" w:rsidRPr="009839DF">
        <w:rPr>
          <w:b/>
          <w:i/>
        </w:rPr>
        <w:t>)</w:t>
      </w:r>
      <w:r w:rsidR="00C577E5">
        <w:t>:</w:t>
      </w:r>
    </w:p>
    <w:p w:rsidR="008040BF" w:rsidRPr="003526ED" w:rsidRDefault="002325D2" w:rsidP="0075237C">
      <w:pPr>
        <w:ind w:left="4956"/>
        <w:jc w:val="both"/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b"/>
            </m:rP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i,P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i,P</m:t>
                  </m:r>
                </m:sub>
              </m:sSub>
            </m:e>
          </m:nary>
        </m:oMath>
      </m:oMathPara>
    </w:p>
    <w:p w:rsidR="00C763F3" w:rsidRDefault="001415E1" w:rsidP="00CE2781">
      <w:pPr>
        <w:pStyle w:val="Prrafodelista"/>
        <w:numPr>
          <w:ilvl w:val="0"/>
          <w:numId w:val="36"/>
        </w:numPr>
        <w:jc w:val="both"/>
      </w:pPr>
      <w:r>
        <w:t xml:space="preserve">Calcular </w:t>
      </w:r>
      <w:r w:rsidR="00336642">
        <w:t xml:space="preserve">la </w:t>
      </w:r>
      <w:r>
        <w:t>energía potencial</w:t>
      </w:r>
      <w:r w:rsidR="00336642">
        <w:t xml:space="preserve"> del sistema</w:t>
      </w:r>
      <w:r w:rsidR="00C763F3">
        <w:t>.</w:t>
      </w:r>
      <w:r>
        <w:t xml:space="preserve"> El programa calculará y presentará en pantalla el valor de la energía potencial electrostática del sistema de cargas</w:t>
      </w:r>
      <w:r w:rsidR="003F1C24">
        <w:t xml:space="preserve"> (</w:t>
      </w:r>
      <w:r w:rsidR="00CE2781">
        <w:t>suma de las energías potenciales de interacción para cada pareja de cargas)</w:t>
      </w:r>
      <w:r w:rsidR="001857CC">
        <w:t xml:space="preserve"> en julios</w:t>
      </w:r>
      <w:r w:rsidR="004A7BBA">
        <w:t>:</w:t>
      </w:r>
    </w:p>
    <w:p w:rsidR="0006339D" w:rsidRPr="003526ED" w:rsidRDefault="003526ED" w:rsidP="0075237C">
      <w:pPr>
        <w:ind w:left="4956"/>
        <w:jc w:val="both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U=k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&gt;i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q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j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8A0B67" w:rsidRDefault="002325D2" w:rsidP="008A0B67">
      <w:pPr>
        <w:pStyle w:val="Prrafodelista"/>
        <w:numPr>
          <w:ilvl w:val="0"/>
          <w:numId w:val="36"/>
        </w:numPr>
        <w:jc w:val="both"/>
      </w:pPr>
      <w:r>
        <w:rPr>
          <w:noProof/>
        </w:rPr>
        <w:pict>
          <v:shape id="_x0000_s1027" type="#_x0000_t202" style="position:absolute;left:0;text-align:left;margin-left:29pt;margin-top:38pt;width:113pt;height:118pt;z-index:251659264" filled="f" stroked="f">
            <v:textbox style="mso-next-textbox:#_x0000_s1027">
              <w:txbxContent>
                <w:p w:rsidR="006C3F7C" w:rsidRDefault="006C3F7C">
                  <w:r w:rsidRPr="008A0B67">
                    <w:rPr>
                      <w:noProof/>
                    </w:rPr>
                    <w:drawing>
                      <wp:inline distT="0" distB="0" distL="0" distR="0">
                        <wp:extent cx="1164860" cy="1212850"/>
                        <wp:effectExtent l="19050" t="0" r="0" b="0"/>
                        <wp:docPr id="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4860" cy="1212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339D">
        <w:t xml:space="preserve">Calcular </w:t>
      </w:r>
      <w:r w:rsidR="00336642">
        <w:t xml:space="preserve">el </w:t>
      </w:r>
      <w:r w:rsidR="0006339D">
        <w:t xml:space="preserve">flujo del campo eléctrico. El programa calculará el flujo </w:t>
      </w:r>
      <w:r w:rsidR="00196E32">
        <w:t xml:space="preserve">neto </w:t>
      </w:r>
      <w:r w:rsidR="0006339D">
        <w:t xml:space="preserve">del campo eléctrico generado por el sistema de cargas puntuales que atraviesa </w:t>
      </w:r>
      <w:r w:rsidR="00184801">
        <w:t>la tapa superior del cubo</w:t>
      </w:r>
      <w:r w:rsidR="00336642">
        <w:t xml:space="preserve"> de confinamiento de las partículas</w:t>
      </w:r>
      <w:r w:rsidR="004A7BBA">
        <w:t>, presentando el resultado en pantalla</w:t>
      </w:r>
      <w:r w:rsidR="005171CD">
        <w:t xml:space="preserve"> en </w:t>
      </w:r>
      <w:r w:rsidR="005171CD" w:rsidRPr="00207E67">
        <w:rPr>
          <w:b/>
          <w:i/>
        </w:rPr>
        <w:t>N*m</w:t>
      </w:r>
      <w:r w:rsidR="005171CD" w:rsidRPr="00207E67">
        <w:rPr>
          <w:b/>
          <w:i/>
          <w:vertAlign w:val="superscript"/>
        </w:rPr>
        <w:t>2</w:t>
      </w:r>
      <w:r w:rsidR="005171CD" w:rsidRPr="00207E67">
        <w:rPr>
          <w:b/>
          <w:i/>
        </w:rPr>
        <w:t>/C</w:t>
      </w:r>
      <w:r w:rsidR="004A7BBA">
        <w:t>:</w:t>
      </w:r>
    </w:p>
    <w:p w:rsidR="008A0B67" w:rsidRPr="003526ED" w:rsidRDefault="002325D2" w:rsidP="00672144">
      <w:pPr>
        <w:ind w:left="2832"/>
        <w:rPr>
          <w:b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nary>
          <m:r>
            <m:rPr>
              <m:sty m:val="b"/>
            </m:rP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∆x* ∆y*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184801" w:rsidRDefault="00184801" w:rsidP="0075237C">
      <w:pPr>
        <w:ind w:left="2832"/>
        <w:jc w:val="both"/>
      </w:pPr>
      <w:r>
        <w:t xml:space="preserve">Nota: aproximar dicha integral dividiendo la superficie en pequeñas áreas rectangulares </w:t>
      </w:r>
      <w:r w:rsidR="00336642">
        <w:t xml:space="preserve">de igual tamaño  </w:t>
      </w:r>
      <w:r>
        <w:t>(</w:t>
      </w:r>
      <w:r w:rsidR="00336642">
        <w:t xml:space="preserve">de lados </w:t>
      </w:r>
      <w:r w:rsidRPr="003526ED">
        <w:rPr>
          <w:b/>
          <w:i/>
        </w:rPr>
        <w:t>∆x</w:t>
      </w:r>
      <w:r w:rsidR="00336642">
        <w:t xml:space="preserve"> e </w:t>
      </w:r>
      <w:r w:rsidRPr="003526ED">
        <w:rPr>
          <w:b/>
          <w:i/>
        </w:rPr>
        <w:t>∆y</w:t>
      </w:r>
      <w:r w:rsidR="00336642">
        <w:t>, respectivamente</w:t>
      </w:r>
      <w:r>
        <w:t>) donde el campo eléctrico se puede considerar uniforme e igual al valor en el centr</w:t>
      </w:r>
      <w:r w:rsidR="00672144">
        <w:t xml:space="preserve">o de dicha área rectangular y </w:t>
      </w:r>
      <w: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≅∆x* ∆y*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acc>
      </m:oMath>
      <w:r w:rsidR="00672144">
        <w:t>, calculando el flujo del campo eléctrico a través de cada área y sumando finalmente todas las contribuciones.</w:t>
      </w:r>
    </w:p>
    <w:p w:rsidR="00736346" w:rsidRDefault="00CE1CB9" w:rsidP="00E727B4">
      <w:pPr>
        <w:pStyle w:val="Prrafodelista"/>
        <w:numPr>
          <w:ilvl w:val="0"/>
          <w:numId w:val="36"/>
        </w:numPr>
      </w:pPr>
      <w:r>
        <w:t>Finalizar la ejecución del programa</w:t>
      </w:r>
      <w:r w:rsidR="006378D9">
        <w:t>.</w:t>
      </w:r>
    </w:p>
    <w:sectPr w:rsidR="00736346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1"/>
  </w:num>
  <w:num w:numId="4">
    <w:abstractNumId w:val="28"/>
  </w:num>
  <w:num w:numId="5">
    <w:abstractNumId w:val="16"/>
  </w:num>
  <w:num w:numId="6">
    <w:abstractNumId w:val="1"/>
  </w:num>
  <w:num w:numId="7">
    <w:abstractNumId w:val="3"/>
  </w:num>
  <w:num w:numId="8">
    <w:abstractNumId w:val="19"/>
  </w:num>
  <w:num w:numId="9">
    <w:abstractNumId w:val="23"/>
  </w:num>
  <w:num w:numId="10">
    <w:abstractNumId w:val="0"/>
  </w:num>
  <w:num w:numId="11">
    <w:abstractNumId w:val="32"/>
  </w:num>
  <w:num w:numId="12">
    <w:abstractNumId w:val="12"/>
  </w:num>
  <w:num w:numId="13">
    <w:abstractNumId w:val="33"/>
  </w:num>
  <w:num w:numId="14">
    <w:abstractNumId w:val="4"/>
  </w:num>
  <w:num w:numId="15">
    <w:abstractNumId w:val="38"/>
  </w:num>
  <w:num w:numId="16">
    <w:abstractNumId w:val="22"/>
  </w:num>
  <w:num w:numId="17">
    <w:abstractNumId w:val="6"/>
  </w:num>
  <w:num w:numId="18">
    <w:abstractNumId w:val="34"/>
  </w:num>
  <w:num w:numId="19">
    <w:abstractNumId w:val="31"/>
  </w:num>
  <w:num w:numId="20">
    <w:abstractNumId w:val="37"/>
  </w:num>
  <w:num w:numId="21">
    <w:abstractNumId w:val="10"/>
  </w:num>
  <w:num w:numId="22">
    <w:abstractNumId w:val="18"/>
  </w:num>
  <w:num w:numId="23">
    <w:abstractNumId w:val="36"/>
  </w:num>
  <w:num w:numId="24">
    <w:abstractNumId w:val="29"/>
  </w:num>
  <w:num w:numId="25">
    <w:abstractNumId w:val="14"/>
  </w:num>
  <w:num w:numId="26">
    <w:abstractNumId w:val="13"/>
  </w:num>
  <w:num w:numId="27">
    <w:abstractNumId w:val="25"/>
  </w:num>
  <w:num w:numId="28">
    <w:abstractNumId w:val="21"/>
  </w:num>
  <w:num w:numId="29">
    <w:abstractNumId w:val="2"/>
  </w:num>
  <w:num w:numId="30">
    <w:abstractNumId w:val="26"/>
  </w:num>
  <w:num w:numId="31">
    <w:abstractNumId w:val="27"/>
  </w:num>
  <w:num w:numId="32">
    <w:abstractNumId w:val="39"/>
  </w:num>
  <w:num w:numId="33">
    <w:abstractNumId w:val="15"/>
  </w:num>
  <w:num w:numId="34">
    <w:abstractNumId w:val="30"/>
  </w:num>
  <w:num w:numId="35">
    <w:abstractNumId w:val="17"/>
  </w:num>
  <w:num w:numId="36">
    <w:abstractNumId w:val="20"/>
  </w:num>
  <w:num w:numId="37">
    <w:abstractNumId w:val="7"/>
  </w:num>
  <w:num w:numId="38">
    <w:abstractNumId w:val="35"/>
  </w:num>
  <w:num w:numId="39">
    <w:abstractNumId w:val="8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59B3"/>
    <w:rsid w:val="00026662"/>
    <w:rsid w:val="000306CB"/>
    <w:rsid w:val="00035CA9"/>
    <w:rsid w:val="0003633C"/>
    <w:rsid w:val="000441F0"/>
    <w:rsid w:val="00054BC9"/>
    <w:rsid w:val="00062E34"/>
    <w:rsid w:val="0006339D"/>
    <w:rsid w:val="00065CE3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B5116"/>
    <w:rsid w:val="000C3744"/>
    <w:rsid w:val="000C5D0A"/>
    <w:rsid w:val="000D575D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5C87"/>
    <w:rsid w:val="00123A02"/>
    <w:rsid w:val="00125A25"/>
    <w:rsid w:val="001264AD"/>
    <w:rsid w:val="00136EC2"/>
    <w:rsid w:val="001415E1"/>
    <w:rsid w:val="00143E8C"/>
    <w:rsid w:val="0015152B"/>
    <w:rsid w:val="0015177F"/>
    <w:rsid w:val="001573C7"/>
    <w:rsid w:val="001642C5"/>
    <w:rsid w:val="00165795"/>
    <w:rsid w:val="0017122B"/>
    <w:rsid w:val="0017127B"/>
    <w:rsid w:val="0017456C"/>
    <w:rsid w:val="001766C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A5AE1"/>
    <w:rsid w:val="001B3184"/>
    <w:rsid w:val="001B5E14"/>
    <w:rsid w:val="001B6585"/>
    <w:rsid w:val="001C3267"/>
    <w:rsid w:val="001C41A5"/>
    <w:rsid w:val="001C7BD2"/>
    <w:rsid w:val="001E12CD"/>
    <w:rsid w:val="001F3917"/>
    <w:rsid w:val="001F6DC6"/>
    <w:rsid w:val="00201787"/>
    <w:rsid w:val="0020259E"/>
    <w:rsid w:val="00205156"/>
    <w:rsid w:val="0020774E"/>
    <w:rsid w:val="00207E67"/>
    <w:rsid w:val="00210386"/>
    <w:rsid w:val="0021466E"/>
    <w:rsid w:val="00223829"/>
    <w:rsid w:val="0022562A"/>
    <w:rsid w:val="002320D4"/>
    <w:rsid w:val="002325D2"/>
    <w:rsid w:val="00241C77"/>
    <w:rsid w:val="002423D1"/>
    <w:rsid w:val="002435FB"/>
    <w:rsid w:val="002473A8"/>
    <w:rsid w:val="002540B3"/>
    <w:rsid w:val="00255ABF"/>
    <w:rsid w:val="0026038B"/>
    <w:rsid w:val="00265244"/>
    <w:rsid w:val="00270813"/>
    <w:rsid w:val="0027493A"/>
    <w:rsid w:val="00274CA4"/>
    <w:rsid w:val="0027592A"/>
    <w:rsid w:val="002761FD"/>
    <w:rsid w:val="00280B95"/>
    <w:rsid w:val="00295198"/>
    <w:rsid w:val="00296967"/>
    <w:rsid w:val="00296AE2"/>
    <w:rsid w:val="002A3867"/>
    <w:rsid w:val="002A3C92"/>
    <w:rsid w:val="002B1E91"/>
    <w:rsid w:val="002B55AF"/>
    <w:rsid w:val="002C0D86"/>
    <w:rsid w:val="002C5868"/>
    <w:rsid w:val="002C7BEB"/>
    <w:rsid w:val="002D5BBA"/>
    <w:rsid w:val="002F13E4"/>
    <w:rsid w:val="002F1CF2"/>
    <w:rsid w:val="00300EB5"/>
    <w:rsid w:val="003026A2"/>
    <w:rsid w:val="0030625C"/>
    <w:rsid w:val="00306B99"/>
    <w:rsid w:val="00307147"/>
    <w:rsid w:val="00322B32"/>
    <w:rsid w:val="003277CE"/>
    <w:rsid w:val="00331AB0"/>
    <w:rsid w:val="003347B0"/>
    <w:rsid w:val="00336642"/>
    <w:rsid w:val="003526ED"/>
    <w:rsid w:val="00356692"/>
    <w:rsid w:val="003615B9"/>
    <w:rsid w:val="0036182B"/>
    <w:rsid w:val="003746F9"/>
    <w:rsid w:val="0037518D"/>
    <w:rsid w:val="00376445"/>
    <w:rsid w:val="0037672A"/>
    <w:rsid w:val="00380B9C"/>
    <w:rsid w:val="003A2209"/>
    <w:rsid w:val="003B44DE"/>
    <w:rsid w:val="003B5830"/>
    <w:rsid w:val="003C125C"/>
    <w:rsid w:val="003C282B"/>
    <w:rsid w:val="003C2983"/>
    <w:rsid w:val="003D41BF"/>
    <w:rsid w:val="003D79A3"/>
    <w:rsid w:val="003E49B4"/>
    <w:rsid w:val="003F1C24"/>
    <w:rsid w:val="003F2AC6"/>
    <w:rsid w:val="003F5B8C"/>
    <w:rsid w:val="004056DB"/>
    <w:rsid w:val="00410DCA"/>
    <w:rsid w:val="00413A7C"/>
    <w:rsid w:val="00427485"/>
    <w:rsid w:val="004330D6"/>
    <w:rsid w:val="00434B10"/>
    <w:rsid w:val="00437BE6"/>
    <w:rsid w:val="00437F81"/>
    <w:rsid w:val="00443CB6"/>
    <w:rsid w:val="00452B09"/>
    <w:rsid w:val="00452DAA"/>
    <w:rsid w:val="00453D8B"/>
    <w:rsid w:val="0046548B"/>
    <w:rsid w:val="00476B7C"/>
    <w:rsid w:val="00484BEC"/>
    <w:rsid w:val="00487CF8"/>
    <w:rsid w:val="00491A14"/>
    <w:rsid w:val="004937B9"/>
    <w:rsid w:val="00493C7D"/>
    <w:rsid w:val="00497A5B"/>
    <w:rsid w:val="004A072B"/>
    <w:rsid w:val="004A1152"/>
    <w:rsid w:val="004A38B5"/>
    <w:rsid w:val="004A7BBA"/>
    <w:rsid w:val="004B1DBA"/>
    <w:rsid w:val="004C78FA"/>
    <w:rsid w:val="004D7A4D"/>
    <w:rsid w:val="004E3C1B"/>
    <w:rsid w:val="004F58AF"/>
    <w:rsid w:val="004F59D2"/>
    <w:rsid w:val="004F714F"/>
    <w:rsid w:val="005171CD"/>
    <w:rsid w:val="005176F6"/>
    <w:rsid w:val="00520D45"/>
    <w:rsid w:val="00522226"/>
    <w:rsid w:val="00532DBD"/>
    <w:rsid w:val="0053407E"/>
    <w:rsid w:val="005403C7"/>
    <w:rsid w:val="005449A8"/>
    <w:rsid w:val="00547ECF"/>
    <w:rsid w:val="005546F4"/>
    <w:rsid w:val="00566ADD"/>
    <w:rsid w:val="005704D8"/>
    <w:rsid w:val="00574007"/>
    <w:rsid w:val="00582C36"/>
    <w:rsid w:val="00583D8D"/>
    <w:rsid w:val="00583E79"/>
    <w:rsid w:val="0059053A"/>
    <w:rsid w:val="00591F0A"/>
    <w:rsid w:val="00593AA6"/>
    <w:rsid w:val="00597C44"/>
    <w:rsid w:val="005A1156"/>
    <w:rsid w:val="005A4B9F"/>
    <w:rsid w:val="005A6462"/>
    <w:rsid w:val="005A7749"/>
    <w:rsid w:val="005B327F"/>
    <w:rsid w:val="005B3A95"/>
    <w:rsid w:val="005B5CB9"/>
    <w:rsid w:val="005C0A8D"/>
    <w:rsid w:val="005C16C5"/>
    <w:rsid w:val="005D2AC7"/>
    <w:rsid w:val="005D4988"/>
    <w:rsid w:val="005D5A8B"/>
    <w:rsid w:val="005E418A"/>
    <w:rsid w:val="005F04C6"/>
    <w:rsid w:val="005F0AB5"/>
    <w:rsid w:val="005F0F35"/>
    <w:rsid w:val="00601750"/>
    <w:rsid w:val="00602A5B"/>
    <w:rsid w:val="00607E4A"/>
    <w:rsid w:val="00611ACF"/>
    <w:rsid w:val="006174E6"/>
    <w:rsid w:val="00617D91"/>
    <w:rsid w:val="0062232C"/>
    <w:rsid w:val="00624008"/>
    <w:rsid w:val="0062439D"/>
    <w:rsid w:val="006261BD"/>
    <w:rsid w:val="0062717F"/>
    <w:rsid w:val="00632709"/>
    <w:rsid w:val="00636BEA"/>
    <w:rsid w:val="006378D9"/>
    <w:rsid w:val="00640A5F"/>
    <w:rsid w:val="006530BE"/>
    <w:rsid w:val="0066250A"/>
    <w:rsid w:val="006632CB"/>
    <w:rsid w:val="00672144"/>
    <w:rsid w:val="006723A7"/>
    <w:rsid w:val="00677DF9"/>
    <w:rsid w:val="006843F9"/>
    <w:rsid w:val="00691861"/>
    <w:rsid w:val="00694AE2"/>
    <w:rsid w:val="006A5620"/>
    <w:rsid w:val="006A5D8B"/>
    <w:rsid w:val="006A663D"/>
    <w:rsid w:val="006B7957"/>
    <w:rsid w:val="006C375D"/>
    <w:rsid w:val="006C3F38"/>
    <w:rsid w:val="006C3F7C"/>
    <w:rsid w:val="006D0EAA"/>
    <w:rsid w:val="006D4856"/>
    <w:rsid w:val="006D65A8"/>
    <w:rsid w:val="006E5C4B"/>
    <w:rsid w:val="006E7485"/>
    <w:rsid w:val="0070143A"/>
    <w:rsid w:val="00702A94"/>
    <w:rsid w:val="00706EAC"/>
    <w:rsid w:val="0070780D"/>
    <w:rsid w:val="007112DC"/>
    <w:rsid w:val="00717023"/>
    <w:rsid w:val="00721EA1"/>
    <w:rsid w:val="00724BD2"/>
    <w:rsid w:val="00724EFD"/>
    <w:rsid w:val="00727DCC"/>
    <w:rsid w:val="00732D55"/>
    <w:rsid w:val="0073471A"/>
    <w:rsid w:val="00736346"/>
    <w:rsid w:val="00740FB4"/>
    <w:rsid w:val="0074397F"/>
    <w:rsid w:val="00746DA4"/>
    <w:rsid w:val="00751595"/>
    <w:rsid w:val="00751FCA"/>
    <w:rsid w:val="0075237C"/>
    <w:rsid w:val="00756799"/>
    <w:rsid w:val="00780FF6"/>
    <w:rsid w:val="00785C9E"/>
    <w:rsid w:val="00795371"/>
    <w:rsid w:val="007A5AAD"/>
    <w:rsid w:val="007A770A"/>
    <w:rsid w:val="007B0BA9"/>
    <w:rsid w:val="007B1FEE"/>
    <w:rsid w:val="007B4790"/>
    <w:rsid w:val="007C2960"/>
    <w:rsid w:val="007C3C29"/>
    <w:rsid w:val="007D7382"/>
    <w:rsid w:val="007E4763"/>
    <w:rsid w:val="007E519C"/>
    <w:rsid w:val="007F0265"/>
    <w:rsid w:val="007F478F"/>
    <w:rsid w:val="007F78E5"/>
    <w:rsid w:val="00802314"/>
    <w:rsid w:val="008040BF"/>
    <w:rsid w:val="00805DEB"/>
    <w:rsid w:val="00813E0E"/>
    <w:rsid w:val="008221A8"/>
    <w:rsid w:val="008448A3"/>
    <w:rsid w:val="00845141"/>
    <w:rsid w:val="00851AB0"/>
    <w:rsid w:val="00853CD7"/>
    <w:rsid w:val="00862045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0B67"/>
    <w:rsid w:val="008A23D3"/>
    <w:rsid w:val="008A3C63"/>
    <w:rsid w:val="008C006B"/>
    <w:rsid w:val="008C09E1"/>
    <w:rsid w:val="008C4B96"/>
    <w:rsid w:val="008D3A35"/>
    <w:rsid w:val="008D50BA"/>
    <w:rsid w:val="008E09E4"/>
    <w:rsid w:val="008E382F"/>
    <w:rsid w:val="008E39D1"/>
    <w:rsid w:val="008E41DC"/>
    <w:rsid w:val="008E5A6C"/>
    <w:rsid w:val="008F02FA"/>
    <w:rsid w:val="00900F77"/>
    <w:rsid w:val="00910AAB"/>
    <w:rsid w:val="00915436"/>
    <w:rsid w:val="009214EC"/>
    <w:rsid w:val="0092251D"/>
    <w:rsid w:val="00923C22"/>
    <w:rsid w:val="009329A5"/>
    <w:rsid w:val="009351F8"/>
    <w:rsid w:val="00940878"/>
    <w:rsid w:val="0094120D"/>
    <w:rsid w:val="00943A62"/>
    <w:rsid w:val="00946903"/>
    <w:rsid w:val="009538B3"/>
    <w:rsid w:val="00956EF3"/>
    <w:rsid w:val="00960B73"/>
    <w:rsid w:val="00964D4C"/>
    <w:rsid w:val="00964E6C"/>
    <w:rsid w:val="00975AD2"/>
    <w:rsid w:val="00981CBC"/>
    <w:rsid w:val="009839DF"/>
    <w:rsid w:val="00992900"/>
    <w:rsid w:val="009A4D14"/>
    <w:rsid w:val="009A72C7"/>
    <w:rsid w:val="009B556F"/>
    <w:rsid w:val="009C08C9"/>
    <w:rsid w:val="009D1DF0"/>
    <w:rsid w:val="009D7F2F"/>
    <w:rsid w:val="009E2E67"/>
    <w:rsid w:val="009E4E10"/>
    <w:rsid w:val="009F1CCB"/>
    <w:rsid w:val="009F5E59"/>
    <w:rsid w:val="00A0064B"/>
    <w:rsid w:val="00A044D9"/>
    <w:rsid w:val="00A17E1E"/>
    <w:rsid w:val="00A20B77"/>
    <w:rsid w:val="00A61132"/>
    <w:rsid w:val="00A62C3C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F0809"/>
    <w:rsid w:val="00B006EF"/>
    <w:rsid w:val="00B03983"/>
    <w:rsid w:val="00B043B3"/>
    <w:rsid w:val="00B044B4"/>
    <w:rsid w:val="00B103C3"/>
    <w:rsid w:val="00B12C46"/>
    <w:rsid w:val="00B211C6"/>
    <w:rsid w:val="00B248CC"/>
    <w:rsid w:val="00B24D75"/>
    <w:rsid w:val="00B24D9D"/>
    <w:rsid w:val="00B25EC0"/>
    <w:rsid w:val="00B27E83"/>
    <w:rsid w:val="00B35DC4"/>
    <w:rsid w:val="00B44BED"/>
    <w:rsid w:val="00B64094"/>
    <w:rsid w:val="00B732CD"/>
    <w:rsid w:val="00B831AC"/>
    <w:rsid w:val="00B841F6"/>
    <w:rsid w:val="00B87841"/>
    <w:rsid w:val="00B90D63"/>
    <w:rsid w:val="00B91FEE"/>
    <w:rsid w:val="00B92CE8"/>
    <w:rsid w:val="00B93BF0"/>
    <w:rsid w:val="00B95267"/>
    <w:rsid w:val="00B96CE0"/>
    <w:rsid w:val="00BA6F21"/>
    <w:rsid w:val="00BB2091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26D8"/>
    <w:rsid w:val="00BF118D"/>
    <w:rsid w:val="00BF76A3"/>
    <w:rsid w:val="00C03011"/>
    <w:rsid w:val="00C06D5A"/>
    <w:rsid w:val="00C10CD6"/>
    <w:rsid w:val="00C12445"/>
    <w:rsid w:val="00C13DFA"/>
    <w:rsid w:val="00C15DBA"/>
    <w:rsid w:val="00C160A6"/>
    <w:rsid w:val="00C2337B"/>
    <w:rsid w:val="00C23A7C"/>
    <w:rsid w:val="00C36C2E"/>
    <w:rsid w:val="00C42F44"/>
    <w:rsid w:val="00C4460C"/>
    <w:rsid w:val="00C44A92"/>
    <w:rsid w:val="00C47528"/>
    <w:rsid w:val="00C506FD"/>
    <w:rsid w:val="00C577E5"/>
    <w:rsid w:val="00C6039C"/>
    <w:rsid w:val="00C6078E"/>
    <w:rsid w:val="00C763F3"/>
    <w:rsid w:val="00C81411"/>
    <w:rsid w:val="00C83A1D"/>
    <w:rsid w:val="00C85CF4"/>
    <w:rsid w:val="00C86082"/>
    <w:rsid w:val="00C91C55"/>
    <w:rsid w:val="00C94B94"/>
    <w:rsid w:val="00C97218"/>
    <w:rsid w:val="00CA4F65"/>
    <w:rsid w:val="00CB2496"/>
    <w:rsid w:val="00CB4762"/>
    <w:rsid w:val="00CB4D7F"/>
    <w:rsid w:val="00CB71C9"/>
    <w:rsid w:val="00CB7280"/>
    <w:rsid w:val="00CD1B00"/>
    <w:rsid w:val="00CD7F97"/>
    <w:rsid w:val="00CE1CB9"/>
    <w:rsid w:val="00CE2781"/>
    <w:rsid w:val="00CE3011"/>
    <w:rsid w:val="00CF073A"/>
    <w:rsid w:val="00CF60F5"/>
    <w:rsid w:val="00D01E46"/>
    <w:rsid w:val="00D04997"/>
    <w:rsid w:val="00D1018E"/>
    <w:rsid w:val="00D12E1D"/>
    <w:rsid w:val="00D150F2"/>
    <w:rsid w:val="00D174B2"/>
    <w:rsid w:val="00D21593"/>
    <w:rsid w:val="00D34D52"/>
    <w:rsid w:val="00D364FA"/>
    <w:rsid w:val="00D36752"/>
    <w:rsid w:val="00D467C0"/>
    <w:rsid w:val="00D47B51"/>
    <w:rsid w:val="00D501C7"/>
    <w:rsid w:val="00D556FB"/>
    <w:rsid w:val="00D62110"/>
    <w:rsid w:val="00D62F17"/>
    <w:rsid w:val="00D717AB"/>
    <w:rsid w:val="00D71937"/>
    <w:rsid w:val="00D72AEA"/>
    <w:rsid w:val="00D740CE"/>
    <w:rsid w:val="00D762E8"/>
    <w:rsid w:val="00D85032"/>
    <w:rsid w:val="00D86E1B"/>
    <w:rsid w:val="00DA3DD8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E7127"/>
    <w:rsid w:val="00DF0277"/>
    <w:rsid w:val="00DF517C"/>
    <w:rsid w:val="00DF5E22"/>
    <w:rsid w:val="00E06870"/>
    <w:rsid w:val="00E1210F"/>
    <w:rsid w:val="00E1548E"/>
    <w:rsid w:val="00E30DC0"/>
    <w:rsid w:val="00E36609"/>
    <w:rsid w:val="00E50B9F"/>
    <w:rsid w:val="00E60006"/>
    <w:rsid w:val="00E7002D"/>
    <w:rsid w:val="00E7127C"/>
    <w:rsid w:val="00E727B4"/>
    <w:rsid w:val="00E74821"/>
    <w:rsid w:val="00E76D40"/>
    <w:rsid w:val="00E8675F"/>
    <w:rsid w:val="00E8761D"/>
    <w:rsid w:val="00E95860"/>
    <w:rsid w:val="00EA05B7"/>
    <w:rsid w:val="00EA4BE2"/>
    <w:rsid w:val="00EA5036"/>
    <w:rsid w:val="00EA5BD1"/>
    <w:rsid w:val="00ED0769"/>
    <w:rsid w:val="00ED4E26"/>
    <w:rsid w:val="00ED547A"/>
    <w:rsid w:val="00EE4FC1"/>
    <w:rsid w:val="00EF24D5"/>
    <w:rsid w:val="00F04FD9"/>
    <w:rsid w:val="00F11E29"/>
    <w:rsid w:val="00F1581F"/>
    <w:rsid w:val="00F161A3"/>
    <w:rsid w:val="00F21534"/>
    <w:rsid w:val="00F21E96"/>
    <w:rsid w:val="00F27C56"/>
    <w:rsid w:val="00F312F0"/>
    <w:rsid w:val="00F3244D"/>
    <w:rsid w:val="00F41404"/>
    <w:rsid w:val="00F41807"/>
    <w:rsid w:val="00F43AFD"/>
    <w:rsid w:val="00F50765"/>
    <w:rsid w:val="00F54169"/>
    <w:rsid w:val="00F568C0"/>
    <w:rsid w:val="00F67274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6AE6"/>
    <w:rsid w:val="00FD77DB"/>
    <w:rsid w:val="00FE3060"/>
    <w:rsid w:val="00FE7BE0"/>
    <w:rsid w:val="00FF0B90"/>
    <w:rsid w:val="00FF64E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6D2F-043E-455B-994E-10FD2160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jrgarcia</cp:lastModifiedBy>
  <cp:revision>59</cp:revision>
  <cp:lastPrinted>2014-06-10T06:22:00Z</cp:lastPrinted>
  <dcterms:created xsi:type="dcterms:W3CDTF">2015-06-17T11:08:00Z</dcterms:created>
  <dcterms:modified xsi:type="dcterms:W3CDTF">2015-06-24T15:32:00Z</dcterms:modified>
</cp:coreProperties>
</file>