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24"/>
          <w:szCs w:val="24"/>
        </w:rPr>
        <w:t xml:space="preserve">Final Project Design Decisions</w:t>
      </w:r>
    </w:p>
    <w:p>
      <w:pPr>
        <w:spacing w:after="0" w:before="0" w:line="480" w:lineRule="auto"/>
        <w:jc w:val="center"/>
      </w:pPr>
      <w:r>
        <w:rPr>
          <w:rFonts w:ascii="Times New Roman" w:cs="Times New Roman" w:eastAsia="Times New Roman" w:hAnsi="Times New Roman"/>
          <w:b w:val="false"/>
          <w:bCs w:val="false"/>
          <w:sz w:val="24"/>
          <w:szCs w:val="24"/>
        </w:rPr>
        <w:t xml:space="preserve">Matthew Randall</w:t>
      </w:r>
    </w:p>
    <w:p>
      <w:pPr>
        <w:spacing w:after="0" w:before="0" w:line="480" w:lineRule="auto"/>
        <w:jc w:val="center"/>
      </w:pPr>
      <w:r>
        <w:rPr>
          <w:rFonts w:ascii="Times New Roman" w:cs="Times New Roman" w:eastAsia="Times New Roman" w:hAnsi="Times New Roman"/>
          <w:b w:val="false"/>
          <w:bCs w:val="false"/>
          <w:sz w:val="24"/>
          <w:szCs w:val="24"/>
        </w:rPr>
        <w:t xml:space="preserve">Southern New Hampshire University</w:t>
      </w:r>
    </w:p>
    <w:p>
      <w:pPr>
        <w:spacing w:after="0" w:before="0" w:line="480" w:lineRule="auto"/>
        <w:jc w:val="center"/>
      </w:pPr>
      <w:r>
        <w:rPr>
          <w:rFonts w:ascii="Times New Roman" w:cs="Times New Roman" w:eastAsia="Times New Roman" w:hAnsi="Times New Roman"/>
          <w:b w:val="false"/>
          <w:bCs w:val="false"/>
          <w:sz w:val="24"/>
          <w:szCs w:val="24"/>
        </w:rPr>
        <w:t xml:space="preserve">CS 330: Computational Graphics and Visualization</w:t>
      </w:r>
    </w:p>
    <w:p>
      <w:pPr>
        <w:spacing w:after="0" w:before="0" w:line="480" w:lineRule="auto"/>
        <w:jc w:val="left"/>
      </w:pPr>
      <w:r>
        <w:rPr>
          <w:rFonts w:ascii="Times New Roman" w:cs="Times New Roman" w:eastAsia="Times New Roman" w:hAnsi="Times New Roman"/>
          <w:b/>
          <w:bCs/>
          <w:sz w:val="24"/>
          <w:szCs w:val="24"/>
        </w:rPr>
        <w:t xml:space="preserve">Development Choices</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My scene recreates my own desk. It holds nine objects (the desktop, a monitor, a mechanical keyboard, a mouse and pad, two figurines, an articulated lamp, and a tumbler) built from five basic shapes: box, cylinder, tapered cylinder, sphere, and cone. I picked my desk because the reference never left my sight, so I could check each object against the real thing.</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Several choices came down to building one version and then another. The desktop started as a flat plane, but the monitor base clipped through its underside, so I rebuilt it as a thin box slab with the top face at Y = 0. For the keyboard I weighed one textured box against placing all 106 keycaps individually from a layout table in key units. The box was cheaper, but the grid of gaps between caps is what makes a keyboard read as a keyboard, so I placed the caps. A blue backlight under the keys took over the scene and I pulled it, and the mouse read as a featureless black rock until I added gray trim to the skirt and logo plate. A half-sphere draw call exists in the course mesh library but is never declared in the shared header, which sits outside my project folder, so a local fix would not travel with my submission; the tumbler emblem's red half is eight boxes fitted to the arc with the circle equation instead. I drew the display face and the lamp bulb with lighting off: running the wallpaper through the Phong model clipped its bright areas to white while ambient lifted its blacks to gray, and no material can describe a surface that makes its own light.</w:t>
      </w:r>
    </w:p>
    <w:p>
      <w:pPr>
        <w:spacing w:after="0" w:before="0" w:line="480" w:lineRule="auto"/>
        <w:jc w:val="left"/>
      </w:pPr>
      <w:r>
        <w:rPr>
          <w:rFonts w:ascii="Times New Roman" w:cs="Times New Roman" w:eastAsia="Times New Roman" w:hAnsi="Times New Roman"/>
          <w:b/>
          <w:bCs/>
          <w:sz w:val="24"/>
          <w:szCs w:val="24"/>
        </w:rPr>
        <w:t xml:space="preserve">Navigation</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All input is handled in ViewManager. ProcessKeyboardEvents() polls the keys with glfwGetKey() once per frame rather than using a key callback, so a held key moves the camera continuously. W and S move forward and back, A and D strafe, and Q and E move up and down along the camera's Up vector. Each move is scaled by MovementSpeed times the frame's delta time, so the camera covers the same distance per second at any frame rate. Mouse_Position_Callback() turns cursor movement into yaw and pitch, guarding the first event so the view does not snap. Mouse_Scroll_Callback() adjusts MovementSpeed while the program runs, clamped between 0.5 and 20.0 so it can never reach zero or run away, and a bar down the left edge fills and drains with that speed, since an invisible control can only be tested by trial. Pressing P or O switches between perspective and orthographic projection at any point without moving the camera, so the same framing can be compared with and without foreshortening, and the glm::ortho() bounds match the window's 10:8 aspect ratio so the scene is not stretched.</w:t>
      </w:r>
    </w:p>
    <w:p>
      <w:pPr>
        <w:spacing w:after="0" w:before="0" w:line="480" w:lineRule="auto"/>
        <w:jc w:val="left"/>
      </w:pPr>
      <w:r>
        <w:rPr>
          <w:rFonts w:ascii="Times New Roman" w:cs="Times New Roman" w:eastAsia="Times New Roman" w:hAnsi="Times New Roman"/>
          <w:b/>
          <w:bCs/>
          <w:sz w:val="24"/>
          <w:szCs w:val="24"/>
        </w:rPr>
        <w:t xml:space="preserve">Custom Functions</w:t>
      </w:r>
    </w:p>
    <w:p>
      <w:pPr>
        <w:spacing w:after="0" w:before="0" w:line="480" w:lineRule="auto"/>
        <w:ind w:firstLine="720"/>
        <w:jc w:val="left"/>
      </w:pPr>
      <w:r>
        <w:rPr>
          <w:rFonts w:ascii="Times New Roman" w:cs="Times New Roman" w:eastAsia="Times New Roman" w:hAnsi="Times New Roman"/>
          <w:b w:val="false"/>
          <w:bCs w:val="false"/>
          <w:sz w:val="24"/>
          <w:szCs w:val="24"/>
        </w:rPr>
        <w:t xml:space="preserve">Every object has its own render helper, from RenderDeskSurface() through RenderTumbler(), leaving RenderScene() a short list of readable calls and letting me move an object in one edit. LoadSceneTextures(), DefineObjectMaterials(), and SetupSceneLights() hold state that never changes between frames, and PrepareScene() calls them once at startup, keeping that work out of the render loop. RenderDeskLamp() calculates each joint position from the arm lengths and angles below it, so changing one angle moves the whole arm above it. RenderSpeedIndicator() draws the speed bar by putting the shader into screen coordinates with an orthographic projection and identity view, then restoring what it changed, which would suit any flat readout over a 3D scene. The one block I should have encapsulated is the bulb's three-shell additive glow, a reusable halo for anything that emits light.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2026-08-12T15:21:05.160Z</dcterms:created>
  <dcterms:modified xsi:type="dcterms:W3CDTF">2026-08-12T15:21:05.173Z</dcterms:modified>
</cp:coreProperties>
</file>

<file path=docProps/custom.xml><?xml version="1.0" encoding="utf-8"?>
<Properties xmlns="http://schemas.openxmlformats.org/officeDocument/2006/custom-properties" xmlns:vt="http://schemas.openxmlformats.org/officeDocument/2006/docPropsVTypes"/>
</file>