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2834"/>
        <w:gridCol w:w="7046"/>
      </w:tblGrid>
      <w:tr w:rsidR="00000000">
        <w:tblPrEx>
          <w:tblCellMar>
            <w:top w:w="0" w:type="dxa"/>
            <w:left w:w="0" w:type="dxa"/>
            <w:bottom w:w="0" w:type="dxa"/>
            <w:right w:w="0" w:type="dxa"/>
          </w:tblCellMar>
        </w:tblPrEx>
        <w:tc>
          <w:tcPr>
            <w:tcW w:w="9880" w:type="dxa"/>
            <w:gridSpan w:val="2"/>
            <w:tcBorders>
              <w:top w:val="nil"/>
              <w:left w:val="nil"/>
              <w:bottom w:val="nil"/>
              <w:right w:val="nil"/>
            </w:tcBorders>
          </w:tcPr>
          <w:p w:rsidR="00000000" w:rsidRDefault="00000000">
            <w:pPr>
              <w:widowControl w:val="0"/>
              <w:autoSpaceDE w:val="0"/>
              <w:autoSpaceDN w:val="0"/>
              <w:adjustRightInd w:val="0"/>
              <w:jc w:val="right"/>
              <w:rPr>
                <w:color w:val="000000"/>
                <w:sz w:val="18"/>
                <w:szCs w:val="18"/>
              </w:rPr>
            </w:pPr>
            <w:r>
              <w:rPr>
                <w:color w:val="000000"/>
                <w:sz w:val="18"/>
                <w:szCs w:val="18"/>
              </w:rPr>
              <w:t> </w:t>
            </w:r>
          </w:p>
          <w:p w:rsidR="00000000" w:rsidRDefault="00000000">
            <w:pPr>
              <w:widowControl w:val="0"/>
              <w:autoSpaceDE w:val="0"/>
              <w:autoSpaceDN w:val="0"/>
              <w:adjustRightInd w:val="0"/>
              <w:jc w:val="right"/>
              <w:rPr>
                <w:color w:val="000000"/>
                <w:sz w:val="18"/>
                <w:szCs w:val="18"/>
              </w:rPr>
            </w:pPr>
            <w:r>
              <w:rPr>
                <w:color w:val="000000"/>
                <w:sz w:val="18"/>
                <w:szCs w:val="18"/>
              </w:rPr>
              <w:t> </w:t>
            </w:r>
          </w:p>
        </w:tc>
      </w:tr>
      <w:tr w:rsidR="00000000">
        <w:tblPrEx>
          <w:tblCellMar>
            <w:top w:w="0" w:type="dxa"/>
            <w:left w:w="0" w:type="dxa"/>
            <w:bottom w:w="0" w:type="dxa"/>
            <w:right w:w="0" w:type="dxa"/>
          </w:tblCellMar>
        </w:tblPrEx>
        <w:tc>
          <w:tcPr>
            <w:tcW w:w="2834" w:type="dxa"/>
            <w:vMerge w:val="restart"/>
            <w:tcBorders>
              <w:top w:val="nil"/>
              <w:left w:val="nil"/>
              <w:bottom w:val="nil"/>
              <w:right w:val="nil"/>
            </w:tcBorders>
          </w:tcPr>
          <w:p w:rsidR="00000000" w:rsidRDefault="00000000">
            <w:pPr>
              <w:widowControl w:val="0"/>
              <w:autoSpaceDE w:val="0"/>
              <w:autoSpaceDN w:val="0"/>
              <w:adjustRightInd w:val="0"/>
              <w:jc w:val="right"/>
              <w:rPr>
                <w:color w:val="000000"/>
              </w:rPr>
            </w:pPr>
            <w:r>
              <w:rPr>
                <w:color w:val="000000"/>
              </w:rPr>
              <w:t> </w:t>
            </w:r>
          </w:p>
        </w:tc>
        <w:tc>
          <w:tcPr>
            <w:tcW w:w="7046" w:type="dxa"/>
            <w:tcBorders>
              <w:top w:val="nil"/>
              <w:left w:val="nil"/>
              <w:bottom w:val="nil"/>
              <w:right w:val="nil"/>
            </w:tcBorders>
          </w:tcPr>
          <w:p w:rsidR="00CC4C46" w:rsidRDefault="00CC4C46" w:rsidP="00CC4C46">
            <w:pPr>
              <w:jc w:val="right"/>
              <w:rPr>
                <w:rFonts w:ascii="Calibri" w:hAnsi="Calibri" w:cs="Calibri"/>
                <w:color w:val="000000"/>
              </w:rPr>
            </w:pPr>
            <w:r>
              <w:rPr>
                <w:rFonts w:ascii="Calibri" w:hAnsi="Calibri" w:cs="Calibri"/>
                <w:color w:val="000000"/>
              </w:rPr>
              <w:t>Название судебного участка</w:t>
            </w:r>
          </w:p>
          <w:p w:rsidR="00000000" w:rsidRDefault="00000000">
            <w:pPr>
              <w:widowControl w:val="0"/>
              <w:autoSpaceDE w:val="0"/>
              <w:autoSpaceDN w:val="0"/>
              <w:adjustRightInd w:val="0"/>
              <w:jc w:val="right"/>
              <w:rPr>
                <w:color w:val="000000"/>
              </w:rPr>
            </w:pPr>
            <w:r>
              <w:rPr>
                <w:b/>
                <w:bCs/>
                <w:color w:val="000000"/>
                <w:u w:val="single"/>
              </w:rPr>
              <w:t>Адрес</w:t>
            </w:r>
            <w:r>
              <w:rPr>
                <w:color w:val="000000"/>
              </w:rPr>
              <w:t xml:space="preserve">: </w:t>
            </w:r>
            <w:r w:rsidR="00CC4C46" w:rsidRPr="00CC4C46">
              <w:rPr>
                <w:color w:val="000000"/>
              </w:rPr>
              <w:t>Адрес участка</w:t>
            </w:r>
          </w:p>
          <w:p w:rsidR="00000000" w:rsidRDefault="00000000">
            <w:pPr>
              <w:widowControl w:val="0"/>
              <w:autoSpaceDE w:val="0"/>
              <w:autoSpaceDN w:val="0"/>
              <w:adjustRightInd w:val="0"/>
              <w:jc w:val="right"/>
              <w:rPr>
                <w:color w:val="000000"/>
              </w:rPr>
            </w:pPr>
            <w:r>
              <w:rPr>
                <w:color w:val="000000"/>
              </w:rPr>
              <w:t> </w:t>
            </w:r>
          </w:p>
          <w:p w:rsidR="00000000" w:rsidRDefault="00000000">
            <w:pPr>
              <w:widowControl w:val="0"/>
              <w:autoSpaceDE w:val="0"/>
              <w:autoSpaceDN w:val="0"/>
              <w:adjustRightInd w:val="0"/>
              <w:jc w:val="right"/>
              <w:rPr>
                <w:b/>
                <w:bCs/>
                <w:color w:val="000000"/>
                <w:u w:val="single"/>
              </w:rPr>
            </w:pPr>
            <w:r>
              <w:rPr>
                <w:b/>
                <w:bCs/>
                <w:color w:val="000000"/>
                <w:u w:val="single"/>
              </w:rPr>
              <w:t>Взыскатель:</w:t>
            </w:r>
          </w:p>
          <w:p w:rsidR="00000000" w:rsidRDefault="00000000">
            <w:pPr>
              <w:widowControl w:val="0"/>
              <w:autoSpaceDE w:val="0"/>
              <w:autoSpaceDN w:val="0"/>
              <w:adjustRightInd w:val="0"/>
              <w:jc w:val="right"/>
              <w:rPr>
                <w:color w:val="000000"/>
              </w:rPr>
            </w:pPr>
            <w:r>
              <w:rPr>
                <w:color w:val="000000"/>
              </w:rPr>
              <w:t>Югорский фонд капитального ремонта многоквартирных домов</w:t>
            </w:r>
          </w:p>
          <w:p w:rsidR="00000000" w:rsidRDefault="00000000">
            <w:pPr>
              <w:widowControl w:val="0"/>
              <w:autoSpaceDE w:val="0"/>
              <w:autoSpaceDN w:val="0"/>
              <w:adjustRightInd w:val="0"/>
              <w:jc w:val="right"/>
              <w:rPr>
                <w:color w:val="000000"/>
              </w:rPr>
            </w:pPr>
            <w:r>
              <w:rPr>
                <w:color w:val="000000"/>
              </w:rPr>
              <w:t>628011, ХМАО-Югра, г. Ханты-Мансийск, ул. Мира, д. 118 А,</w:t>
            </w:r>
          </w:p>
          <w:p w:rsidR="00000000" w:rsidRDefault="00000000">
            <w:pPr>
              <w:widowControl w:val="0"/>
              <w:autoSpaceDE w:val="0"/>
              <w:autoSpaceDN w:val="0"/>
              <w:adjustRightInd w:val="0"/>
              <w:jc w:val="right"/>
              <w:rPr>
                <w:color w:val="000000"/>
              </w:rPr>
            </w:pPr>
            <w:r>
              <w:rPr>
                <w:color w:val="000000"/>
              </w:rPr>
              <w:t>ИНН 8601999247</w:t>
            </w:r>
          </w:p>
          <w:p w:rsidR="00000000" w:rsidRDefault="00000000">
            <w:pPr>
              <w:widowControl w:val="0"/>
              <w:autoSpaceDE w:val="0"/>
              <w:autoSpaceDN w:val="0"/>
              <w:adjustRightInd w:val="0"/>
              <w:jc w:val="right"/>
              <w:rPr>
                <w:color w:val="000000"/>
              </w:rPr>
            </w:pPr>
            <w:r>
              <w:rPr>
                <w:color w:val="000000"/>
              </w:rPr>
              <w:t>ОГРН 1138600001693</w:t>
            </w:r>
          </w:p>
          <w:p w:rsidR="00000000" w:rsidRDefault="00000000">
            <w:pPr>
              <w:widowControl w:val="0"/>
              <w:autoSpaceDE w:val="0"/>
              <w:autoSpaceDN w:val="0"/>
              <w:adjustRightInd w:val="0"/>
              <w:jc w:val="right"/>
              <w:rPr>
                <w:color w:val="000000"/>
              </w:rPr>
            </w:pPr>
            <w:r>
              <w:rPr>
                <w:color w:val="000000"/>
              </w:rPr>
              <w:t>адрес электронной почты: info@kapremontugra.ru</w:t>
            </w:r>
          </w:p>
          <w:p w:rsidR="00000000" w:rsidRDefault="00000000">
            <w:pPr>
              <w:widowControl w:val="0"/>
              <w:autoSpaceDE w:val="0"/>
              <w:autoSpaceDN w:val="0"/>
              <w:adjustRightInd w:val="0"/>
              <w:jc w:val="right"/>
              <w:rPr>
                <w:color w:val="000000"/>
              </w:rPr>
            </w:pPr>
            <w:r>
              <w:rPr>
                <w:color w:val="000000"/>
              </w:rPr>
              <w:t>сайт: www.kapremontugra.ru</w:t>
            </w:r>
          </w:p>
          <w:p w:rsidR="00000000" w:rsidRDefault="00000000">
            <w:pPr>
              <w:widowControl w:val="0"/>
              <w:autoSpaceDE w:val="0"/>
              <w:autoSpaceDN w:val="0"/>
              <w:adjustRightInd w:val="0"/>
              <w:jc w:val="right"/>
              <w:rPr>
                <w:color w:val="000000"/>
              </w:rPr>
            </w:pPr>
            <w:r>
              <w:rPr>
                <w:color w:val="000000"/>
              </w:rPr>
              <w:t>факс: 8 (3467) 36-31-38</w:t>
            </w:r>
          </w:p>
          <w:p w:rsidR="00000000" w:rsidRDefault="00000000">
            <w:pPr>
              <w:widowControl w:val="0"/>
              <w:autoSpaceDE w:val="0"/>
              <w:autoSpaceDN w:val="0"/>
              <w:adjustRightInd w:val="0"/>
              <w:jc w:val="right"/>
              <w:rPr>
                <w:color w:val="000000"/>
              </w:rPr>
            </w:pPr>
            <w:r>
              <w:rPr>
                <w:color w:val="000000"/>
              </w:rPr>
              <w:t>кабинет № 409</w:t>
            </w:r>
          </w:p>
          <w:p w:rsidR="00000000" w:rsidRDefault="00000000">
            <w:pPr>
              <w:widowControl w:val="0"/>
              <w:autoSpaceDE w:val="0"/>
              <w:autoSpaceDN w:val="0"/>
              <w:adjustRightInd w:val="0"/>
              <w:jc w:val="right"/>
              <w:rPr>
                <w:color w:val="000000"/>
              </w:rPr>
            </w:pPr>
            <w:r>
              <w:rPr>
                <w:color w:val="000000"/>
              </w:rPr>
              <w:t>(отдел судебно-претензионной работы)</w:t>
            </w:r>
          </w:p>
          <w:p w:rsidR="00000000" w:rsidRDefault="00000000">
            <w:pPr>
              <w:widowControl w:val="0"/>
              <w:autoSpaceDE w:val="0"/>
              <w:autoSpaceDN w:val="0"/>
              <w:adjustRightInd w:val="0"/>
              <w:jc w:val="right"/>
              <w:rPr>
                <w:color w:val="000000"/>
              </w:rPr>
            </w:pPr>
            <w:r>
              <w:rPr>
                <w:color w:val="000000"/>
              </w:rPr>
              <w:t>тел. 8 (3467) 318-209</w:t>
            </w:r>
          </w:p>
        </w:tc>
      </w:tr>
      <w:tr w:rsidR="00CC4C46" w:rsidTr="005660B5">
        <w:tblPrEx>
          <w:tblCellMar>
            <w:top w:w="0" w:type="dxa"/>
            <w:left w:w="0" w:type="dxa"/>
            <w:bottom w:w="0" w:type="dxa"/>
            <w:right w:w="0" w:type="dxa"/>
          </w:tblCellMar>
        </w:tblPrEx>
        <w:tc>
          <w:tcPr>
            <w:tcW w:w="2834" w:type="dxa"/>
            <w:vMerge/>
            <w:tcBorders>
              <w:top w:val="nil"/>
              <w:left w:val="nil"/>
              <w:bottom w:val="nil"/>
              <w:right w:val="nil"/>
            </w:tcBorders>
          </w:tcPr>
          <w:p w:rsidR="00CC4C46" w:rsidRDefault="00CC4C46">
            <w:pPr>
              <w:widowControl w:val="0"/>
              <w:autoSpaceDE w:val="0"/>
              <w:autoSpaceDN w:val="0"/>
              <w:adjustRightInd w:val="0"/>
              <w:rPr>
                <w:color w:val="000000"/>
              </w:rPr>
            </w:pPr>
          </w:p>
        </w:tc>
        <w:tc>
          <w:tcPr>
            <w:tcW w:w="7046" w:type="dxa"/>
            <w:tcBorders>
              <w:top w:val="nil"/>
              <w:left w:val="nil"/>
              <w:bottom w:val="nil"/>
              <w:right w:val="nil"/>
            </w:tcBorders>
          </w:tcPr>
          <w:p w:rsidR="00CC4C46" w:rsidRDefault="00CC4C46" w:rsidP="00CC4C46">
            <w:pPr>
              <w:widowControl w:val="0"/>
              <w:autoSpaceDE w:val="0"/>
              <w:autoSpaceDN w:val="0"/>
              <w:adjustRightInd w:val="0"/>
              <w:ind w:right="113"/>
              <w:rPr>
                <w:b/>
                <w:bCs/>
                <w:color w:val="000000"/>
              </w:rPr>
            </w:pPr>
            <w:r>
              <w:rPr>
                <w:b/>
                <w:bCs/>
                <w:color w:val="000000"/>
              </w:rPr>
              <w:t xml:space="preserve">Представитель Истца: </w:t>
            </w:r>
            <w:r>
              <w:rPr>
                <w:b/>
                <w:bCs/>
                <w:color w:val="000000"/>
              </w:rPr>
              <w:t>Пред</w:t>
            </w:r>
            <w:r>
              <w:rPr>
                <w:b/>
                <w:bCs/>
                <w:color w:val="000000"/>
              </w:rPr>
              <w:t>.</w:t>
            </w:r>
            <w:r>
              <w:rPr>
                <w:b/>
                <w:bCs/>
                <w:color w:val="000000"/>
              </w:rPr>
              <w:t xml:space="preserve"> Истца</w:t>
            </w:r>
          </w:p>
          <w:p w:rsidR="00CC4C46" w:rsidRDefault="00CC4C46" w:rsidP="00CC4C46">
            <w:pPr>
              <w:widowControl w:val="0"/>
              <w:autoSpaceDE w:val="0"/>
              <w:autoSpaceDN w:val="0"/>
              <w:adjustRightInd w:val="0"/>
              <w:ind w:right="113"/>
              <w:rPr>
                <w:b/>
                <w:bCs/>
                <w:color w:val="000000"/>
              </w:rPr>
            </w:pPr>
          </w:p>
          <w:p w:rsidR="00CC4C46" w:rsidRDefault="00CC4C46">
            <w:pPr>
              <w:widowControl w:val="0"/>
              <w:autoSpaceDE w:val="0"/>
              <w:autoSpaceDN w:val="0"/>
              <w:adjustRightInd w:val="0"/>
              <w:ind w:right="113"/>
              <w:jc w:val="right"/>
              <w:rPr>
                <w:b/>
                <w:bCs/>
                <w:color w:val="000000"/>
                <w:sz w:val="18"/>
                <w:szCs w:val="18"/>
              </w:rPr>
            </w:pPr>
            <w:r>
              <w:rPr>
                <w:b/>
                <w:bCs/>
                <w:color w:val="000000"/>
                <w:sz w:val="18"/>
                <w:szCs w:val="18"/>
              </w:rPr>
              <w:t> </w:t>
            </w:r>
          </w:p>
          <w:p w:rsidR="00CC4C46" w:rsidRDefault="00CC4C46">
            <w:pPr>
              <w:widowControl w:val="0"/>
              <w:autoSpaceDE w:val="0"/>
              <w:autoSpaceDN w:val="0"/>
              <w:adjustRightInd w:val="0"/>
              <w:jc w:val="right"/>
              <w:rPr>
                <w:color w:val="000000"/>
              </w:rPr>
            </w:pPr>
            <w:r>
              <w:rPr>
                <w:color w:val="000000"/>
              </w:rPr>
              <w:t> </w:t>
            </w:r>
          </w:p>
        </w:tc>
      </w:tr>
      <w:tr w:rsidR="00000000">
        <w:tblPrEx>
          <w:tblCellMar>
            <w:top w:w="0" w:type="dxa"/>
            <w:left w:w="0" w:type="dxa"/>
            <w:bottom w:w="0" w:type="dxa"/>
            <w:right w:w="0" w:type="dxa"/>
          </w:tblCellMar>
        </w:tblPrEx>
        <w:tc>
          <w:tcPr>
            <w:tcW w:w="2834" w:type="dxa"/>
            <w:vMerge/>
            <w:tcBorders>
              <w:top w:val="nil"/>
              <w:left w:val="nil"/>
              <w:bottom w:val="nil"/>
              <w:right w:val="nil"/>
            </w:tcBorders>
          </w:tcPr>
          <w:p w:rsidR="00000000" w:rsidRDefault="00000000">
            <w:pPr>
              <w:widowControl w:val="0"/>
              <w:autoSpaceDE w:val="0"/>
              <w:autoSpaceDN w:val="0"/>
              <w:adjustRightInd w:val="0"/>
              <w:rPr>
                <w:color w:val="000000"/>
              </w:rPr>
            </w:pPr>
          </w:p>
        </w:tc>
        <w:tc>
          <w:tcPr>
            <w:tcW w:w="7046" w:type="dxa"/>
            <w:tcBorders>
              <w:top w:val="nil"/>
              <w:left w:val="nil"/>
              <w:bottom w:val="nil"/>
              <w:right w:val="nil"/>
            </w:tcBorders>
          </w:tcPr>
          <w:p w:rsidR="00000000" w:rsidRDefault="00000000">
            <w:pPr>
              <w:widowControl w:val="0"/>
              <w:autoSpaceDE w:val="0"/>
              <w:autoSpaceDN w:val="0"/>
              <w:adjustRightInd w:val="0"/>
              <w:jc w:val="right"/>
              <w:rPr>
                <w:color w:val="000000"/>
              </w:rPr>
            </w:pPr>
            <w:r>
              <w:rPr>
                <w:color w:val="000000"/>
              </w:rPr>
              <w:t> </w:t>
            </w:r>
          </w:p>
          <w:p w:rsidR="00000000" w:rsidRDefault="00000000">
            <w:pPr>
              <w:widowControl w:val="0"/>
              <w:autoSpaceDE w:val="0"/>
              <w:autoSpaceDN w:val="0"/>
              <w:adjustRightInd w:val="0"/>
              <w:jc w:val="right"/>
              <w:rPr>
                <w:b/>
                <w:bCs/>
                <w:color w:val="000000"/>
                <w:u w:val="single"/>
              </w:rPr>
            </w:pPr>
            <w:r>
              <w:rPr>
                <w:b/>
                <w:bCs/>
                <w:color w:val="000000"/>
                <w:u w:val="single"/>
              </w:rPr>
              <w:t>Должник:</w:t>
            </w:r>
          </w:p>
          <w:p w:rsidR="00CC4C46" w:rsidRDefault="00CC4C46">
            <w:pPr>
              <w:widowControl w:val="0"/>
              <w:autoSpaceDE w:val="0"/>
              <w:autoSpaceDN w:val="0"/>
              <w:adjustRightInd w:val="0"/>
              <w:jc w:val="right"/>
              <w:rPr>
                <w:color w:val="000000"/>
              </w:rPr>
            </w:pPr>
            <w:r w:rsidRPr="00CC4C46">
              <w:rPr>
                <w:color w:val="000000"/>
              </w:rPr>
              <w:t>ФИО</w:t>
            </w:r>
          </w:p>
          <w:p w:rsidR="00000000" w:rsidRDefault="00000000">
            <w:pPr>
              <w:widowControl w:val="0"/>
              <w:autoSpaceDE w:val="0"/>
              <w:autoSpaceDN w:val="0"/>
              <w:adjustRightInd w:val="0"/>
              <w:jc w:val="right"/>
              <w:rPr>
                <w:b/>
                <w:bCs/>
                <w:color w:val="000000"/>
                <w:u w:val="single"/>
              </w:rPr>
            </w:pPr>
            <w:r>
              <w:rPr>
                <w:b/>
                <w:bCs/>
                <w:color w:val="000000"/>
                <w:u w:val="single"/>
              </w:rPr>
              <w:t>Дата и место рождения:</w:t>
            </w:r>
          </w:p>
          <w:p w:rsidR="00CC4C46" w:rsidRDefault="00CC4C46">
            <w:pPr>
              <w:widowControl w:val="0"/>
              <w:autoSpaceDE w:val="0"/>
              <w:autoSpaceDN w:val="0"/>
              <w:adjustRightInd w:val="0"/>
              <w:jc w:val="right"/>
              <w:rPr>
                <w:color w:val="000000"/>
              </w:rPr>
            </w:pPr>
            <w:r w:rsidRPr="00CC4C46">
              <w:rPr>
                <w:color w:val="000000"/>
              </w:rPr>
              <w:t>Рождение</w:t>
            </w:r>
          </w:p>
          <w:p w:rsidR="00000000" w:rsidRDefault="00000000">
            <w:pPr>
              <w:widowControl w:val="0"/>
              <w:autoSpaceDE w:val="0"/>
              <w:autoSpaceDN w:val="0"/>
              <w:adjustRightInd w:val="0"/>
              <w:jc w:val="right"/>
              <w:rPr>
                <w:b/>
                <w:bCs/>
                <w:color w:val="000000"/>
                <w:u w:val="single"/>
              </w:rPr>
            </w:pPr>
            <w:r>
              <w:rPr>
                <w:b/>
                <w:bCs/>
                <w:color w:val="000000"/>
                <w:u w:val="single"/>
              </w:rPr>
              <w:t>Паспортные данные/Свидетельство о рождении:</w:t>
            </w:r>
          </w:p>
          <w:p w:rsidR="00CC4C46" w:rsidRDefault="00CC4C46">
            <w:pPr>
              <w:widowControl w:val="0"/>
              <w:autoSpaceDE w:val="0"/>
              <w:autoSpaceDN w:val="0"/>
              <w:adjustRightInd w:val="0"/>
              <w:jc w:val="right"/>
              <w:rPr>
                <w:color w:val="000000"/>
              </w:rPr>
            </w:pPr>
            <w:r w:rsidRPr="00CC4C46">
              <w:rPr>
                <w:color w:val="000000"/>
              </w:rPr>
              <w:t>Паспорт</w:t>
            </w:r>
          </w:p>
          <w:p w:rsidR="00000000" w:rsidRDefault="00000000">
            <w:pPr>
              <w:widowControl w:val="0"/>
              <w:autoSpaceDE w:val="0"/>
              <w:autoSpaceDN w:val="0"/>
              <w:adjustRightInd w:val="0"/>
              <w:jc w:val="right"/>
              <w:rPr>
                <w:b/>
                <w:bCs/>
                <w:color w:val="000000"/>
                <w:u w:val="single"/>
              </w:rPr>
            </w:pPr>
            <w:r>
              <w:rPr>
                <w:b/>
                <w:bCs/>
                <w:color w:val="000000"/>
                <w:u w:val="single"/>
              </w:rPr>
              <w:t>СНИЛС:</w:t>
            </w:r>
          </w:p>
          <w:p w:rsidR="00000000" w:rsidRDefault="00CC4C46">
            <w:pPr>
              <w:widowControl w:val="0"/>
              <w:autoSpaceDE w:val="0"/>
              <w:autoSpaceDN w:val="0"/>
              <w:adjustRightInd w:val="0"/>
              <w:jc w:val="right"/>
              <w:rPr>
                <w:color w:val="000000"/>
              </w:rPr>
            </w:pPr>
            <w:r>
              <w:rPr>
                <w:color w:val="000000"/>
              </w:rPr>
              <w:t>СНИЛ</w:t>
            </w:r>
          </w:p>
          <w:p w:rsidR="00000000" w:rsidRDefault="00000000">
            <w:pPr>
              <w:widowControl w:val="0"/>
              <w:autoSpaceDE w:val="0"/>
              <w:autoSpaceDN w:val="0"/>
              <w:adjustRightInd w:val="0"/>
              <w:jc w:val="right"/>
              <w:rPr>
                <w:b/>
                <w:bCs/>
                <w:color w:val="000000"/>
                <w:u w:val="single"/>
              </w:rPr>
            </w:pPr>
            <w:r>
              <w:rPr>
                <w:b/>
                <w:bCs/>
                <w:color w:val="000000"/>
                <w:u w:val="single"/>
              </w:rPr>
              <w:t>Место проживания:</w:t>
            </w:r>
          </w:p>
          <w:p w:rsidR="00CC4C46" w:rsidRDefault="00CC4C46">
            <w:pPr>
              <w:widowControl w:val="0"/>
              <w:autoSpaceDE w:val="0"/>
              <w:autoSpaceDN w:val="0"/>
              <w:adjustRightInd w:val="0"/>
              <w:jc w:val="right"/>
              <w:rPr>
                <w:color w:val="000000"/>
              </w:rPr>
            </w:pPr>
            <w:r w:rsidRPr="00CC4C46">
              <w:rPr>
                <w:color w:val="000000"/>
              </w:rPr>
              <w:t>Регистрация</w:t>
            </w:r>
          </w:p>
          <w:p w:rsidR="00000000" w:rsidRDefault="00000000">
            <w:pPr>
              <w:widowControl w:val="0"/>
              <w:autoSpaceDE w:val="0"/>
              <w:autoSpaceDN w:val="0"/>
              <w:adjustRightInd w:val="0"/>
              <w:jc w:val="right"/>
              <w:rPr>
                <w:b/>
                <w:bCs/>
                <w:color w:val="000000"/>
                <w:u w:val="single"/>
              </w:rPr>
            </w:pPr>
            <w:r>
              <w:rPr>
                <w:b/>
                <w:bCs/>
                <w:color w:val="000000"/>
                <w:u w:val="single"/>
              </w:rPr>
              <w:t>Место работы:</w:t>
            </w:r>
          </w:p>
          <w:p w:rsidR="00000000" w:rsidRDefault="00000000">
            <w:pPr>
              <w:widowControl w:val="0"/>
              <w:autoSpaceDE w:val="0"/>
              <w:autoSpaceDN w:val="0"/>
              <w:adjustRightInd w:val="0"/>
              <w:jc w:val="right"/>
              <w:rPr>
                <w:color w:val="000000"/>
              </w:rPr>
            </w:pPr>
            <w:r>
              <w:rPr>
                <w:color w:val="000000"/>
              </w:rPr>
              <w:t> </w:t>
            </w:r>
          </w:p>
          <w:p w:rsidR="00000000" w:rsidRDefault="00000000">
            <w:pPr>
              <w:widowControl w:val="0"/>
              <w:autoSpaceDE w:val="0"/>
              <w:autoSpaceDN w:val="0"/>
              <w:adjustRightInd w:val="0"/>
              <w:jc w:val="right"/>
              <w:rPr>
                <w:b/>
                <w:bCs/>
                <w:color w:val="000000"/>
                <w:u w:val="single"/>
              </w:rPr>
            </w:pPr>
            <w:r>
              <w:rPr>
                <w:b/>
                <w:bCs/>
                <w:color w:val="000000"/>
                <w:u w:val="single"/>
              </w:rPr>
              <w:t>Размер задолженности:</w:t>
            </w:r>
          </w:p>
          <w:p w:rsidR="00000000" w:rsidRDefault="00CC4C46">
            <w:pPr>
              <w:widowControl w:val="0"/>
              <w:autoSpaceDE w:val="0"/>
              <w:autoSpaceDN w:val="0"/>
              <w:adjustRightInd w:val="0"/>
              <w:jc w:val="right"/>
              <w:rPr>
                <w:color w:val="000000"/>
              </w:rPr>
            </w:pPr>
            <w:r>
              <w:rPr>
                <w:color w:val="000000"/>
              </w:rPr>
              <w:t>Долг</w:t>
            </w:r>
          </w:p>
          <w:p w:rsidR="00000000" w:rsidRDefault="00000000">
            <w:pPr>
              <w:widowControl w:val="0"/>
              <w:autoSpaceDE w:val="0"/>
              <w:autoSpaceDN w:val="0"/>
              <w:adjustRightInd w:val="0"/>
              <w:jc w:val="right"/>
              <w:rPr>
                <w:b/>
                <w:bCs/>
                <w:color w:val="000000"/>
                <w:u w:val="single"/>
              </w:rPr>
            </w:pPr>
            <w:r>
              <w:rPr>
                <w:b/>
                <w:bCs/>
                <w:color w:val="000000"/>
                <w:u w:val="single"/>
              </w:rPr>
              <w:t>Государственная пошлина:</w:t>
            </w:r>
          </w:p>
          <w:p w:rsidR="00000000" w:rsidRDefault="00CC4C46">
            <w:pPr>
              <w:widowControl w:val="0"/>
              <w:autoSpaceDE w:val="0"/>
              <w:autoSpaceDN w:val="0"/>
              <w:adjustRightInd w:val="0"/>
              <w:jc w:val="right"/>
              <w:rPr>
                <w:color w:val="000000"/>
              </w:rPr>
            </w:pPr>
            <w:r>
              <w:rPr>
                <w:color w:val="000000"/>
              </w:rPr>
              <w:t>ГП</w:t>
            </w:r>
          </w:p>
        </w:tc>
      </w:tr>
    </w:tbl>
    <w:p w:rsidR="00000000" w:rsidRDefault="00000000">
      <w:pPr>
        <w:widowControl w:val="0"/>
        <w:autoSpaceDE w:val="0"/>
        <w:autoSpaceDN w:val="0"/>
        <w:adjustRightInd w:val="0"/>
        <w:jc w:val="both"/>
        <w:rPr>
          <w:color w:val="000000"/>
        </w:rPr>
      </w:pPr>
      <w:r>
        <w:rPr>
          <w:color w:val="000000"/>
        </w:rPr>
        <w:t> </w:t>
      </w:r>
    </w:p>
    <w:p w:rsidR="00000000" w:rsidRDefault="00000000">
      <w:pPr>
        <w:widowControl w:val="0"/>
        <w:autoSpaceDE w:val="0"/>
        <w:autoSpaceDN w:val="0"/>
        <w:adjustRightInd w:val="0"/>
        <w:jc w:val="center"/>
        <w:rPr>
          <w:b/>
          <w:bCs/>
          <w:color w:val="000000"/>
        </w:rPr>
      </w:pPr>
      <w:r>
        <w:rPr>
          <w:b/>
          <w:bCs/>
          <w:color w:val="000000"/>
        </w:rPr>
        <w:t>Заявление о вынесении судебного приказа</w:t>
      </w:r>
    </w:p>
    <w:p w:rsidR="00000000" w:rsidRDefault="00000000">
      <w:pPr>
        <w:widowControl w:val="0"/>
        <w:autoSpaceDE w:val="0"/>
        <w:autoSpaceDN w:val="0"/>
        <w:adjustRightInd w:val="0"/>
        <w:jc w:val="center"/>
        <w:rPr>
          <w:b/>
          <w:bCs/>
          <w:color w:val="000000"/>
        </w:rPr>
      </w:pPr>
      <w:r>
        <w:rPr>
          <w:b/>
          <w:bCs/>
          <w:color w:val="000000"/>
        </w:rPr>
        <w:t>о взыскании задолженности по взносам на капитальный ремонт общего имущества в</w:t>
      </w:r>
    </w:p>
    <w:p w:rsidR="00000000" w:rsidRDefault="00000000">
      <w:pPr>
        <w:widowControl w:val="0"/>
        <w:autoSpaceDE w:val="0"/>
        <w:autoSpaceDN w:val="0"/>
        <w:adjustRightInd w:val="0"/>
        <w:jc w:val="center"/>
        <w:rPr>
          <w:b/>
          <w:bCs/>
          <w:color w:val="000000"/>
        </w:rPr>
      </w:pPr>
      <w:r>
        <w:rPr>
          <w:b/>
          <w:bCs/>
          <w:color w:val="000000"/>
        </w:rPr>
        <w:t>многоквартирном доме</w:t>
      </w:r>
    </w:p>
    <w:p w:rsidR="00000000" w:rsidRDefault="00000000">
      <w:pPr>
        <w:widowControl w:val="0"/>
        <w:autoSpaceDE w:val="0"/>
        <w:autoSpaceDN w:val="0"/>
        <w:adjustRightInd w:val="0"/>
        <w:jc w:val="both"/>
        <w:rPr>
          <w:color w:val="000000"/>
        </w:rPr>
      </w:pPr>
      <w:r>
        <w:rPr>
          <w:color w:val="000000"/>
        </w:rPr>
        <w:t> </w:t>
      </w:r>
    </w:p>
    <w:p w:rsidR="00000000" w:rsidRDefault="00000000">
      <w:pPr>
        <w:widowControl w:val="0"/>
        <w:autoSpaceDE w:val="0"/>
        <w:autoSpaceDN w:val="0"/>
        <w:adjustRightInd w:val="0"/>
        <w:jc w:val="both"/>
        <w:rPr>
          <w:color w:val="000000"/>
        </w:rPr>
      </w:pPr>
      <w:r>
        <w:rPr>
          <w:color w:val="000000"/>
        </w:rPr>
        <w:t>      В Ханты-Мансийском автономном округе – Югре в целях реализации Жилищного кодекса Российской Федерации (далее – ЖК РФ), распоряжением Правительства Ханты-Мансийского автономного округа – Югры от 06.12.2013 № 632-рп «О создании некоммерческой организации «Югорский фонд капитального ремонта многоквартирных домов» создан Югорский фонд капитального ремонта многоквартирных домов (Региональный оператор).</w:t>
      </w:r>
    </w:p>
    <w:p w:rsidR="00000000" w:rsidRDefault="00000000">
      <w:pPr>
        <w:widowControl w:val="0"/>
        <w:autoSpaceDE w:val="0"/>
        <w:autoSpaceDN w:val="0"/>
        <w:adjustRightInd w:val="0"/>
        <w:jc w:val="both"/>
        <w:rPr>
          <w:color w:val="000000"/>
        </w:rPr>
      </w:pPr>
      <w:r>
        <w:rPr>
          <w:color w:val="000000"/>
        </w:rPr>
        <w:t xml:space="preserve">      Основными функциями Регионального оператора в соответствии со ст. 180 ЖК РФ, ст. 19 Закона ХМАО - Югры от 01.07.2013 № 54-оз «Об организации проведения капитального ремонта общего имущества в многоквартирных домах, расположенных на территории Ханты-Мансийского автономного округа – Югры», являются аккумулирование взносов на капитальный ремонт, уплачиваемых собственниками помещений в многоквартирных домах, в отношении которых фонды капитального ремонта формируются на счете регионального оператора; финансирование расходов на капитальный ремонт общего имущества в многоквартирных домах, собственники помещений в которых формируют фонды капитального ремонта на счете регионального оператора, в пределах средств этих фондов капитального ремонта с привлечением при необходимости средств, полученных из иных источников, в том числе из бюджета субъекта </w:t>
      </w:r>
      <w:r>
        <w:rPr>
          <w:color w:val="000000"/>
        </w:rPr>
        <w:lastRenderedPageBreak/>
        <w:t>Российской Федерации и (или) местного бюджета.</w:t>
      </w:r>
    </w:p>
    <w:p w:rsidR="00000000" w:rsidRDefault="00000000">
      <w:pPr>
        <w:widowControl w:val="0"/>
        <w:autoSpaceDE w:val="0"/>
        <w:autoSpaceDN w:val="0"/>
        <w:adjustRightInd w:val="0"/>
        <w:jc w:val="both"/>
        <w:rPr>
          <w:color w:val="000000"/>
        </w:rPr>
      </w:pPr>
      <w:r>
        <w:rPr>
          <w:color w:val="000000"/>
        </w:rPr>
        <w:t>      На территории Ханты-Мансийского автономного округа - Югры правовое положение, функции и порядок деятельности Регионального оператора установлены Законом ХМАО - Югры от 01.07.2013 № 54-оз «Об организации проведения капитального ремонта общего имущества в многоквартирных домах, расположенных на территории Ханты-Мансийского автономного округа – Югры».</w:t>
      </w:r>
    </w:p>
    <w:p w:rsidR="00000000" w:rsidRDefault="00000000">
      <w:pPr>
        <w:widowControl w:val="0"/>
        <w:autoSpaceDE w:val="0"/>
        <w:autoSpaceDN w:val="0"/>
        <w:adjustRightInd w:val="0"/>
        <w:jc w:val="both"/>
        <w:rPr>
          <w:color w:val="000000"/>
        </w:rPr>
      </w:pPr>
      <w:r>
        <w:rPr>
          <w:color w:val="000000"/>
        </w:rPr>
        <w:t>      </w:t>
      </w:r>
      <w:r w:rsidR="00CC4C46" w:rsidRPr="00CC4C46">
        <w:rPr>
          <w:color w:val="000000"/>
          <w:highlight w:val="yellow"/>
        </w:rPr>
        <w:t>ФИО</w:t>
      </w:r>
      <w:r>
        <w:rPr>
          <w:color w:val="000000"/>
        </w:rPr>
        <w:t xml:space="preserve"> (далее – Должник) владеет на праве собственности жилым помещением </w:t>
      </w:r>
      <w:r w:rsidR="00CC4C46" w:rsidRPr="00CC4C46">
        <w:rPr>
          <w:color w:val="000000"/>
          <w:highlight w:val="yellow"/>
        </w:rPr>
        <w:t>Адрес</w:t>
      </w:r>
      <w:r>
        <w:rPr>
          <w:color w:val="000000"/>
        </w:rPr>
        <w:t>, что подтверждается выпиской из Единого государственного реестра прав на недвижимое имущество и сделок с ним.</w:t>
      </w:r>
    </w:p>
    <w:p w:rsidR="00000000" w:rsidRDefault="00000000">
      <w:pPr>
        <w:widowControl w:val="0"/>
        <w:autoSpaceDE w:val="0"/>
        <w:autoSpaceDN w:val="0"/>
        <w:adjustRightInd w:val="0"/>
        <w:jc w:val="both"/>
        <w:rPr>
          <w:color w:val="000000"/>
        </w:rPr>
      </w:pPr>
      <w:r>
        <w:rPr>
          <w:color w:val="000000"/>
        </w:rPr>
        <w:t>      В силу части 1 ст. 158 ЖК РФ, собственник помещения в многоквартирном доме обязан нести расходы на содержание принадлежащего ему помещения, 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жилого помещения, взносов на капитальный ремонт.</w:t>
      </w:r>
    </w:p>
    <w:p w:rsidR="00000000" w:rsidRDefault="00000000">
      <w:pPr>
        <w:widowControl w:val="0"/>
        <w:autoSpaceDE w:val="0"/>
        <w:autoSpaceDN w:val="0"/>
        <w:adjustRightInd w:val="0"/>
        <w:jc w:val="both"/>
        <w:rPr>
          <w:color w:val="000000"/>
        </w:rPr>
      </w:pPr>
      <w:r>
        <w:rPr>
          <w:color w:val="000000"/>
        </w:rPr>
        <w:t>      Согласно части 3 статьи 158 ЖК РФ,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капитальный ремонт, за исключением такой обязанности, не исполненной Российской Федерацией, субъектом Российской Федерации или муниципальным образованием, являющимися предыдущим собственником помещения в многоквартирном доме.</w:t>
      </w:r>
    </w:p>
    <w:p w:rsidR="00000000" w:rsidRDefault="00000000">
      <w:pPr>
        <w:widowControl w:val="0"/>
        <w:autoSpaceDE w:val="0"/>
        <w:autoSpaceDN w:val="0"/>
        <w:adjustRightInd w:val="0"/>
        <w:jc w:val="both"/>
        <w:rPr>
          <w:color w:val="000000"/>
        </w:rPr>
      </w:pPr>
      <w:r>
        <w:rPr>
          <w:color w:val="000000"/>
        </w:rPr>
        <w:t>      Частью 1 статьи 39 и пунктом 2 части 2 статьи 154 ЖК РФ установлено, что собственники помещений в многоквартирном доме несут бремя расходов на содержание общего имущества в многоквартирном доме путем внесения платы за жилое помещение, которая включает в себя плату за капитальный ремонт общего имущества.</w:t>
      </w:r>
    </w:p>
    <w:p w:rsidR="00000000" w:rsidRDefault="00000000">
      <w:pPr>
        <w:widowControl w:val="0"/>
        <w:autoSpaceDE w:val="0"/>
        <w:autoSpaceDN w:val="0"/>
        <w:adjustRightInd w:val="0"/>
        <w:jc w:val="both"/>
        <w:rPr>
          <w:color w:val="000000"/>
        </w:rPr>
      </w:pPr>
      <w:r>
        <w:rPr>
          <w:color w:val="000000"/>
        </w:rPr>
        <w:t>      В соответствии с частью 1 статьи 169 ЖК РФ собственники помещений в многоквартирном доме обязаны уплачивать ежемесячные взносы на капитальный ремонт общего имущества в многоквартирном доме.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(часть 3 статьи 158 ЖК РФ).</w:t>
      </w:r>
    </w:p>
    <w:p w:rsidR="00000000" w:rsidRDefault="00000000">
      <w:pPr>
        <w:widowControl w:val="0"/>
        <w:autoSpaceDE w:val="0"/>
        <w:autoSpaceDN w:val="0"/>
        <w:adjustRightInd w:val="0"/>
        <w:jc w:val="both"/>
        <w:rPr>
          <w:color w:val="000000"/>
        </w:rPr>
      </w:pPr>
      <w:r>
        <w:rPr>
          <w:color w:val="000000"/>
        </w:rPr>
        <w:t>      Программа капитального ремонта общего имущества в многоквартирных домах, расположенных на территории Ханты-Мансийского автономного округа – Югры, утверждена Постановлением Правительства ХМАО - Югры от 25.12.2013 № 568-п (далее – окружная программа) и опубликована 31.12.2013.</w:t>
      </w:r>
    </w:p>
    <w:p w:rsidR="00000000" w:rsidRDefault="00000000">
      <w:pPr>
        <w:widowControl w:val="0"/>
        <w:autoSpaceDE w:val="0"/>
        <w:autoSpaceDN w:val="0"/>
        <w:adjustRightInd w:val="0"/>
        <w:jc w:val="both"/>
        <w:rPr>
          <w:color w:val="000000"/>
        </w:rPr>
      </w:pPr>
      <w:r>
        <w:rPr>
          <w:color w:val="000000"/>
        </w:rPr>
        <w:t>            Жилищным кодексом предоставлено собственникам помещений в многоквартирном доме право выбора одного из следующих способов формирования фонда капитального ремонта: 1) перечисление взносов на капитальный ремонт на специальный счет в целях формирования фонда капитального ремонта в виде денежных средств, находящихся на специальном счете, 2) перечисление взносов на капитальный ремонт на счет регионального оператора в целях формирования фонда капитального ремонта в виде обязательственных прав собственников помещений в многоквартирном доме в отношении регионального оператора (ч. 3 ст. 170 ЖК РФ).</w:t>
      </w:r>
    </w:p>
    <w:p w:rsidR="00000000" w:rsidRDefault="00000000">
      <w:pPr>
        <w:widowControl w:val="0"/>
        <w:autoSpaceDE w:val="0"/>
        <w:autoSpaceDN w:val="0"/>
        <w:adjustRightInd w:val="0"/>
        <w:jc w:val="both"/>
        <w:rPr>
          <w:color w:val="000000"/>
        </w:rPr>
      </w:pPr>
      <w:r>
        <w:rPr>
          <w:color w:val="000000"/>
        </w:rPr>
        <w:t>      В случае, если собственники помещений в многоквартирном доме в срок, установленный частью 5 ст. 170 ЖК РФ, не выбрали способ формирования фонда капитального ремонта или выбранный ими способ не был реализован в установленный частью 5 настоящей статьи срок, и в случаях, предусмотренных частью 7 статьи 189 ЖК РФ, орган местного самоуправления принимает решение о формировании фонда капитального ремонта в отношении такого дома на счете регионального оператора.</w:t>
      </w:r>
    </w:p>
    <w:p w:rsidR="00000000" w:rsidRDefault="00000000">
      <w:pPr>
        <w:widowControl w:val="0"/>
        <w:autoSpaceDE w:val="0"/>
        <w:autoSpaceDN w:val="0"/>
        <w:adjustRightInd w:val="0"/>
        <w:jc w:val="both"/>
        <w:rPr>
          <w:color w:val="000000"/>
        </w:rPr>
      </w:pPr>
      <w:r>
        <w:rPr>
          <w:color w:val="000000"/>
        </w:rPr>
        <w:t>      Так как собственники многоквартирного дома по вышеуказанному адресу не реализовали свое право выбора способа формирования фонда капитального ремонта многоквартирных домов, в соответствии с Постановлением от № «О формировании фонда капитального ремонта на счете регионального оператора» в отношении многоквартирного дома по указанному адресу, принято решение о формировании фонда капитального ремонта на счете регионального оператора.</w:t>
      </w:r>
    </w:p>
    <w:p w:rsidR="00000000" w:rsidRDefault="00000000">
      <w:pPr>
        <w:widowControl w:val="0"/>
        <w:autoSpaceDE w:val="0"/>
        <w:autoSpaceDN w:val="0"/>
        <w:adjustRightInd w:val="0"/>
        <w:jc w:val="both"/>
        <w:rPr>
          <w:color w:val="000000"/>
        </w:rPr>
      </w:pPr>
      <w:r>
        <w:rPr>
          <w:color w:val="000000"/>
        </w:rPr>
        <w:t xml:space="preserve">      Частью 1 ст. 171 ЖК РФ установлено, что в случае формирования фонда капитального </w:t>
      </w:r>
      <w:r>
        <w:rPr>
          <w:color w:val="000000"/>
        </w:rPr>
        <w:lastRenderedPageBreak/>
        <w:t>ремонта на счете регионального оператора собственники помещений в многоквартирном доме уплачивают взносы на капитальный ремонт на основании платежных документов, представленных региональным оператором, в сроки, установленные для внесения платы за жилое помещение и коммунальные услуги, если иное не установлено законом субъекта Российской Федерации.</w:t>
      </w:r>
    </w:p>
    <w:p w:rsidR="00000000" w:rsidRDefault="00000000">
      <w:pPr>
        <w:widowControl w:val="0"/>
        <w:autoSpaceDE w:val="0"/>
        <w:autoSpaceDN w:val="0"/>
        <w:adjustRightInd w:val="0"/>
        <w:jc w:val="both"/>
        <w:rPr>
          <w:color w:val="000000"/>
        </w:rPr>
      </w:pPr>
      <w:r>
        <w:rPr>
          <w:color w:val="000000"/>
        </w:rPr>
        <w:t>      В соответствии с ч. 2. ст. 181 ЖК РФ, собственники помещений в многоквартирном доме при формировании фонда капитального ремонта на счете регионального оператора ежемесячно вносят в установленные в соответствии со статьей 171 ЖК РФ сроки и в полном объеме на счет регионального оператора взносы на капитальный ремонт, уплачивают пени в связи с ненадлежащим исполнением указанными собственниками обязанности по уплате взносов на капитальный ремонт.</w:t>
      </w:r>
    </w:p>
    <w:p w:rsidR="00000000" w:rsidRDefault="00000000">
      <w:pPr>
        <w:widowControl w:val="0"/>
        <w:autoSpaceDE w:val="0"/>
        <w:autoSpaceDN w:val="0"/>
        <w:adjustRightInd w:val="0"/>
        <w:jc w:val="both"/>
        <w:rPr>
          <w:color w:val="000000"/>
        </w:rPr>
      </w:pPr>
      <w:r>
        <w:rPr>
          <w:color w:val="000000"/>
        </w:rPr>
        <w:t>      Таким образом, оплата взносов собственниками помещений указанного многоквартирного дома должна осуществляться на счет Югорского фонда капитального ремонта многоквартирных домов.</w:t>
      </w:r>
    </w:p>
    <w:p w:rsidR="00000000" w:rsidRDefault="00000000">
      <w:pPr>
        <w:widowControl w:val="0"/>
        <w:autoSpaceDE w:val="0"/>
        <w:autoSpaceDN w:val="0"/>
        <w:adjustRightInd w:val="0"/>
        <w:jc w:val="both"/>
        <w:rPr>
          <w:color w:val="000000"/>
        </w:rPr>
      </w:pPr>
      <w:r>
        <w:rPr>
          <w:color w:val="000000"/>
        </w:rPr>
        <w:t>      Частью 3 ст. 169 ЖК РФ установлено, что обязанность по уплате взносов на капитальный ремонт возникает у собственников помещений в многоквартирном доме по истечении восьми календарных месяцев, если более ранний срок не установлен законом субъекта Российской Федерации,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w:t>
      </w:r>
    </w:p>
    <w:p w:rsidR="00000000" w:rsidRDefault="00000000">
      <w:pPr>
        <w:widowControl w:val="0"/>
        <w:autoSpaceDE w:val="0"/>
        <w:autoSpaceDN w:val="0"/>
        <w:adjustRightInd w:val="0"/>
        <w:jc w:val="both"/>
        <w:rPr>
          <w:color w:val="000000"/>
        </w:rPr>
      </w:pPr>
      <w:r>
        <w:rPr>
          <w:color w:val="000000"/>
        </w:rPr>
        <w:t xml:space="preserve">      На основании пункта 2 статьи 5 Закон ХМАО - Югры от 01.07.2013 № 54-оз «Об организации проведения капитального ремонта общего имущества в многоквартирных домах, расположенных на территории Ханты-Мансийского автономного округа – Югры» обязанность по уплате взносов на капитальный ремонт возникает у собственников помещений в многоквартирном доме по истечении восьми календарных месяцев начиная с месяца, следующего за тем, в котором была официально опубликована утвержденная окружная программа капитального ремонта, в которую включен этот многоквартирный дом, но не позднее чем </w:t>
      </w:r>
      <w:r>
        <w:rPr>
          <w:color w:val="000000"/>
          <w:u w:val="single"/>
        </w:rPr>
        <w:t>с 1 сентября 2014</w:t>
      </w:r>
      <w:r>
        <w:rPr>
          <w:color w:val="000000"/>
        </w:rPr>
        <w:t>.</w:t>
      </w:r>
    </w:p>
    <w:p w:rsidR="00000000" w:rsidRDefault="00000000">
      <w:pPr>
        <w:widowControl w:val="0"/>
        <w:autoSpaceDE w:val="0"/>
        <w:autoSpaceDN w:val="0"/>
        <w:adjustRightInd w:val="0"/>
        <w:jc w:val="both"/>
        <w:rPr>
          <w:color w:val="000000"/>
        </w:rPr>
      </w:pPr>
      <w:r>
        <w:rPr>
          <w:color w:val="000000"/>
        </w:rPr>
        <w:t xml:space="preserve">      В соответствии со статьями 153, 155 ЖК РФ собственник жилого помещения обязан </w:t>
      </w:r>
      <w:r>
        <w:rPr>
          <w:b/>
          <w:bCs/>
          <w:color w:val="000000"/>
        </w:rPr>
        <w:t>ежемесячно до десятого числа месяца, следующего за истекшим месяцем, вносить плату за жилое помещение и коммунальные услуги</w:t>
      </w:r>
      <w:r>
        <w:rPr>
          <w:color w:val="000000"/>
        </w:rPr>
        <w:t>.</w:t>
      </w:r>
    </w:p>
    <w:p w:rsidR="00000000" w:rsidRDefault="00000000">
      <w:pPr>
        <w:widowControl w:val="0"/>
        <w:autoSpaceDE w:val="0"/>
        <w:autoSpaceDN w:val="0"/>
        <w:adjustRightInd w:val="0"/>
        <w:jc w:val="both"/>
        <w:rPr>
          <w:color w:val="000000"/>
        </w:rPr>
      </w:pPr>
      <w:r>
        <w:rPr>
          <w:color w:val="000000"/>
        </w:rPr>
        <w:t xml:space="preserve">      Взнос на капитальный ремонт для собственника помещения в многоквартирном доме входит в структуру платы за жилое помещение и коммунальные услуги и является </w:t>
      </w:r>
      <w:r>
        <w:rPr>
          <w:b/>
          <w:bCs/>
          <w:color w:val="000000"/>
        </w:rPr>
        <w:t>обязательным платежом в силу закона (пункт 2 части 2 ст. 154 ЖК РФ)</w:t>
      </w:r>
      <w:r>
        <w:rPr>
          <w:color w:val="000000"/>
        </w:rPr>
        <w:t>.</w:t>
      </w:r>
    </w:p>
    <w:p w:rsidR="00000000" w:rsidRDefault="00000000">
      <w:pPr>
        <w:widowControl w:val="0"/>
        <w:autoSpaceDE w:val="0"/>
        <w:autoSpaceDN w:val="0"/>
        <w:adjustRightInd w:val="0"/>
        <w:jc w:val="both"/>
        <w:rPr>
          <w:color w:val="000000"/>
        </w:rPr>
      </w:pPr>
      <w:r>
        <w:rPr>
          <w:color w:val="000000"/>
        </w:rPr>
        <w:t>      В силу части 8.1. ст. 156 ЖК РФ, нормативным правовым актом субъекта Российской Федерации устанавливается минимальный размер взноса на капитальный ремонт в соответствии с методическими рекомендациями, утвержденными уполномоченным Правительством Российской Федерации федеральным органом исполнительной власти, в порядке, установленном законом субъекта Российской Федерации.</w:t>
      </w:r>
    </w:p>
    <w:p w:rsidR="00000000" w:rsidRDefault="00000000">
      <w:pPr>
        <w:widowControl w:val="0"/>
        <w:autoSpaceDE w:val="0"/>
        <w:autoSpaceDN w:val="0"/>
        <w:adjustRightInd w:val="0"/>
        <w:jc w:val="both"/>
        <w:rPr>
          <w:color w:val="000000"/>
        </w:rPr>
      </w:pPr>
      <w:r>
        <w:rPr>
          <w:color w:val="000000"/>
        </w:rPr>
        <w:t xml:space="preserve">      За период с </w:t>
      </w:r>
      <w:r w:rsidR="00CC4C46" w:rsidRPr="00CC4C46">
        <w:rPr>
          <w:color w:val="000000"/>
          <w:highlight w:val="yellow"/>
        </w:rPr>
        <w:t>срок с</w:t>
      </w:r>
      <w:r>
        <w:rPr>
          <w:color w:val="000000"/>
        </w:rPr>
        <w:t xml:space="preserve"> года по </w:t>
      </w:r>
      <w:r w:rsidR="00CC4C46" w:rsidRPr="00CC4C46">
        <w:rPr>
          <w:color w:val="000000"/>
          <w:highlight w:val="yellow"/>
        </w:rPr>
        <w:t>срок по</w:t>
      </w:r>
      <w:r>
        <w:rPr>
          <w:color w:val="000000"/>
        </w:rPr>
        <w:t xml:space="preserve"> года за Должником числится задолженность по оплате взноса на капитальный ремонт общего имущества в многоквартирном доме в размере </w:t>
      </w:r>
      <w:r w:rsidR="00CC4C46" w:rsidRPr="00CC4C46">
        <w:rPr>
          <w:color w:val="000000"/>
          <w:highlight w:val="yellow"/>
        </w:rPr>
        <w:t>Долг</w:t>
      </w:r>
      <w:r>
        <w:rPr>
          <w:color w:val="000000"/>
        </w:rPr>
        <w:t> рублей (расчет задолженности, выписка из лицевого счета прилагается).</w:t>
      </w:r>
    </w:p>
    <w:p w:rsidR="00000000" w:rsidRDefault="00000000">
      <w:pPr>
        <w:widowControl w:val="0"/>
        <w:autoSpaceDE w:val="0"/>
        <w:autoSpaceDN w:val="0"/>
        <w:adjustRightInd w:val="0"/>
        <w:jc w:val="both"/>
        <w:rPr>
          <w:color w:val="000000"/>
        </w:rPr>
      </w:pPr>
      <w:r>
        <w:rPr>
          <w:color w:val="000000"/>
        </w:rPr>
        <w:t xml:space="preserve">      С целью досудебного урегулирования спора, </w:t>
      </w:r>
      <w:r w:rsidR="00CC4C46" w:rsidRPr="00CC4C46">
        <w:rPr>
          <w:color w:val="000000"/>
          <w:highlight w:val="yellow"/>
        </w:rPr>
        <w:t>Дата претензии</w:t>
      </w:r>
      <w:r>
        <w:rPr>
          <w:color w:val="000000"/>
        </w:rPr>
        <w:t xml:space="preserve"> в адрес Должника Взыскателем направлена претензия о необходимости оплаты взноса на капитальный ремонт. Однако до настоящего времени задолженность в полном объеме не оплачена.</w:t>
      </w:r>
    </w:p>
    <w:p w:rsidR="00000000" w:rsidRDefault="00000000">
      <w:pPr>
        <w:widowControl w:val="0"/>
        <w:autoSpaceDE w:val="0"/>
        <w:autoSpaceDN w:val="0"/>
        <w:adjustRightInd w:val="0"/>
        <w:jc w:val="both"/>
        <w:rPr>
          <w:color w:val="000000"/>
        </w:rPr>
      </w:pPr>
      <w:r>
        <w:rPr>
          <w:color w:val="000000"/>
        </w:rPr>
        <w:t>      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одной трехсотой ставки рефинансирования Центрального банка Российской Федерации, действующей на момент оплаты, от не выплаченных в срок сумм за каждый день просрочки начиная со следующего дня после наступления установленного срока оплаты по день фактической выплаты включительно (часть 14.1 статьи 155 ЖК РФ).</w:t>
      </w:r>
    </w:p>
    <w:p w:rsidR="00000000" w:rsidRDefault="00000000">
      <w:pPr>
        <w:widowControl w:val="0"/>
        <w:autoSpaceDE w:val="0"/>
        <w:autoSpaceDN w:val="0"/>
        <w:adjustRightInd w:val="0"/>
        <w:jc w:val="both"/>
        <w:rPr>
          <w:color w:val="000000"/>
        </w:rPr>
      </w:pPr>
      <w:r>
        <w:rPr>
          <w:color w:val="000000"/>
        </w:rPr>
        <w:t xml:space="preserve">      Так как Должником до настоящего времени не произведена оплата суммы долга по взносам на капитальный ремонт, в соответствии с ч. 14.1 ст. 155 ЖК РФ, оплате подлежат пени в размере </w:t>
      </w:r>
      <w:r w:rsidR="00CC4C46" w:rsidRPr="00CC4C46">
        <w:rPr>
          <w:color w:val="000000"/>
          <w:highlight w:val="yellow"/>
        </w:rPr>
        <w:t>Пени</w:t>
      </w:r>
      <w:r w:rsidR="00CC4C46">
        <w:rPr>
          <w:color w:val="000000"/>
        </w:rPr>
        <w:t xml:space="preserve"> рублей</w:t>
      </w:r>
      <w:r>
        <w:rPr>
          <w:color w:val="000000"/>
        </w:rPr>
        <w:t xml:space="preserve"> (расчет пеней указан в приложении № 1 к заявлению) за период с </w:t>
      </w:r>
      <w:r w:rsidR="009E6109" w:rsidRPr="009E6109">
        <w:rPr>
          <w:color w:val="000000"/>
          <w:highlight w:val="yellow"/>
        </w:rPr>
        <w:t>Срок пени 1</w:t>
      </w:r>
      <w:r w:rsidR="009E6109">
        <w:rPr>
          <w:color w:val="000000"/>
        </w:rPr>
        <w:t xml:space="preserve"> </w:t>
      </w:r>
      <w:r>
        <w:rPr>
          <w:color w:val="000000"/>
        </w:rPr>
        <w:t xml:space="preserve">года по </w:t>
      </w:r>
      <w:r w:rsidR="009E6109" w:rsidRPr="009E6109">
        <w:rPr>
          <w:color w:val="000000"/>
          <w:highlight w:val="yellow"/>
        </w:rPr>
        <w:t>Срок пени 2</w:t>
      </w:r>
      <w:r w:rsidR="009E6109">
        <w:rPr>
          <w:color w:val="000000"/>
        </w:rPr>
        <w:t xml:space="preserve"> </w:t>
      </w:r>
      <w:r>
        <w:rPr>
          <w:color w:val="000000"/>
        </w:rPr>
        <w:t>года.</w:t>
      </w:r>
    </w:p>
    <w:p w:rsidR="00000000" w:rsidRDefault="00000000">
      <w:pPr>
        <w:widowControl w:val="0"/>
        <w:autoSpaceDE w:val="0"/>
        <w:autoSpaceDN w:val="0"/>
        <w:adjustRightInd w:val="0"/>
        <w:jc w:val="both"/>
        <w:rPr>
          <w:color w:val="000000"/>
        </w:rPr>
      </w:pPr>
      <w:r>
        <w:rPr>
          <w:color w:val="000000"/>
        </w:rPr>
        <w:t>      Требования Взыскателя, указанные в настоящем заявлении, основаны на нормах статей 153, 154, 155, 169 ЖК РФ и являются обязательными платежами в силу закона.</w:t>
      </w:r>
    </w:p>
    <w:p w:rsidR="00000000" w:rsidRDefault="00000000">
      <w:pPr>
        <w:widowControl w:val="0"/>
        <w:autoSpaceDE w:val="0"/>
        <w:autoSpaceDN w:val="0"/>
        <w:adjustRightInd w:val="0"/>
        <w:jc w:val="both"/>
        <w:rPr>
          <w:color w:val="000000"/>
        </w:rPr>
      </w:pPr>
      <w:r>
        <w:rPr>
          <w:color w:val="000000"/>
        </w:rPr>
        <w:lastRenderedPageBreak/>
        <w:t>      На основании вышеизложенного, руководствуясь вышеуказанными нормами, а также статьями 3, 121-124 ГПК РФ,</w:t>
      </w:r>
    </w:p>
    <w:p w:rsidR="00000000" w:rsidRDefault="00000000">
      <w:pPr>
        <w:widowControl w:val="0"/>
        <w:autoSpaceDE w:val="0"/>
        <w:autoSpaceDN w:val="0"/>
        <w:adjustRightInd w:val="0"/>
        <w:jc w:val="center"/>
        <w:rPr>
          <w:color w:val="000000"/>
        </w:rPr>
      </w:pPr>
      <w:r>
        <w:rPr>
          <w:color w:val="000000"/>
        </w:rPr>
        <w:t>ПРОШУ:</w:t>
      </w:r>
    </w:p>
    <w:p w:rsidR="00000000" w:rsidRDefault="00000000">
      <w:pPr>
        <w:widowControl w:val="0"/>
        <w:autoSpaceDE w:val="0"/>
        <w:autoSpaceDN w:val="0"/>
        <w:adjustRightInd w:val="0"/>
        <w:jc w:val="both"/>
        <w:rPr>
          <w:color w:val="000000"/>
        </w:rPr>
      </w:pPr>
      <w:r>
        <w:rPr>
          <w:color w:val="000000"/>
        </w:rPr>
        <w:t xml:space="preserve">      Вынести судебный приказ о взыскании с Должника – </w:t>
      </w:r>
      <w:r w:rsidR="009E6109" w:rsidRPr="009E6109">
        <w:rPr>
          <w:color w:val="000000"/>
          <w:highlight w:val="yellow"/>
        </w:rPr>
        <w:t>ФИО</w:t>
      </w:r>
      <w:r>
        <w:rPr>
          <w:color w:val="000000"/>
        </w:rPr>
        <w:t xml:space="preserve"> в пользу Югорского фонда капитального ремонта многоквартирных домов:</w:t>
      </w:r>
    </w:p>
    <w:p w:rsidR="00000000" w:rsidRDefault="00000000">
      <w:pPr>
        <w:widowControl w:val="0"/>
        <w:autoSpaceDE w:val="0"/>
        <w:autoSpaceDN w:val="0"/>
        <w:adjustRightInd w:val="0"/>
        <w:jc w:val="both"/>
        <w:rPr>
          <w:color w:val="000000"/>
        </w:rPr>
      </w:pPr>
      <w:r>
        <w:rPr>
          <w:color w:val="000000"/>
        </w:rPr>
        <w:t xml:space="preserve">      1. Задолженность по оплате взноса на капитальный ремонт общего имущества в многоквартирном доме за период с </w:t>
      </w:r>
      <w:r w:rsidR="009E6109" w:rsidRPr="009E6109">
        <w:rPr>
          <w:color w:val="000000"/>
          <w:highlight w:val="yellow"/>
        </w:rPr>
        <w:t>срок с</w:t>
      </w:r>
      <w:r>
        <w:rPr>
          <w:color w:val="000000"/>
        </w:rPr>
        <w:t xml:space="preserve"> года по </w:t>
      </w:r>
      <w:r w:rsidR="009E6109" w:rsidRPr="009E6109">
        <w:rPr>
          <w:color w:val="000000"/>
          <w:highlight w:val="yellow"/>
        </w:rPr>
        <w:t xml:space="preserve">срок </w:t>
      </w:r>
      <w:r w:rsidR="009E6109" w:rsidRPr="009E6109">
        <w:rPr>
          <w:color w:val="000000"/>
          <w:highlight w:val="yellow"/>
        </w:rPr>
        <w:t>по</w:t>
      </w:r>
      <w:r w:rsidR="009E6109">
        <w:rPr>
          <w:color w:val="000000"/>
        </w:rPr>
        <w:t xml:space="preserve"> </w:t>
      </w:r>
      <w:r>
        <w:rPr>
          <w:color w:val="000000"/>
        </w:rPr>
        <w:t xml:space="preserve">года в размере </w:t>
      </w:r>
      <w:r w:rsidR="009E6109" w:rsidRPr="009E6109">
        <w:rPr>
          <w:color w:val="000000"/>
          <w:highlight w:val="yellow"/>
        </w:rPr>
        <w:t>Долг</w:t>
      </w:r>
      <w:r>
        <w:rPr>
          <w:b/>
          <w:bCs/>
          <w:color w:val="000000"/>
        </w:rPr>
        <w:t> рублей</w:t>
      </w:r>
      <w:r>
        <w:rPr>
          <w:color w:val="000000"/>
        </w:rPr>
        <w:t>;</w:t>
      </w:r>
    </w:p>
    <w:p w:rsidR="00000000" w:rsidRDefault="00000000">
      <w:pPr>
        <w:widowControl w:val="0"/>
        <w:autoSpaceDE w:val="0"/>
        <w:autoSpaceDN w:val="0"/>
        <w:adjustRightInd w:val="0"/>
        <w:jc w:val="both"/>
        <w:rPr>
          <w:color w:val="000000"/>
        </w:rPr>
      </w:pPr>
      <w:r>
        <w:rPr>
          <w:color w:val="000000"/>
        </w:rPr>
        <w:t xml:space="preserve">      2. Пени за период с </w:t>
      </w:r>
      <w:r w:rsidR="009E6109" w:rsidRPr="009E6109">
        <w:rPr>
          <w:color w:val="000000"/>
          <w:highlight w:val="yellow"/>
        </w:rPr>
        <w:t>Срок пени 1</w:t>
      </w:r>
      <w:r w:rsidR="009E6109">
        <w:rPr>
          <w:color w:val="000000"/>
        </w:rPr>
        <w:t xml:space="preserve"> </w:t>
      </w:r>
      <w:r>
        <w:rPr>
          <w:color w:val="000000"/>
        </w:rPr>
        <w:t xml:space="preserve">года по </w:t>
      </w:r>
      <w:r w:rsidR="009E6109" w:rsidRPr="009E6109">
        <w:rPr>
          <w:color w:val="000000"/>
          <w:highlight w:val="yellow"/>
        </w:rPr>
        <w:t xml:space="preserve">Срок пени </w:t>
      </w:r>
      <w:r w:rsidR="009E6109" w:rsidRPr="009E6109">
        <w:rPr>
          <w:color w:val="000000"/>
          <w:highlight w:val="yellow"/>
        </w:rPr>
        <w:t>2</w:t>
      </w:r>
      <w:r w:rsidR="009E6109">
        <w:rPr>
          <w:color w:val="000000"/>
        </w:rPr>
        <w:t xml:space="preserve"> </w:t>
      </w:r>
      <w:r>
        <w:rPr>
          <w:color w:val="000000"/>
        </w:rPr>
        <w:t xml:space="preserve">года в размере </w:t>
      </w:r>
      <w:r w:rsidR="009E6109" w:rsidRPr="009E6109">
        <w:rPr>
          <w:b/>
          <w:bCs/>
          <w:color w:val="000000"/>
          <w:highlight w:val="yellow"/>
        </w:rPr>
        <w:t>Пени</w:t>
      </w:r>
      <w:r>
        <w:rPr>
          <w:b/>
          <w:bCs/>
          <w:color w:val="000000"/>
        </w:rPr>
        <w:t> рублей</w:t>
      </w:r>
      <w:r>
        <w:rPr>
          <w:color w:val="000000"/>
        </w:rPr>
        <w:t xml:space="preserve"> за просрочку обязательств по уплате взноса на капитальный ремонт;</w:t>
      </w:r>
    </w:p>
    <w:p w:rsidR="00000000" w:rsidRDefault="00000000">
      <w:pPr>
        <w:widowControl w:val="0"/>
        <w:autoSpaceDE w:val="0"/>
        <w:autoSpaceDN w:val="0"/>
        <w:adjustRightInd w:val="0"/>
        <w:jc w:val="both"/>
        <w:rPr>
          <w:color w:val="000000"/>
        </w:rPr>
      </w:pPr>
      <w:r>
        <w:rPr>
          <w:color w:val="000000"/>
        </w:rPr>
        <w:t xml:space="preserve">      3. Судебные издержки в виде уплаченной пошлины в размере </w:t>
      </w:r>
      <w:r w:rsidR="009E6109" w:rsidRPr="009E6109">
        <w:rPr>
          <w:color w:val="000000"/>
          <w:highlight w:val="yellow"/>
        </w:rPr>
        <w:t>ГП</w:t>
      </w:r>
      <w:r w:rsidR="009E6109">
        <w:rPr>
          <w:color w:val="000000"/>
        </w:rPr>
        <w:t xml:space="preserve"> </w:t>
      </w:r>
      <w:proofErr w:type="gramStart"/>
      <w:r w:rsidR="009E6109">
        <w:rPr>
          <w:b/>
          <w:bCs/>
          <w:color w:val="000000"/>
        </w:rPr>
        <w:t xml:space="preserve">рублей </w:t>
      </w:r>
      <w:r>
        <w:rPr>
          <w:color w:val="000000"/>
        </w:rPr>
        <w:t>.</w:t>
      </w:r>
      <w:proofErr w:type="gramEnd"/>
    </w:p>
    <w:p w:rsidR="00000000" w:rsidRDefault="00000000" w:rsidP="009E6109">
      <w:pPr>
        <w:widowControl w:val="0"/>
        <w:autoSpaceDE w:val="0"/>
        <w:autoSpaceDN w:val="0"/>
        <w:adjustRightInd w:val="0"/>
        <w:jc w:val="both"/>
        <w:rPr>
          <w:color w:val="000000"/>
        </w:rPr>
      </w:pPr>
      <w:r>
        <w:rPr>
          <w:b/>
          <w:bCs/>
          <w:color w:val="000000"/>
        </w:rPr>
        <w:t>      </w:t>
      </w:r>
    </w:p>
    <w:p w:rsidR="00000000" w:rsidRDefault="00000000">
      <w:pPr>
        <w:widowControl w:val="0"/>
        <w:autoSpaceDE w:val="0"/>
        <w:autoSpaceDN w:val="0"/>
        <w:adjustRightInd w:val="0"/>
        <w:jc w:val="both"/>
        <w:rPr>
          <w:color w:val="000000"/>
        </w:rPr>
      </w:pPr>
      <w:r>
        <w:rPr>
          <w:color w:val="000000"/>
        </w:rPr>
        <w:t> </w:t>
      </w:r>
    </w:p>
    <w:p w:rsidR="00000000" w:rsidRDefault="00000000">
      <w:pPr>
        <w:widowControl w:val="0"/>
        <w:autoSpaceDE w:val="0"/>
        <w:autoSpaceDN w:val="0"/>
        <w:adjustRightInd w:val="0"/>
        <w:jc w:val="both"/>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8"/>
        <w:gridCol w:w="2692"/>
        <w:gridCol w:w="6480"/>
      </w:tblGrid>
      <w:tr w:rsidR="00000000">
        <w:tblPrEx>
          <w:tblCellMar>
            <w:top w:w="0" w:type="dxa"/>
            <w:left w:w="0" w:type="dxa"/>
            <w:bottom w:w="0" w:type="dxa"/>
            <w:right w:w="0" w:type="dxa"/>
          </w:tblCellMar>
        </w:tblPrEx>
        <w:tc>
          <w:tcPr>
            <w:tcW w:w="708" w:type="dxa"/>
            <w:tcBorders>
              <w:top w:val="nil"/>
              <w:left w:val="nil"/>
              <w:bottom w:val="nil"/>
              <w:right w:val="nil"/>
            </w:tcBorders>
          </w:tcPr>
          <w:p w:rsidR="00000000" w:rsidRDefault="00000000">
            <w:pPr>
              <w:widowControl w:val="0"/>
              <w:autoSpaceDE w:val="0"/>
              <w:autoSpaceDN w:val="0"/>
              <w:adjustRightInd w:val="0"/>
              <w:jc w:val="both"/>
              <w:rPr>
                <w:color w:val="000000"/>
              </w:rPr>
            </w:pPr>
            <w:r>
              <w:rPr>
                <w:color w:val="000000"/>
              </w:rPr>
              <w:t> </w:t>
            </w:r>
          </w:p>
        </w:tc>
        <w:tc>
          <w:tcPr>
            <w:tcW w:w="9172" w:type="dxa"/>
            <w:gridSpan w:val="2"/>
            <w:tcBorders>
              <w:top w:val="nil"/>
              <w:left w:val="nil"/>
              <w:bottom w:val="nil"/>
              <w:right w:val="nil"/>
            </w:tcBorders>
          </w:tcPr>
          <w:p w:rsidR="00000000" w:rsidRDefault="00000000">
            <w:pPr>
              <w:widowControl w:val="0"/>
              <w:autoSpaceDE w:val="0"/>
              <w:autoSpaceDN w:val="0"/>
              <w:adjustRightInd w:val="0"/>
              <w:rPr>
                <w:i/>
                <w:iCs/>
                <w:color w:val="000000"/>
              </w:rPr>
            </w:pPr>
            <w:r>
              <w:rPr>
                <w:i/>
                <w:iCs/>
                <w:color w:val="000000"/>
              </w:rPr>
              <w:t>Приложения: (надлежащим образом заверенные копии, если не указано иное, по количеству участников процесса):</w:t>
            </w:r>
          </w:p>
          <w:p w:rsidR="00000000" w:rsidRDefault="00000000">
            <w:pPr>
              <w:widowControl w:val="0"/>
              <w:autoSpaceDE w:val="0"/>
              <w:autoSpaceDN w:val="0"/>
              <w:adjustRightInd w:val="0"/>
              <w:rPr>
                <w:color w:val="000000"/>
              </w:rPr>
            </w:pPr>
            <w:r>
              <w:rPr>
                <w:color w:val="000000"/>
              </w:rPr>
              <w:t>- Протокол расчета пени</w:t>
            </w:r>
          </w:p>
          <w:p w:rsidR="00000000" w:rsidRDefault="00000000">
            <w:pPr>
              <w:widowControl w:val="0"/>
              <w:autoSpaceDE w:val="0"/>
              <w:autoSpaceDN w:val="0"/>
              <w:adjustRightInd w:val="0"/>
              <w:rPr>
                <w:color w:val="000000"/>
              </w:rPr>
            </w:pPr>
            <w:r>
              <w:rPr>
                <w:color w:val="000000"/>
              </w:rPr>
              <w:t>- Выписка из Единого государственного реестра юридических лиц</w:t>
            </w:r>
          </w:p>
          <w:p w:rsidR="00000000" w:rsidRDefault="00000000">
            <w:pPr>
              <w:widowControl w:val="0"/>
              <w:autoSpaceDE w:val="0"/>
              <w:autoSpaceDN w:val="0"/>
              <w:adjustRightInd w:val="0"/>
              <w:rPr>
                <w:color w:val="000000"/>
              </w:rPr>
            </w:pPr>
            <w:r>
              <w:rPr>
                <w:color w:val="000000"/>
              </w:rPr>
              <w:t>- Выписка из ЕГРН объекта недвижимого имущества</w:t>
            </w:r>
          </w:p>
          <w:p w:rsidR="00000000" w:rsidRDefault="00000000">
            <w:pPr>
              <w:widowControl w:val="0"/>
              <w:autoSpaceDE w:val="0"/>
              <w:autoSpaceDN w:val="0"/>
              <w:adjustRightInd w:val="0"/>
              <w:rPr>
                <w:color w:val="000000"/>
              </w:rPr>
            </w:pPr>
            <w:r>
              <w:rPr>
                <w:color w:val="000000"/>
              </w:rPr>
              <w:t>- Выписка по лицевому счету</w:t>
            </w:r>
          </w:p>
          <w:p w:rsidR="00000000" w:rsidRDefault="00000000">
            <w:pPr>
              <w:widowControl w:val="0"/>
              <w:autoSpaceDE w:val="0"/>
              <w:autoSpaceDN w:val="0"/>
              <w:adjustRightInd w:val="0"/>
              <w:rPr>
                <w:color w:val="000000"/>
              </w:rPr>
            </w:pPr>
            <w:r>
              <w:rPr>
                <w:color w:val="000000"/>
              </w:rPr>
              <w:t>- Оригинал платежного поручения об оплате государственной пошлины</w:t>
            </w:r>
          </w:p>
          <w:p w:rsidR="00000000" w:rsidRDefault="00000000">
            <w:pPr>
              <w:widowControl w:val="0"/>
              <w:autoSpaceDE w:val="0"/>
              <w:autoSpaceDN w:val="0"/>
              <w:adjustRightInd w:val="0"/>
              <w:rPr>
                <w:color w:val="000000"/>
              </w:rPr>
            </w:pPr>
            <w:r>
              <w:rPr>
                <w:color w:val="000000"/>
              </w:rPr>
              <w:t>- Доверенность на представителя</w:t>
            </w:r>
          </w:p>
        </w:tc>
      </w:tr>
      <w:tr w:rsidR="00000000">
        <w:tblPrEx>
          <w:tblCellMar>
            <w:top w:w="0" w:type="dxa"/>
            <w:left w:w="0" w:type="dxa"/>
            <w:bottom w:w="0" w:type="dxa"/>
            <w:right w:w="0" w:type="dxa"/>
          </w:tblCellMar>
        </w:tblPrEx>
        <w:tc>
          <w:tcPr>
            <w:tcW w:w="3400" w:type="dxa"/>
            <w:gridSpan w:val="2"/>
            <w:tcBorders>
              <w:top w:val="nil"/>
              <w:left w:val="nil"/>
              <w:bottom w:val="nil"/>
              <w:right w:val="nil"/>
            </w:tcBorders>
            <w:tcMar>
              <w:top w:w="113" w:type="dxa"/>
              <w:bottom w:w="113" w:type="dxa"/>
            </w:tcMar>
          </w:tcPr>
          <w:p w:rsidR="00000000" w:rsidRDefault="00000000">
            <w:pPr>
              <w:widowControl w:val="0"/>
              <w:autoSpaceDE w:val="0"/>
              <w:autoSpaceDN w:val="0"/>
              <w:adjustRightInd w:val="0"/>
              <w:rPr>
                <w:color w:val="000000"/>
              </w:rPr>
            </w:pPr>
            <w:r>
              <w:rPr>
                <w:color w:val="000000"/>
              </w:rPr>
              <w:t>Представитель по доверенности</w:t>
            </w:r>
          </w:p>
        </w:tc>
        <w:tc>
          <w:tcPr>
            <w:tcW w:w="6480" w:type="dxa"/>
            <w:tcBorders>
              <w:top w:val="nil"/>
              <w:left w:val="nil"/>
              <w:bottom w:val="nil"/>
              <w:right w:val="nil"/>
            </w:tcBorders>
          </w:tcPr>
          <w:p w:rsidR="00000000" w:rsidRDefault="009E6109">
            <w:pPr>
              <w:widowControl w:val="0"/>
              <w:autoSpaceDE w:val="0"/>
              <w:autoSpaceDN w:val="0"/>
              <w:adjustRightInd w:val="0"/>
              <w:jc w:val="right"/>
              <w:rPr>
                <w:color w:val="000000"/>
              </w:rPr>
            </w:pPr>
            <w:r w:rsidRPr="009E6109">
              <w:rPr>
                <w:color w:val="000000"/>
                <w:highlight w:val="yellow"/>
              </w:rPr>
              <w:t>Пред. Истца</w:t>
            </w:r>
          </w:p>
        </w:tc>
      </w:tr>
    </w:tbl>
    <w:p w:rsidR="00000000" w:rsidRDefault="00000000">
      <w:pPr>
        <w:widowControl w:val="0"/>
        <w:autoSpaceDE w:val="0"/>
        <w:autoSpaceDN w:val="0"/>
        <w:adjustRightInd w:val="0"/>
        <w:rPr>
          <w:rFonts w:ascii="Arial" w:hAnsi="Arial" w:cs="Arial"/>
        </w:rPr>
        <w:sectPr w:rsidR="00000000">
          <w:pgSz w:w="11905" w:h="16837"/>
          <w:pgMar w:top="566" w:right="850" w:bottom="566" w:left="1133" w:header="720" w:footer="720" w:gutter="0"/>
          <w:cols w:space="720"/>
          <w:noEndnote/>
        </w:sectPr>
      </w:pPr>
    </w:p>
    <w:p w:rsidR="00000000" w:rsidRDefault="00000000">
      <w:pPr>
        <w:widowControl w:val="0"/>
        <w:autoSpaceDE w:val="0"/>
        <w:autoSpaceDN w:val="0"/>
        <w:adjustRightInd w:val="0"/>
        <w:spacing w:before="850"/>
        <w:jc w:val="right"/>
        <w:rPr>
          <w:color w:val="000000"/>
        </w:rPr>
      </w:pPr>
      <w:r>
        <w:rPr>
          <w:color w:val="000000"/>
        </w:rPr>
        <w:lastRenderedPageBreak/>
        <w:t>Приложение №1</w:t>
      </w:r>
    </w:p>
    <w:p w:rsidR="00000000" w:rsidRDefault="00000000">
      <w:pPr>
        <w:widowControl w:val="0"/>
        <w:autoSpaceDE w:val="0"/>
        <w:autoSpaceDN w:val="0"/>
        <w:adjustRightInd w:val="0"/>
        <w:spacing w:after="566"/>
        <w:jc w:val="right"/>
        <w:rPr>
          <w:color w:val="000000"/>
        </w:rPr>
      </w:pPr>
      <w:r>
        <w:rPr>
          <w:color w:val="000000"/>
        </w:rPr>
        <w:t>к заявлению о выдаче судебного приказа о взыскании задолженности</w:t>
      </w:r>
    </w:p>
    <w:p w:rsidR="00000000" w:rsidRDefault="00000000">
      <w:pPr>
        <w:widowControl w:val="0"/>
        <w:autoSpaceDE w:val="0"/>
        <w:autoSpaceDN w:val="0"/>
        <w:adjustRightInd w:val="0"/>
        <w:jc w:val="center"/>
        <w:rPr>
          <w:b/>
          <w:bCs/>
          <w:color w:val="000000"/>
        </w:rPr>
      </w:pPr>
      <w:r>
        <w:rPr>
          <w:b/>
          <w:bCs/>
          <w:color w:val="000000"/>
        </w:rPr>
        <w:t>Расчет начислений взносов на капитальный ремонт общего имущества в</w:t>
      </w:r>
    </w:p>
    <w:p w:rsidR="00000000" w:rsidRDefault="00000000">
      <w:pPr>
        <w:widowControl w:val="0"/>
        <w:autoSpaceDE w:val="0"/>
        <w:autoSpaceDN w:val="0"/>
        <w:adjustRightInd w:val="0"/>
        <w:spacing w:after="283"/>
        <w:jc w:val="center"/>
        <w:rPr>
          <w:b/>
          <w:bCs/>
          <w:color w:val="000000"/>
        </w:rPr>
      </w:pPr>
      <w:r>
        <w:rPr>
          <w:b/>
          <w:bCs/>
          <w:color w:val="000000"/>
        </w:rPr>
        <w:t>многоквартирном доме № 2 кв. № 154 по ул. Московкина в г. Нижневартовск</w:t>
      </w:r>
    </w:p>
    <w:tbl>
      <w:tblPr>
        <w:tblW w:w="0" w:type="auto"/>
        <w:tblInd w:w="10" w:type="dxa"/>
        <w:tblLayout w:type="fixed"/>
        <w:tblCellMar>
          <w:left w:w="0" w:type="dxa"/>
          <w:right w:w="0" w:type="dxa"/>
        </w:tblCellMar>
        <w:tblLook w:val="0000" w:firstRow="0" w:lastRow="0" w:firstColumn="0" w:lastColumn="0" w:noHBand="0" w:noVBand="0"/>
      </w:tblPr>
      <w:tblGrid>
        <w:gridCol w:w="1530"/>
        <w:gridCol w:w="2154"/>
        <w:gridCol w:w="1814"/>
        <w:gridCol w:w="1814"/>
        <w:gridCol w:w="1133"/>
        <w:gridCol w:w="2301"/>
      </w:tblGrid>
      <w:tr w:rsidR="00000000">
        <w:tblPrEx>
          <w:tblCellMar>
            <w:top w:w="0" w:type="dxa"/>
            <w:left w:w="0" w:type="dxa"/>
            <w:bottom w:w="0" w:type="dxa"/>
            <w:right w:w="0" w:type="dxa"/>
          </w:tblCellMar>
        </w:tblPrEx>
        <w:tc>
          <w:tcPr>
            <w:tcW w:w="1530"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b/>
                <w:bCs/>
                <w:color w:val="000000"/>
              </w:rPr>
            </w:pPr>
            <w:r>
              <w:rPr>
                <w:b/>
                <w:bCs/>
                <w:color w:val="000000"/>
              </w:rPr>
              <w:t>Площадь жилого помещения (</w:t>
            </w:r>
            <w:proofErr w:type="spellStart"/>
            <w:r>
              <w:rPr>
                <w:b/>
                <w:bCs/>
                <w:color w:val="000000"/>
              </w:rPr>
              <w:t>кв.м</w:t>
            </w:r>
            <w:proofErr w:type="spellEnd"/>
            <w:r>
              <w:rPr>
                <w:b/>
                <w:bCs/>
                <w:color w:val="000000"/>
              </w:rPr>
              <w:t>.).</w:t>
            </w:r>
          </w:p>
        </w:tc>
        <w:tc>
          <w:tcPr>
            <w:tcW w:w="215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b/>
                <w:bCs/>
                <w:color w:val="000000"/>
              </w:rPr>
            </w:pPr>
            <w:r>
              <w:rPr>
                <w:b/>
                <w:bCs/>
                <w:color w:val="000000"/>
              </w:rPr>
              <w:t>Тип многоквартирного дома</w:t>
            </w:r>
          </w:p>
        </w:tc>
        <w:tc>
          <w:tcPr>
            <w:tcW w:w="181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b/>
                <w:bCs/>
                <w:color w:val="000000"/>
                <w:sz w:val="20"/>
                <w:szCs w:val="20"/>
                <w:vertAlign w:val="superscript"/>
              </w:rPr>
            </w:pPr>
            <w:r>
              <w:rPr>
                <w:b/>
                <w:bCs/>
                <w:color w:val="000000"/>
              </w:rPr>
              <w:t xml:space="preserve">Минимальный размер взноса, рублей/1кв.м. жилого </w:t>
            </w:r>
            <w:proofErr w:type="spellStart"/>
            <w:r>
              <w:rPr>
                <w:b/>
                <w:bCs/>
                <w:color w:val="000000"/>
              </w:rPr>
              <w:t>помещения</w:t>
            </w:r>
            <w:r>
              <w:rPr>
                <w:b/>
                <w:bCs/>
                <w:color w:val="000000"/>
                <w:sz w:val="20"/>
                <w:szCs w:val="20"/>
                <w:vertAlign w:val="superscript"/>
              </w:rPr>
              <w:t>i</w:t>
            </w:r>
            <w:proofErr w:type="spellEnd"/>
          </w:p>
        </w:tc>
        <w:tc>
          <w:tcPr>
            <w:tcW w:w="181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b/>
                <w:bCs/>
                <w:color w:val="000000"/>
                <w:vertAlign w:val="superscript"/>
              </w:rPr>
            </w:pPr>
            <w:r>
              <w:rPr>
                <w:b/>
                <w:bCs/>
                <w:color w:val="000000"/>
                <w:vertAlign w:val="superscript"/>
              </w:rPr>
              <w:t>Ежемесячный размер взноса (рублей)</w:t>
            </w:r>
          </w:p>
        </w:tc>
        <w:tc>
          <w:tcPr>
            <w:tcW w:w="1133"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b/>
                <w:bCs/>
                <w:color w:val="000000"/>
                <w:vertAlign w:val="superscript"/>
              </w:rPr>
            </w:pPr>
            <w:r>
              <w:rPr>
                <w:b/>
                <w:bCs/>
                <w:color w:val="000000"/>
                <w:vertAlign w:val="superscript"/>
              </w:rPr>
              <w:t>Период просрочки (рублей)</w:t>
            </w:r>
          </w:p>
        </w:tc>
        <w:tc>
          <w:tcPr>
            <w:tcW w:w="2301"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b/>
                <w:bCs/>
                <w:color w:val="000000"/>
                <w:vertAlign w:val="superscript"/>
              </w:rPr>
            </w:pPr>
            <w:r>
              <w:rPr>
                <w:b/>
                <w:bCs/>
                <w:color w:val="000000"/>
                <w:vertAlign w:val="superscript"/>
              </w:rPr>
              <w:t>Общая сумма начислений за период 01.04.2022 - 30.04.2023</w:t>
            </w:r>
          </w:p>
          <w:p w:rsidR="00000000" w:rsidRDefault="00000000">
            <w:pPr>
              <w:widowControl w:val="0"/>
              <w:autoSpaceDE w:val="0"/>
              <w:autoSpaceDN w:val="0"/>
              <w:adjustRightInd w:val="0"/>
              <w:jc w:val="center"/>
              <w:rPr>
                <w:b/>
                <w:bCs/>
                <w:color w:val="000000"/>
                <w:vertAlign w:val="superscript"/>
              </w:rPr>
            </w:pPr>
            <w:r>
              <w:rPr>
                <w:b/>
                <w:bCs/>
                <w:color w:val="000000"/>
                <w:vertAlign w:val="superscript"/>
              </w:rPr>
              <w:t>(рублей)</w:t>
            </w:r>
          </w:p>
        </w:tc>
      </w:tr>
      <w:tr w:rsidR="00000000">
        <w:tblPrEx>
          <w:tblCellMar>
            <w:top w:w="0" w:type="dxa"/>
            <w:left w:w="0" w:type="dxa"/>
            <w:bottom w:w="0" w:type="dxa"/>
            <w:right w:w="0" w:type="dxa"/>
          </w:tblCellMar>
        </w:tblPrEx>
        <w:tc>
          <w:tcPr>
            <w:tcW w:w="1530"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63.30</w:t>
            </w:r>
          </w:p>
        </w:tc>
        <w:tc>
          <w:tcPr>
            <w:tcW w:w="215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В панельном исполнении с лифтом</w:t>
            </w:r>
          </w:p>
        </w:tc>
        <w:tc>
          <w:tcPr>
            <w:tcW w:w="181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15.15</w:t>
            </w:r>
          </w:p>
        </w:tc>
        <w:tc>
          <w:tcPr>
            <w:tcW w:w="181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959.00</w:t>
            </w:r>
          </w:p>
        </w:tc>
        <w:tc>
          <w:tcPr>
            <w:tcW w:w="1133"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9</w:t>
            </w:r>
          </w:p>
        </w:tc>
        <w:tc>
          <w:tcPr>
            <w:tcW w:w="2301"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8630.96</w:t>
            </w:r>
          </w:p>
        </w:tc>
      </w:tr>
      <w:tr w:rsidR="00000000">
        <w:tblPrEx>
          <w:tblCellMar>
            <w:top w:w="0" w:type="dxa"/>
            <w:left w:w="0" w:type="dxa"/>
            <w:bottom w:w="0" w:type="dxa"/>
            <w:right w:w="0" w:type="dxa"/>
          </w:tblCellMar>
        </w:tblPrEx>
        <w:tc>
          <w:tcPr>
            <w:tcW w:w="1530"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63.30</w:t>
            </w:r>
          </w:p>
        </w:tc>
        <w:tc>
          <w:tcPr>
            <w:tcW w:w="215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В панельном исполнении с лифтом</w:t>
            </w:r>
          </w:p>
        </w:tc>
        <w:tc>
          <w:tcPr>
            <w:tcW w:w="181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17.10</w:t>
            </w:r>
          </w:p>
        </w:tc>
        <w:tc>
          <w:tcPr>
            <w:tcW w:w="1814"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1082.43</w:t>
            </w:r>
          </w:p>
        </w:tc>
        <w:tc>
          <w:tcPr>
            <w:tcW w:w="1133"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4</w:t>
            </w:r>
          </w:p>
        </w:tc>
        <w:tc>
          <w:tcPr>
            <w:tcW w:w="2301"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4329.72</w:t>
            </w:r>
          </w:p>
        </w:tc>
      </w:tr>
      <w:tr w:rsidR="00000000">
        <w:tblPrEx>
          <w:tblCellMar>
            <w:top w:w="0" w:type="dxa"/>
            <w:left w:w="0" w:type="dxa"/>
            <w:bottom w:w="0" w:type="dxa"/>
            <w:right w:w="0" w:type="dxa"/>
          </w:tblCellMar>
        </w:tblPrEx>
        <w:tc>
          <w:tcPr>
            <w:tcW w:w="8445" w:type="dxa"/>
            <w:gridSpan w:val="5"/>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right"/>
              <w:rPr>
                <w:color w:val="000000"/>
              </w:rPr>
            </w:pPr>
            <w:r>
              <w:rPr>
                <w:color w:val="000000"/>
              </w:rPr>
              <w:t>Общая сумма начислений за период 01.04.2022 - 30.04.2023</w:t>
            </w:r>
          </w:p>
        </w:tc>
        <w:tc>
          <w:tcPr>
            <w:tcW w:w="2301"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12960.68</w:t>
            </w:r>
          </w:p>
        </w:tc>
      </w:tr>
      <w:tr w:rsidR="00000000">
        <w:tblPrEx>
          <w:tblCellMar>
            <w:top w:w="0" w:type="dxa"/>
            <w:left w:w="0" w:type="dxa"/>
            <w:bottom w:w="0" w:type="dxa"/>
            <w:right w:w="0" w:type="dxa"/>
          </w:tblCellMar>
        </w:tblPrEx>
        <w:tc>
          <w:tcPr>
            <w:tcW w:w="8445" w:type="dxa"/>
            <w:gridSpan w:val="5"/>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right"/>
              <w:rPr>
                <w:color w:val="000000"/>
              </w:rPr>
            </w:pPr>
            <w:r>
              <w:rPr>
                <w:color w:val="000000"/>
              </w:rPr>
              <w:t>Сумма задолженности за период 01.04.2022 - 30.04.2023</w:t>
            </w:r>
          </w:p>
        </w:tc>
        <w:tc>
          <w:tcPr>
            <w:tcW w:w="2301" w:type="dxa"/>
            <w:tcBorders>
              <w:top w:val="single" w:sz="8" w:space="0" w:color="000000"/>
              <w:left w:val="single" w:sz="8" w:space="0" w:color="000000"/>
              <w:bottom w:val="single" w:sz="8" w:space="0" w:color="000000"/>
              <w:right w:val="single" w:sz="8" w:space="0" w:color="000000"/>
            </w:tcBorders>
            <w:vAlign w:val="center"/>
          </w:tcPr>
          <w:p w:rsidR="00000000" w:rsidRDefault="00000000">
            <w:pPr>
              <w:widowControl w:val="0"/>
              <w:autoSpaceDE w:val="0"/>
              <w:autoSpaceDN w:val="0"/>
              <w:adjustRightInd w:val="0"/>
              <w:jc w:val="center"/>
              <w:rPr>
                <w:color w:val="000000"/>
              </w:rPr>
            </w:pPr>
            <w:r>
              <w:rPr>
                <w:color w:val="000000"/>
              </w:rPr>
              <w:t>11 878,29</w:t>
            </w:r>
          </w:p>
        </w:tc>
      </w:tr>
    </w:tbl>
    <w:p w:rsidR="00000000" w:rsidRDefault="00000000">
      <w:pPr>
        <w:widowControl w:val="0"/>
        <w:autoSpaceDE w:val="0"/>
        <w:autoSpaceDN w:val="0"/>
        <w:adjustRightInd w:val="0"/>
        <w:spacing w:before="737"/>
        <w:jc w:val="both"/>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401"/>
        <w:gridCol w:w="7347"/>
      </w:tblGrid>
      <w:tr w:rsidR="00000000">
        <w:tblPrEx>
          <w:tblCellMar>
            <w:top w:w="0" w:type="dxa"/>
            <w:left w:w="0" w:type="dxa"/>
            <w:bottom w:w="0" w:type="dxa"/>
            <w:right w:w="0" w:type="dxa"/>
          </w:tblCellMar>
        </w:tblPrEx>
        <w:tc>
          <w:tcPr>
            <w:tcW w:w="3401" w:type="dxa"/>
            <w:tcBorders>
              <w:top w:val="nil"/>
              <w:left w:val="nil"/>
              <w:bottom w:val="nil"/>
              <w:right w:val="nil"/>
            </w:tcBorders>
          </w:tcPr>
          <w:p w:rsidR="00000000" w:rsidRDefault="00000000">
            <w:pPr>
              <w:widowControl w:val="0"/>
              <w:autoSpaceDE w:val="0"/>
              <w:autoSpaceDN w:val="0"/>
              <w:adjustRightInd w:val="0"/>
              <w:rPr>
                <w:color w:val="000000"/>
              </w:rPr>
            </w:pPr>
            <w:r>
              <w:rPr>
                <w:color w:val="000000"/>
              </w:rPr>
              <w:t>Представитель по доверенности</w:t>
            </w:r>
          </w:p>
        </w:tc>
        <w:tc>
          <w:tcPr>
            <w:tcW w:w="7347" w:type="dxa"/>
            <w:tcBorders>
              <w:top w:val="nil"/>
              <w:left w:val="nil"/>
              <w:bottom w:val="nil"/>
              <w:right w:val="nil"/>
            </w:tcBorders>
          </w:tcPr>
          <w:p w:rsidR="00000000" w:rsidRDefault="00000000">
            <w:pPr>
              <w:widowControl w:val="0"/>
              <w:autoSpaceDE w:val="0"/>
              <w:autoSpaceDN w:val="0"/>
              <w:adjustRightInd w:val="0"/>
              <w:jc w:val="right"/>
              <w:rPr>
                <w:color w:val="000000"/>
              </w:rPr>
            </w:pPr>
            <w:r>
              <w:rPr>
                <w:color w:val="000000"/>
              </w:rPr>
              <w:t>М. А. Карпова</w:t>
            </w:r>
          </w:p>
        </w:tc>
      </w:tr>
    </w:tbl>
    <w:p w:rsidR="00000000" w:rsidRDefault="00000000">
      <w:pPr>
        <w:widowControl w:val="0"/>
        <w:autoSpaceDE w:val="0"/>
        <w:autoSpaceDN w:val="0"/>
        <w:adjustRightInd w:val="0"/>
        <w:spacing w:before="5669"/>
        <w:jc w:val="both"/>
        <w:rPr>
          <w:color w:val="000000"/>
          <w:sz w:val="19"/>
          <w:szCs w:val="19"/>
        </w:rPr>
      </w:pPr>
      <w:r>
        <w:rPr>
          <w:color w:val="000000"/>
          <w:sz w:val="19"/>
          <w:szCs w:val="19"/>
        </w:rPr>
        <w:t>__________________________</w:t>
      </w:r>
    </w:p>
    <w:p w:rsidR="004826C4" w:rsidRDefault="00000000">
      <w:pPr>
        <w:widowControl w:val="0"/>
        <w:autoSpaceDE w:val="0"/>
        <w:autoSpaceDN w:val="0"/>
        <w:adjustRightInd w:val="0"/>
        <w:jc w:val="both"/>
        <w:rPr>
          <w:color w:val="000000"/>
          <w:sz w:val="19"/>
          <w:szCs w:val="19"/>
        </w:rPr>
      </w:pPr>
      <w:proofErr w:type="spellStart"/>
      <w:r>
        <w:rPr>
          <w:color w:val="000000"/>
          <w:sz w:val="16"/>
          <w:szCs w:val="16"/>
          <w:vertAlign w:val="superscript"/>
        </w:rPr>
        <w:t>i</w:t>
      </w:r>
      <w:r>
        <w:rPr>
          <w:color w:val="000000"/>
          <w:sz w:val="19"/>
          <w:szCs w:val="19"/>
        </w:rPr>
        <w:t>Приказы</w:t>
      </w:r>
      <w:proofErr w:type="spellEnd"/>
      <w:r>
        <w:rPr>
          <w:color w:val="000000"/>
          <w:sz w:val="19"/>
          <w:szCs w:val="19"/>
        </w:rPr>
        <w:t xml:space="preserve"> Департамента жилищно-коммунального комплекса и энергетики ХМАО - Югры от 11.04.2014 № 10-нп, от 08.12.2014 № 62-нп «Об установлении минимального размера взноса на капитальный ремонт общего имущества в многоквартирных домах на территории Ханты-Мансийского автономного округа - Югры на 2015 год и на плановый период 2016 и 2017 годов», от 30.12.2015 № 58-нп «Об установлении минимального размера взноса на капитальный ремонт общего имущества в многоквартирных домах на территории Ханты-Мансийского автономного округа - Югры на 2016 год и на плановый период 2017 и 2018 годов», от 19.10.2017 № 7-нп «Об установлении минимального размера взноса на капитальный ремонт общего имущества в многоквартирных домах на территории Ханты-Мансийского автономного округа - Югры на 2018 год и на плановый период 2019 и 2020 годов», от 28.10.2020г. №20-нп «Об установлении минимального размера взноса на капитальный ремонт общего имущества в многоквартирных домах на территории Ханты-Мансийского автономного округа - Югры на 2021 год и на плановый период 2022 и 2023 годов».</w:t>
      </w:r>
    </w:p>
    <w:sectPr w:rsidR="004826C4">
      <w:pgSz w:w="11905" w:h="16837"/>
      <w:pgMar w:top="566" w:right="566" w:bottom="566" w:left="5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0A"/>
    <w:rsid w:val="004826C4"/>
    <w:rsid w:val="009E6109"/>
    <w:rsid w:val="00CC4C46"/>
    <w:rsid w:val="00D13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E0AA551"/>
  <w14:defaultImageDpi w14:val="0"/>
  <w15:docId w15:val="{5150D46E-B7A0-1243-A44A-E649F41E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C46"/>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8139">
      <w:bodyDiv w:val="1"/>
      <w:marLeft w:val="0"/>
      <w:marRight w:val="0"/>
      <w:marTop w:val="0"/>
      <w:marBottom w:val="0"/>
      <w:divBdr>
        <w:top w:val="none" w:sz="0" w:space="0" w:color="auto"/>
        <w:left w:val="none" w:sz="0" w:space="0" w:color="auto"/>
        <w:bottom w:val="none" w:sz="0" w:space="0" w:color="auto"/>
        <w:right w:val="none" w:sz="0" w:space="0" w:color="auto"/>
      </w:divBdr>
    </w:div>
    <w:div w:id="13790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2039</Words>
  <Characters>11625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3</cp:revision>
  <dcterms:created xsi:type="dcterms:W3CDTF">2024-01-31T18:03:00Z</dcterms:created>
  <dcterms:modified xsi:type="dcterms:W3CDTF">2024-01-31T18:16:00Z</dcterms:modified>
</cp:coreProperties>
</file>