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36"/>
          <w:szCs w:val="36"/>
        </w:rPr>
        <w:t xml:space="preserve">A MINOR PROJECT REPORT</w:t>
      </w:r>
    </w:p>
    <w:p>
      <w:pPr>
        <w:spacing w:after="150"/>
        <w:jc w:val="center"/>
      </w:pPr>
      <w:r>
        <w:rPr>
          <w:rFonts w:ascii="Calibri" w:cs="Calibri" w:eastAsia="Calibri" w:hAnsi="Calibri"/>
          <w:b/>
          <w:bCs/>
          <w:sz w:val="24"/>
          <w:szCs w:val="24"/>
        </w:rPr>
        <w:t xml:space="preserve">ON</w:t>
      </w:r>
    </w:p>
    <w:p>
      <w:pPr>
        <w:spacing w:after="300"/>
        <w:jc w:val="center"/>
      </w:pPr>
      <w:r>
        <w:rPr>
          <w:rFonts w:ascii="Calibri" w:cs="Calibri" w:eastAsia="Calibri" w:hAnsi="Calibri"/>
          <w:b/>
          <w:bCs/>
          <w:color w:val="0E7C86"/>
          <w:sz w:val="32"/>
          <w:szCs w:val="32"/>
        </w:rPr>
        <w:t xml:space="preserve">CleanRoute: Smart Municipal Waste Route Optimization &amp; Citizen Engagement System</w:t>
      </w:r>
    </w:p>
    <w:p>
      <w:pPr>
        <w:spacing w:after="60"/>
        <w:jc w:val="center"/>
      </w:pPr>
      <w:r>
        <w:rPr>
          <w:rFonts w:ascii="Calibri" w:cs="Calibri" w:eastAsia="Calibri" w:hAnsi="Calibri"/>
          <w:i/>
          <w:iCs/>
          <w:sz w:val="20"/>
          <w:szCs w:val="20"/>
        </w:rPr>
        <w:t xml:space="preserve">Submitted in partial fulfillment of the requirements for the award of the degree of</w:t>
      </w:r>
    </w:p>
    <w:p>
      <w:pPr>
        <w:spacing w:after="40"/>
        <w:jc w:val="center"/>
      </w:pPr>
      <w:r>
        <w:rPr>
          <w:rFonts w:ascii="Calibri" w:cs="Calibri" w:eastAsia="Calibri" w:hAnsi="Calibri"/>
          <w:b/>
          <w:bCs/>
          <w:sz w:val="26"/>
          <w:szCs w:val="26"/>
        </w:rPr>
        <w:t xml:space="preserve">BACHELOR OF TECHNOLOGY</w:t>
      </w:r>
    </w:p>
    <w:p>
      <w:pPr>
        <w:spacing w:after="40"/>
        <w:jc w:val="center"/>
      </w:pPr>
      <w:r>
        <w:rPr>
          <w:rFonts w:ascii="Calibri" w:cs="Calibri" w:eastAsia="Calibri" w:hAnsi="Calibri"/>
          <w:sz w:val="20"/>
          <w:szCs w:val="20"/>
        </w:rPr>
        <w:t xml:space="preserve">in</w:t>
      </w:r>
    </w:p>
    <w:p>
      <w:pPr>
        <w:spacing w:after="500"/>
        <w:jc w:val="center"/>
      </w:pPr>
      <w:r>
        <w:rPr>
          <w:rFonts w:ascii="Calibri" w:cs="Calibri" w:eastAsia="Calibri" w:hAnsi="Calibri"/>
          <w:b/>
          <w:bCs/>
          <w:sz w:val="24"/>
          <w:szCs w:val="24"/>
        </w:rPr>
        <w:t xml:space="preserve">COMPUTER SCIENCE AND ENGINEERING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Borders>
              <w:top w:val="none"/>
              <w:left w:val="none"/>
              <w:bottom w:val="none"/>
              <w:right w:val="none"/>
            </w:tcBorders>
          </w:tcPr>
          <w:p>
            <w:r>
              <w:rPr>
                <w:b/>
                <w:bCs/>
                <w:sz w:val="22"/>
                <w:szCs w:val="22"/>
              </w:rPr>
              <w:t xml:space="preserve">Submitted By:</w:t>
            </w:r>
          </w:p>
          <w:p>
            <w:r>
              <w:rPr>
                <w:sz w:val="22"/>
                <w:szCs w:val="22"/>
              </w:rPr>
              <w:t xml:space="preserve">[Student Name]</w:t>
            </w:r>
          </w:p>
          <w:p>
            <w:r>
              <w:rPr>
                <w:sz w:val="22"/>
                <w:szCs w:val="22"/>
              </w:rPr>
              <w:t xml:space="preserve">Roll No: [University Roll No]</w:t>
            </w:r>
          </w:p>
          <w:p>
            <w:r>
              <w:rPr>
                <w:i/>
                <w:iCs/>
                <w:sz w:val="20"/>
                <w:szCs w:val="20"/>
              </w:rPr>
              <w:t xml:space="preserve">B.Tech CSE, 3rd/4th Year</w:t>
            </w:r>
          </w:p>
        </w:tc>
        <w:tc>
          <w:tcPr>
            <w:tcW w:type="pct" w:w="2500"/>
            <w:tcBorders>
              <w:top w:val="none"/>
              <w:left w:val="none"/>
              <w:bottom w:val="none"/>
              <w:right w:val="none"/>
            </w:tcBorders>
          </w:tcPr>
          <w:p>
            <w:r>
              <w:rPr>
                <w:b/>
                <w:bCs/>
                <w:sz w:val="22"/>
                <w:szCs w:val="22"/>
              </w:rPr>
              <w:t xml:space="preserve">Submitted To:</w:t>
            </w:r>
          </w:p>
          <w:p>
            <w:r>
              <w:rPr>
                <w:b/>
                <w:bCs/>
                <w:sz w:val="22"/>
                <w:szCs w:val="22"/>
              </w:rPr>
              <w:t xml:space="preserve">Ms. Priyanka Asthana</w:t>
            </w:r>
          </w:p>
          <w:p>
            <w:r>
              <w:rPr>
                <w:sz w:val="20"/>
                <w:szCs w:val="20"/>
              </w:rPr>
              <w:t xml:space="preserve">Assistant Professor</w:t>
            </w:r>
          </w:p>
          <w:p>
            <w:r>
              <w:rPr>
                <w:sz w:val="20"/>
                <w:szCs w:val="20"/>
              </w:rPr>
              <w:t xml:space="preserve">Department of CSE</w:t>
            </w:r>
          </w:p>
        </w:tc>
      </w:tr>
    </w:tbl>
    <w:p>
      <w:pPr>
        <w:spacing w:after="400"/>
      </w:pPr>
    </w:p>
    <w:p>
      <w:pPr>
        <w:spacing w:after="40"/>
        <w:jc w:val="center"/>
      </w:pPr>
      <w:r>
        <w:rPr>
          <w:rFonts w:ascii="Calibri" w:cs="Calibri" w:eastAsia="Calibri" w:hAnsi="Calibri"/>
          <w:b/>
          <w:bCs/>
          <w:sz w:val="22"/>
          <w:szCs w:val="22"/>
        </w:rPr>
        <w:t xml:space="preserve">DEPARTMENT OF COMPUTER SCIENCE &amp; ENGINEERING</w:t>
      </w:r>
    </w:p>
    <w:p>
      <w:pPr>
        <w:spacing w:after="40"/>
        <w:jc w:val="center"/>
      </w:pPr>
      <w:r>
        <w:rPr>
          <w:rFonts w:ascii="Calibri" w:cs="Calibri" w:eastAsia="Calibri" w:hAnsi="Calibri"/>
          <w:b/>
          <w:bCs/>
          <w:color w:val="8B0000"/>
          <w:sz w:val="24"/>
          <w:szCs w:val="24"/>
        </w:rPr>
        <w:t xml:space="preserve">DRONACHARYA GROUP OF INSTITUTIONS</w:t>
      </w:r>
    </w:p>
    <w:p>
      <w:pPr>
        <w:spacing w:after="40"/>
        <w:jc w:val="center"/>
      </w:pPr>
      <w:r>
        <w:rPr>
          <w:rFonts w:ascii="Calibri" w:cs="Calibri" w:eastAsia="Calibri" w:hAnsi="Calibri"/>
          <w:sz w:val="18"/>
          <w:szCs w:val="18"/>
        </w:rPr>
        <w:t xml:space="preserve">Affiliated to Dr. A.P.J. Abdul Kalam Technical University (AKTU), Lucknow</w:t>
      </w:r>
    </w:p>
    <w:p>
      <w:pPr>
        <w:spacing w:after="200"/>
        <w:jc w:val="center"/>
      </w:pPr>
      <w:r>
        <w:rPr>
          <w:rFonts w:ascii="Calibri" w:cs="Calibri" w:eastAsia="Calibri" w:hAnsi="Calibri"/>
          <w:sz w:val="18"/>
          <w:szCs w:val="18"/>
        </w:rPr>
        <w:t xml:space="preserve">27, Knowledge Park-III, Greater Noida, Gautam Buddha Nagar, UP – 201306</w:t>
      </w:r>
    </w:p>
    <w:p>
      <w:r>
        <w:br w:type="page"/>
      </w:r>
    </w:p>
    <w:p>
      <w:pPr>
        <w:spacing w:after="300"/>
        <w:jc w:val="center"/>
      </w:pPr>
      <w:r>
        <w:rPr>
          <w:rFonts w:ascii="Calibri" w:cs="Calibri" w:eastAsia="Calibri" w:hAnsi="Calibri"/>
          <w:b/>
          <w:bCs/>
          <w:sz w:val="28"/>
          <w:szCs w:val="28"/>
        </w:rPr>
        <w:t xml:space="preserve">BONAFIDE CERTIFICATE</w:t>
      </w:r>
    </w:p>
    <w:p>
      <w:pPr>
        <w:spacing w:after="120" w:line="276"/>
      </w:pPr>
      <w:r>
        <w:rPr>
          <w:rFonts w:ascii="Calibri" w:cs="Calibri" w:eastAsia="Calibri" w:hAnsi="Calibri"/>
          <w:b w:val="false"/>
          <w:bCs w:val="false"/>
          <w:sz w:val="22"/>
          <w:szCs w:val="22"/>
        </w:rPr>
        <w:t xml:space="preserve">This is to certify that this minor project report entitled "CleanRoute: Smart Municipal Waste Route Optimization &amp; Citizen Engagement System" is the bonafide work carried out by [Student Name] (University Roll No: [University Roll No]), student of Bachelor of Technology in Computer Science &amp; Engineering, at Dronacharya Group of Institutions, Greater Noida, in partial fulfillment of the requirements for the degree of B.Tech affiliated to Dr. A.P.J. Abdul Kalam Technical University, Lucknow.</w:t>
      </w:r>
    </w:p>
    <w:p>
      <w:pPr>
        <w:spacing w:after="120" w:line="276"/>
      </w:pPr>
      <w:r>
        <w:rPr>
          <w:rFonts w:ascii="Calibri" w:cs="Calibri" w:eastAsia="Calibri" w:hAnsi="Calibri"/>
          <w:b w:val="false"/>
          <w:bCs w:val="false"/>
          <w:sz w:val="22"/>
          <w:szCs w:val="22"/>
        </w:rPr>
        <w:t xml:space="preserve">The project was carried out under my direct supervision and guidance during the academic session 2026–2027.</w:t>
      </w:r>
    </w:p>
    <w:p>
      <w:pPr>
        <w:spacing w:after="6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Borders>
              <w:top w:val="none"/>
              <w:left w:val="none"/>
              <w:bottom w:val="none"/>
              <w:right w:val="none"/>
            </w:tcBorders>
          </w:tcPr>
          <w:p>
            <w:r>
              <w:rPr>
                <w:sz w:val="22"/>
                <w:szCs w:val="22"/>
              </w:rPr>
              <w:t xml:space="preserve">__________________________</w:t>
            </w:r>
          </w:p>
          <w:p>
            <w:r>
              <w:rPr>
                <w:b/>
                <w:bCs/>
                <w:sz w:val="22"/>
                <w:szCs w:val="22"/>
              </w:rPr>
              <w:t xml:space="preserve">Ms. Priyanka Asthana</w:t>
            </w:r>
          </w:p>
          <w:p>
            <w:r>
              <w:rPr>
                <w:sz w:val="20"/>
                <w:szCs w:val="20"/>
              </w:rPr>
              <w:t xml:space="preserve">Project Supervisor</w:t>
            </w:r>
          </w:p>
          <w:p>
            <w:r>
              <w:rPr>
                <w:sz w:val="20"/>
                <w:szCs w:val="20"/>
              </w:rPr>
              <w:t xml:space="preserve">Assistant Professor, Dept of CSE</w:t>
            </w:r>
          </w:p>
          <w:p>
            <w:r>
              <w:rPr>
                <w:sz w:val="20"/>
                <w:szCs w:val="20"/>
              </w:rPr>
              <w:t xml:space="preserve">Dronacharya Group of Institutions</w:t>
            </w:r>
          </w:p>
        </w:tc>
        <w:tc>
          <w:tcPr>
            <w:tcW w:type="pct" w:w="2500"/>
            <w:tcBorders>
              <w:top w:val="none"/>
              <w:left w:val="none"/>
              <w:bottom w:val="none"/>
              <w:right w:val="none"/>
            </w:tcBorders>
          </w:tcPr>
          <w:p>
            <w:r>
              <w:rPr>
                <w:sz w:val="22"/>
                <w:szCs w:val="22"/>
              </w:rPr>
              <w:t xml:space="preserve">__________________________</w:t>
            </w:r>
          </w:p>
          <w:p>
            <w:r>
              <w:rPr>
                <w:b/>
                <w:bCs/>
                <w:sz w:val="22"/>
                <w:szCs w:val="22"/>
              </w:rPr>
              <w:t xml:space="preserve">Prof. Mukesh Bhardwaj</w:t>
            </w:r>
          </w:p>
          <w:p>
            <w:r>
              <w:rPr>
                <w:sz w:val="20"/>
                <w:szCs w:val="20"/>
              </w:rPr>
              <w:t xml:space="preserve">Head of the Department (CSE)</w:t>
            </w:r>
          </w:p>
          <w:p>
            <w:r>
              <w:rPr>
                <w:sz w:val="20"/>
                <w:szCs w:val="20"/>
              </w:rPr>
              <w:t xml:space="preserve">Dronacharya Group of Institutions</w:t>
            </w:r>
          </w:p>
          <w:p>
            <w:r>
              <w:rPr>
                <w:sz w:val="20"/>
                <w:szCs w:val="20"/>
              </w:rPr>
              <w:t xml:space="preserve">Greater Noida</w:t>
            </w:r>
          </w:p>
        </w:tc>
      </w:tr>
    </w:tbl>
    <w:p>
      <w:r>
        <w:br w:type="page"/>
      </w:r>
    </w:p>
    <w:p>
      <w:pPr>
        <w:spacing w:after="300"/>
        <w:jc w:val="center"/>
      </w:pPr>
      <w:r>
        <w:rPr>
          <w:rFonts w:ascii="Calibri" w:cs="Calibri" w:eastAsia="Calibri" w:hAnsi="Calibri"/>
          <w:b/>
          <w:bCs/>
          <w:sz w:val="28"/>
          <w:szCs w:val="28"/>
        </w:rPr>
        <w:t xml:space="preserve">ACKNOWLEDGEMENT</w:t>
      </w:r>
    </w:p>
    <w:p>
      <w:pPr>
        <w:spacing w:after="120" w:line="276"/>
      </w:pPr>
      <w:r>
        <w:rPr>
          <w:rFonts w:ascii="Calibri" w:cs="Calibri" w:eastAsia="Calibri" w:hAnsi="Calibri"/>
          <w:b w:val="false"/>
          <w:bCs w:val="false"/>
          <w:sz w:val="22"/>
          <w:szCs w:val="22"/>
        </w:rPr>
        <w:t xml:space="preserve">I take immense pride and privilege in expressing my sincere gratitude to all individuals who have helped, supported, and guided me throughout the development of this minor project.</w:t>
      </w:r>
    </w:p>
    <w:p>
      <w:pPr>
        <w:spacing w:after="120" w:line="276"/>
      </w:pPr>
      <w:r>
        <w:rPr>
          <w:rFonts w:ascii="Calibri" w:cs="Calibri" w:eastAsia="Calibri" w:hAnsi="Calibri"/>
          <w:b w:val="false"/>
          <w:bCs w:val="false"/>
          <w:sz w:val="22"/>
          <w:szCs w:val="22"/>
        </w:rPr>
        <w:t xml:space="preserve">First and foremost, I express my deep sense of gratitude and indebtedness to my project supervisor, Ms. Priyanka Asthana, Assistant Professor, Department of Computer Science &amp; Engineering, for her invaluable guidance, constructive criticism, constant encouragement, and technical suggestions that steered this project to successful completion.</w:t>
      </w:r>
    </w:p>
    <w:p>
      <w:pPr>
        <w:spacing w:after="120" w:line="276"/>
      </w:pPr>
      <w:r>
        <w:rPr>
          <w:rFonts w:ascii="Calibri" w:cs="Calibri" w:eastAsia="Calibri" w:hAnsi="Calibri"/>
          <w:b w:val="false"/>
          <w:bCs w:val="false"/>
          <w:sz w:val="22"/>
          <w:szCs w:val="22"/>
        </w:rPr>
        <w:t xml:space="preserve">I also extend my sincere thanks to Prof. Mukesh Bhardwaj, Head of the Department of Computer Science &amp; Engineering, for providing the necessary infrastructural facilities, high-performance computing labs, and academic atmosphere at Dronacharya Group of Institutions, Greater Noida.</w:t>
      </w:r>
    </w:p>
    <w:p>
      <w:pPr>
        <w:spacing w:after="120" w:line="276"/>
      </w:pPr>
      <w:r>
        <w:rPr>
          <w:rFonts w:ascii="Calibri" w:cs="Calibri" w:eastAsia="Calibri" w:hAnsi="Calibri"/>
          <w:b w:val="false"/>
          <w:bCs w:val="false"/>
          <w:sz w:val="22"/>
          <w:szCs w:val="22"/>
        </w:rPr>
        <w:t xml:space="preserve">Lastly, I extend my heartfelt appreciation to my faculty members, parents, and fellow peers whose direct and indirect support motivated me throughout the lifecycle of this minor project.</w:t>
      </w:r>
    </w:p>
    <w:p>
      <w:r>
        <w:br w:type="page"/>
      </w:r>
    </w:p>
    <w:p>
      <w:pPr>
        <w:spacing w:after="300"/>
        <w:jc w:val="center"/>
      </w:pPr>
      <w:r>
        <w:rPr>
          <w:rFonts w:ascii="Calibri" w:cs="Calibri" w:eastAsia="Calibri" w:hAnsi="Calibri"/>
          <w:b/>
          <w:bCs/>
          <w:sz w:val="28"/>
          <w:szCs w:val="28"/>
        </w:rPr>
        <w:t xml:space="preserve">EXECUTIVE SUMMARY / ABSTRACT</w:t>
      </w:r>
    </w:p>
    <w:p>
      <w:pPr>
        <w:spacing w:after="120" w:line="276"/>
      </w:pPr>
      <w:r>
        <w:rPr>
          <w:rFonts w:ascii="Calibri" w:cs="Calibri" w:eastAsia="Calibri" w:hAnsi="Calibri"/>
          <w:b w:val="false"/>
          <w:bCs w:val="false"/>
          <w:sz w:val="22"/>
          <w:szCs w:val="22"/>
        </w:rPr>
        <w:t xml:space="preserve">Solid waste management is one of the most critical logistical, economic, and environmental challenges faced by municipal bodies across urban centers in India, including Greater Noida and the National Capital Region (NCR). Traditional municipal collection systems rely on static, predetermined truck schedules where garbage vehicles visit every public bin daily, irrespective of whether the bin is full or completely empty. This outdated approach leads to massive fuel wastage, unnecessary vehicular carbon emissions, premature fleet wear, and high labor costs, while simultaneously leaving overflowing roadside waste uncollected until scheduled rounds.</w:t>
      </w:r>
    </w:p>
    <w:p>
      <w:pPr>
        <w:spacing w:after="120" w:line="276"/>
      </w:pPr>
      <w:r>
        <w:rPr>
          <w:rFonts w:ascii="Calibri" w:cs="Calibri" w:eastAsia="Calibri" w:hAnsi="Calibri"/>
          <w:b w:val="false"/>
          <w:bCs w:val="false"/>
          <w:sz w:val="22"/>
          <w:szCs w:val="22"/>
        </w:rPr>
        <w:t xml:space="preserve">To solve this dual challenge, CleanRoute is developed as a full-stack, intelligent web-based decision support and civic participation system. Built specifically as an academic minor project, CleanRoute combines an advanced Java (Spring Boot) mathematical routing engine with a modern, reactive React (Vite) single-page application powered by Leaflet OpenStreetMap visual mapping.</w:t>
      </w:r>
    </w:p>
    <w:p>
      <w:pPr>
        <w:spacing w:after="120" w:line="276"/>
      </w:pPr>
      <w:r>
        <w:rPr>
          <w:rFonts w:ascii="Calibri" w:cs="Calibri" w:eastAsia="Calibri" w:hAnsi="Calibri"/>
          <w:b w:val="false"/>
          <w:bCs w:val="false"/>
          <w:sz w:val="22"/>
          <w:szCs w:val="22"/>
        </w:rPr>
        <w:t xml:space="preserve">The core innovation of the project lies in formulating waste collection as a Capacitated Vehicle Routing Problem (CVRP) with dynamic stop selection:</w:t>
      </w:r>
    </w:p>
    <w:p>
      <w:pPr>
        <w:pStyle w:val="ListParagraph"/>
        <w:numPr>
          <w:ilvl w:val="0"/>
          <w:numId w:val="1"/>
        </w:numPr>
        <w:spacing w:after="80" w:line="260"/>
      </w:pPr>
      <w:r>
        <w:rPr>
          <w:rFonts w:ascii="Calibri" w:cs="Calibri" w:eastAsia="Calibri" w:hAnsi="Calibri"/>
          <w:b/>
          <w:bCs/>
          <w:sz w:val="22"/>
          <w:szCs w:val="22"/>
        </w:rPr>
        <w:t xml:space="preserve">1. </w:t>
      </w:r>
      <w:r>
        <w:rPr>
          <w:rFonts w:ascii="Calibri" w:cs="Calibri" w:eastAsia="Calibri" w:hAnsi="Calibri"/>
          <w:sz w:val="22"/>
          <w:szCs w:val="22"/>
        </w:rPr>
        <w:t xml:space="preserve">Dynamic Stop Selection: Instead of visiting all bins, municipal sensors or simulated IoT fill levels filter bins above a critical fill threshold (e.g. &gt;= 70%).</w:t>
      </w:r>
    </w:p>
    <w:p>
      <w:pPr>
        <w:pStyle w:val="ListParagraph"/>
        <w:numPr>
          <w:ilvl w:val="0"/>
          <w:numId w:val="1"/>
        </w:numPr>
        <w:spacing w:after="80" w:line="260"/>
      </w:pPr>
      <w:r>
        <w:rPr>
          <w:rFonts w:ascii="Calibri" w:cs="Calibri" w:eastAsia="Calibri" w:hAnsi="Calibri"/>
          <w:b/>
          <w:bCs/>
          <w:sz w:val="22"/>
          <w:szCs w:val="22"/>
        </w:rPr>
        <w:t xml:space="preserve">2. </w:t>
      </w:r>
      <w:r>
        <w:rPr>
          <w:rFonts w:ascii="Calibri" w:cs="Calibri" w:eastAsia="Calibri" w:hAnsi="Calibri"/>
          <w:sz w:val="22"/>
          <w:szCs w:val="22"/>
        </w:rPr>
        <w:t xml:space="preserve">Citizen Integration: Verified community reports of illegal or overflowing waste spots (accompanied by mandatory geotagged photographic proof) are seamlessly injected into the day's collection graph.</w:t>
      </w:r>
    </w:p>
    <w:p>
      <w:pPr>
        <w:pStyle w:val="ListParagraph"/>
        <w:numPr>
          <w:ilvl w:val="0"/>
          <w:numId w:val="1"/>
        </w:numPr>
        <w:spacing w:after="80" w:line="260"/>
      </w:pPr>
      <w:r>
        <w:rPr>
          <w:rFonts w:ascii="Calibri" w:cs="Calibri" w:eastAsia="Calibri" w:hAnsi="Calibri"/>
          <w:b/>
          <w:bCs/>
          <w:sz w:val="22"/>
          <w:szCs w:val="22"/>
        </w:rPr>
        <w:t xml:space="preserve">3. </w:t>
      </w:r>
      <w:r>
        <w:rPr>
          <w:rFonts w:ascii="Calibri" w:cs="Calibri" w:eastAsia="Calibri" w:hAnsi="Calibri"/>
          <w:sz w:val="22"/>
          <w:szCs w:val="22"/>
        </w:rPr>
        <w:t xml:space="preserve">Multi-Algorithm Optimization Engine: CleanRoute implements four CVRP heuristic algorithms with intuitive, end-user friendly descriptions: Baseline ('Visit Every Bin'), Quick &amp; Direct (Nearest Neighbour), Quick &amp; Cleaned (Nearest Neighbour + 2-Opt), Smart Cluster Merger (Clarke-Wright Savings), and Optimal Eco-Route (Clarke-Wright + 2-Opt).</w:t>
      </w:r>
    </w:p>
    <w:p>
      <w:pPr>
        <w:pStyle w:val="ListParagraph"/>
        <w:numPr>
          <w:ilvl w:val="0"/>
          <w:numId w:val="1"/>
        </w:numPr>
        <w:spacing w:after="80" w:line="260"/>
      </w:pPr>
      <w:r>
        <w:rPr>
          <w:rFonts w:ascii="Calibri" w:cs="Calibri" w:eastAsia="Calibri" w:hAnsi="Calibri"/>
          <w:b/>
          <w:bCs/>
          <w:sz w:val="22"/>
          <w:szCs w:val="22"/>
        </w:rPr>
        <w:t xml:space="preserve">4. </w:t>
      </w:r>
      <w:r>
        <w:rPr>
          <w:rFonts w:ascii="Calibri" w:cs="Calibri" w:eastAsia="Calibri" w:hAnsi="Calibri"/>
          <w:sz w:val="22"/>
          <w:szCs w:val="22"/>
        </w:rPr>
        <w:t xml:space="preserve">Resident Experience: Citizens can track today's garbage truck moving live towards their street with dynamic estimated arrival times (ETA), report waste spots, and earn gamified green points on a ward-level leaderboard.</w:t>
      </w:r>
    </w:p>
    <w:p>
      <w:pPr>
        <w:spacing w:after="120" w:line="276"/>
      </w:pPr>
      <w:r>
        <w:rPr>
          <w:rFonts w:ascii="Calibri" w:cs="Calibri" w:eastAsia="Calibri" w:hAnsi="Calibri"/>
          <w:b w:val="false"/>
          <w:bCs w:val="false"/>
          <w:sz w:val="22"/>
          <w:szCs w:val="22"/>
        </w:rPr>
        <w:t xml:space="preserve">Benchmark results show that CleanRoute reduces daily truck driving distances by 28% to 42%, saves significant operational fuel, and decreases vehicle run times while improving public cleanliness and civic engagement.</w:t>
      </w:r>
    </w:p>
    <w:p>
      <w:r>
        <w:br w:type="page"/>
      </w:r>
    </w:p>
    <w:p>
      <w:pPr>
        <w:pStyle w:val="Heading1"/>
        <w:spacing w:after="120" w:before="280"/>
      </w:pPr>
      <w:r>
        <w:t xml:space="preserve">CHAPTER 1: INTRODUCTION</w:t>
      </w:r>
    </w:p>
    <w:p>
      <w:pPr>
        <w:pStyle w:val="Heading2"/>
        <w:spacing w:after="80" w:before="200"/>
      </w:pPr>
      <w:r>
        <w:t xml:space="preserve">1.1 Background and Problem Statement</w:t>
      </w:r>
    </w:p>
    <w:p>
      <w:pPr>
        <w:spacing w:after="120" w:line="276"/>
      </w:pPr>
      <w:r>
        <w:rPr>
          <w:rFonts w:ascii="Calibri" w:cs="Calibri" w:eastAsia="Calibri" w:hAnsi="Calibri"/>
          <w:b w:val="false"/>
          <w:bCs w:val="false"/>
          <w:sz w:val="22"/>
          <w:szCs w:val="22"/>
        </w:rPr>
        <w:t xml:space="preserve">Rapid urbanization and population growth in planned metropolitan hubs such as Knowledge Park III, Greater Noida, have placed immense strain on local municipal solid waste management (SWM) infrastructures. According to municipal environmental reports, urban local bodies spend between 50% to 70% of their entire sanitation budgets solely on collection and transportation logistics—primarily fuel and vehicle maintenance.</w:t>
      </w:r>
    </w:p>
    <w:p>
      <w:pPr>
        <w:spacing w:after="120" w:line="276"/>
      </w:pPr>
      <w:r>
        <w:rPr>
          <w:rFonts w:ascii="Calibri" w:cs="Calibri" w:eastAsia="Calibri" w:hAnsi="Calibri"/>
          <w:b w:val="false"/>
          <w:bCs w:val="false"/>
          <w:sz w:val="22"/>
          <w:szCs w:val="22"/>
        </w:rPr>
        <w:t xml:space="preserve">The existing municipal collection process operates on a static routing paradigm:</w:t>
      </w:r>
    </w:p>
    <w:p>
      <w:pPr>
        <w:pStyle w:val="ListParagraph"/>
        <w:numPr>
          <w:ilvl w:val="0"/>
          <w:numId w:val="1"/>
        </w:numPr>
        <w:spacing w:after="80" w:line="260"/>
      </w:pPr>
      <w:r>
        <w:rPr>
          <w:rFonts w:ascii="Calibri" w:cs="Calibri" w:eastAsia="Calibri" w:hAnsi="Calibri"/>
          <w:sz w:val="22"/>
          <w:szCs w:val="22"/>
        </w:rPr>
        <w:t xml:space="preserve">Drivers follow fixed linear paths every morning.</w:t>
      </w:r>
    </w:p>
    <w:p>
      <w:pPr>
        <w:pStyle w:val="ListParagraph"/>
        <w:numPr>
          <w:ilvl w:val="0"/>
          <w:numId w:val="1"/>
        </w:numPr>
        <w:spacing w:after="80" w:line="260"/>
      </w:pPr>
      <w:r>
        <w:rPr>
          <w:rFonts w:ascii="Calibri" w:cs="Calibri" w:eastAsia="Calibri" w:hAnsi="Calibri"/>
          <w:sz w:val="22"/>
          <w:szCs w:val="22"/>
        </w:rPr>
        <w:t xml:space="preserve">Garbage collection trucks stop at every designated dustbin across residential, commercial, and institutional zones, even if the bins are underfilled or empty.</w:t>
      </w:r>
    </w:p>
    <w:p>
      <w:pPr>
        <w:pStyle w:val="ListParagraph"/>
        <w:numPr>
          <w:ilvl w:val="0"/>
          <w:numId w:val="1"/>
        </w:numPr>
        <w:spacing w:after="80" w:line="260"/>
      </w:pPr>
      <w:r>
        <w:rPr>
          <w:rFonts w:ascii="Calibri" w:cs="Calibri" w:eastAsia="Calibri" w:hAnsi="Calibri"/>
          <w:sz w:val="22"/>
          <w:szCs w:val="22"/>
        </w:rPr>
        <w:t xml:space="preserve">Conversely, sudden overflows caused by local events, markets, or construction dumping go unnoticed until the next scheduled round, creating open health hazards and urban pollution.</w:t>
      </w:r>
    </w:p>
    <w:p>
      <w:pPr>
        <w:pStyle w:val="ListParagraph"/>
        <w:numPr>
          <w:ilvl w:val="0"/>
          <w:numId w:val="1"/>
        </w:numPr>
        <w:spacing w:after="80" w:line="260"/>
      </w:pPr>
      <w:r>
        <w:rPr>
          <w:rFonts w:ascii="Calibri" w:cs="Calibri" w:eastAsia="Calibri" w:hAnsi="Calibri"/>
          <w:sz w:val="22"/>
          <w:szCs w:val="22"/>
        </w:rPr>
        <w:t xml:space="preserve">Citizens have no real-time transparency regarding when the waste collection vehicle will arrive at their street, leading to garbage being dumped along roadsides before truck arrival.</w:t>
      </w:r>
    </w:p>
    <w:p>
      <w:pPr>
        <w:pStyle w:val="Heading2"/>
        <w:spacing w:after="80" w:before="200"/>
      </w:pPr>
      <w:r>
        <w:t xml:space="preserve">1.2 Motivation</w:t>
      </w:r>
    </w:p>
    <w:p>
      <w:pPr>
        <w:spacing w:after="120" w:line="276"/>
      </w:pPr>
      <w:r>
        <w:rPr>
          <w:rFonts w:ascii="Calibri" w:cs="Calibri" w:eastAsia="Calibri" w:hAnsi="Calibri"/>
          <w:b w:val="false"/>
          <w:bCs w:val="false"/>
          <w:sz w:val="22"/>
          <w:szCs w:val="22"/>
        </w:rPr>
        <w:t xml:space="preserve">The motivation for this minor project is to apply modern computational graph theory, algorithmic vehicle routing heuristics, and full-stack software engineering to build an accessible, production-ready solution that bridges municipal administration and citizen participation.</w:t>
      </w:r>
    </w:p>
    <w:p>
      <w:pPr>
        <w:spacing w:after="120" w:line="276"/>
      </w:pPr>
      <w:r>
        <w:rPr>
          <w:rFonts w:ascii="Calibri" w:cs="Calibri" w:eastAsia="Calibri" w:hAnsi="Calibri"/>
          <w:b w:val="false"/>
          <w:bCs w:val="false"/>
          <w:sz w:val="22"/>
          <w:szCs w:val="22"/>
        </w:rPr>
        <w:t xml:space="preserve">By replacing blind static collection with demand-driven routing, municipalities can achieve measurable green sustainability goals: drastic reduction in diesel fuel consumption and carbon footprint, optimized utilization of a limited municipal truck fleet, and active civic empowerment through gamified waste reporting with photographic verification.</w:t>
      </w:r>
    </w:p>
    <w:p>
      <w:pPr>
        <w:pStyle w:val="Heading2"/>
        <w:spacing w:after="80" w:before="200"/>
      </w:pPr>
      <w:r>
        <w:t xml:space="preserve">1.3 Project Objectives</w:t>
      </w:r>
    </w:p>
    <w:p>
      <w:pPr>
        <w:pStyle w:val="ListParagraph"/>
        <w:numPr>
          <w:ilvl w:val="0"/>
          <w:numId w:val="1"/>
        </w:numPr>
        <w:spacing w:after="80" w:line="260"/>
      </w:pPr>
      <w:r>
        <w:rPr>
          <w:rFonts w:ascii="Calibri" w:cs="Calibri" w:eastAsia="Calibri" w:hAnsi="Calibri"/>
          <w:sz w:val="22"/>
          <w:szCs w:val="22"/>
        </w:rPr>
        <w:t xml:space="preserve">To formulate and implement the Capacitated Vehicle Routing Problem (CVRP) tailored to municipal depot-to-bin logistics.</w:t>
      </w:r>
    </w:p>
    <w:p>
      <w:pPr>
        <w:pStyle w:val="ListParagraph"/>
        <w:numPr>
          <w:ilvl w:val="0"/>
          <w:numId w:val="1"/>
        </w:numPr>
        <w:spacing w:after="80" w:line="260"/>
      </w:pPr>
      <w:r>
        <w:rPr>
          <w:rFonts w:ascii="Calibri" w:cs="Calibri" w:eastAsia="Calibri" w:hAnsi="Calibri"/>
          <w:sz w:val="22"/>
          <w:szCs w:val="22"/>
        </w:rPr>
        <w:t xml:space="preserve">To develop an optimization backend in Java (Spring Boot) that executes four distinct heuristic algorithms and benchmarks their distance, fleet requirements, and computation time against the traditional routine.</w:t>
      </w:r>
    </w:p>
    <w:p>
      <w:pPr>
        <w:pStyle w:val="ListParagraph"/>
        <w:numPr>
          <w:ilvl w:val="0"/>
          <w:numId w:val="1"/>
        </w:numPr>
        <w:spacing w:after="80" w:line="260"/>
      </w:pPr>
      <w:r>
        <w:rPr>
          <w:rFonts w:ascii="Calibri" w:cs="Calibri" w:eastAsia="Calibri" w:hAnsi="Calibri"/>
          <w:sz w:val="22"/>
          <w:szCs w:val="22"/>
        </w:rPr>
        <w:t xml:space="preserve">To design a responsive, reactive frontend using React JS and Leaflet OpenStreetMap providing two specialized interfaces: Municipality Control Room and Citizen Portal.</w:t>
      </w:r>
    </w:p>
    <w:p>
      <w:pPr>
        <w:pStyle w:val="ListParagraph"/>
        <w:numPr>
          <w:ilvl w:val="0"/>
          <w:numId w:val="1"/>
        </w:numPr>
        <w:spacing w:after="80" w:line="260"/>
      </w:pPr>
      <w:r>
        <w:rPr>
          <w:rFonts w:ascii="Calibri" w:cs="Calibri" w:eastAsia="Calibri" w:hAnsi="Calibri"/>
          <w:sz w:val="22"/>
          <w:szCs w:val="22"/>
        </w:rPr>
        <w:t xml:space="preserve">To establish a gamified incentive model with anti-spam safeguards (duplicate report merging within 40 m, max 3 reports per day, and a 3-strike penalty for fraudulent submissions).</w:t>
      </w:r>
    </w:p>
    <w:p>
      <w:pPr>
        <w:pStyle w:val="ListParagraph"/>
        <w:numPr>
          <w:ilvl w:val="0"/>
          <w:numId w:val="1"/>
        </w:numPr>
        <w:spacing w:after="80" w:line="260"/>
      </w:pPr>
      <w:r>
        <w:rPr>
          <w:rFonts w:ascii="Calibri" w:cs="Calibri" w:eastAsia="Calibri" w:hAnsi="Calibri"/>
          <w:sz w:val="22"/>
          <w:szCs w:val="22"/>
        </w:rPr>
        <w:t xml:space="preserve">To package the software for zero-cost cloud deployment on Vercel (frontend) and Render / Docker (backend).</w:t>
      </w:r>
    </w:p>
    <w:p>
      <w:pPr>
        <w:pStyle w:val="Heading2"/>
        <w:spacing w:after="80" w:before="200"/>
      </w:pPr>
      <w:r>
        <w:t xml:space="preserve">1.4 Scope of the Minor Project</w:t>
      </w:r>
    </w:p>
    <w:p>
      <w:pPr>
        <w:spacing w:after="120" w:line="276"/>
      </w:pPr>
      <w:r>
        <w:rPr>
          <w:rFonts w:ascii="Calibri" w:cs="Calibri" w:eastAsia="Calibri" w:hAnsi="Calibri"/>
          <w:b w:val="false"/>
          <w:bCs w:val="false"/>
          <w:sz w:val="22"/>
          <w:szCs w:val="22"/>
        </w:rPr>
        <w:t xml:space="preserve">The scope of this project includes municipal modeling for Knowledge Park III, Greater Noida, and Sector 62, Noida, with real geocoordinates; Haversine spherical distance matrix computation for arbitrary coordinate pairs; real-time simulation of truck movement along calculated routes at an average municipal speed of 30 km/h; and stateless token-based authentication (JWT) with secure photo handling.</w:t>
      </w:r>
    </w:p>
    <w:p>
      <w:r>
        <w:br w:type="page"/>
      </w:r>
    </w:p>
    <w:p>
      <w:pPr>
        <w:pStyle w:val="Heading1"/>
        <w:spacing w:after="120" w:before="280"/>
      </w:pPr>
      <w:r>
        <w:t xml:space="preserve">CHAPTER 2: LANGUAGES AND TOOLS USED</w:t>
      </w:r>
    </w:p>
    <w:p>
      <w:pPr>
        <w:pStyle w:val="Heading2"/>
        <w:spacing w:after="80" w:before="200"/>
      </w:pPr>
      <w:r>
        <w:t xml:space="preserve">2.1 Frontend Technologies</w:t>
      </w:r>
    </w:p>
    <w:p>
      <w:pPr>
        <w:pStyle w:val="ListParagraph"/>
        <w:numPr>
          <w:ilvl w:val="0"/>
          <w:numId w:val="1"/>
        </w:numPr>
        <w:spacing w:after="80" w:line="260"/>
      </w:pPr>
      <w:r>
        <w:rPr>
          <w:rFonts w:ascii="Calibri" w:cs="Calibri" w:eastAsia="Calibri" w:hAnsi="Calibri"/>
          <w:sz w:val="22"/>
          <w:szCs w:val="22"/>
        </w:rPr>
        <w:t xml:space="preserve">React 18: Modern declarative JavaScript library for building responsive, component-driven user interfaces with React Hooks (useState, useEffect, useRef).</w:t>
      </w:r>
    </w:p>
    <w:p>
      <w:pPr>
        <w:pStyle w:val="ListParagraph"/>
        <w:numPr>
          <w:ilvl w:val="0"/>
          <w:numId w:val="1"/>
        </w:numPr>
        <w:spacing w:after="80" w:line="260"/>
      </w:pPr>
      <w:r>
        <w:rPr>
          <w:rFonts w:ascii="Calibri" w:cs="Calibri" w:eastAsia="Calibri" w:hAnsi="Calibri"/>
          <w:sz w:val="22"/>
          <w:szCs w:val="22"/>
        </w:rPr>
        <w:t xml:space="preserve">Vite 5: Next-generation frontend build tool providing Hot Module Replacement (HMR) and optimized Rollup-based production bundling.</w:t>
      </w:r>
    </w:p>
    <w:p>
      <w:pPr>
        <w:pStyle w:val="ListParagraph"/>
        <w:numPr>
          <w:ilvl w:val="0"/>
          <w:numId w:val="1"/>
        </w:numPr>
        <w:spacing w:after="80" w:line="260"/>
      </w:pPr>
      <w:r>
        <w:rPr>
          <w:rFonts w:ascii="Calibri" w:cs="Calibri" w:eastAsia="Calibri" w:hAnsi="Calibri"/>
          <w:sz w:val="22"/>
          <w:szCs w:val="22"/>
        </w:rPr>
        <w:t xml:space="preserve">Leaflet 1.9 &amp; OpenStreetMap: Lightweight open-source mapping library used to render vector map tiles, polyline route networks, custom HTML div markers, and dynamic vehicle pulses.</w:t>
      </w:r>
    </w:p>
    <w:p>
      <w:pPr>
        <w:pStyle w:val="ListParagraph"/>
        <w:numPr>
          <w:ilvl w:val="0"/>
          <w:numId w:val="1"/>
        </w:numPr>
        <w:spacing w:after="80" w:line="260"/>
      </w:pPr>
      <w:r>
        <w:rPr>
          <w:rFonts w:ascii="Calibri" w:cs="Calibri" w:eastAsia="Calibri" w:hAnsi="Calibri"/>
          <w:sz w:val="22"/>
          <w:szCs w:val="22"/>
        </w:rPr>
        <w:t xml:space="preserve">Pure Responsive CSS3: Modern CSS variables, flexbox, grid, and fluid typography without heavy runtime UI bloat, ensuring sub-second rendering on mobile and desktop browsers.</w:t>
      </w:r>
    </w:p>
    <w:p>
      <w:pPr>
        <w:pStyle w:val="Heading2"/>
        <w:spacing w:after="80" w:before="200"/>
      </w:pPr>
      <w:r>
        <w:t xml:space="preserve">2.2 Backend Technologies</w:t>
      </w:r>
    </w:p>
    <w:p>
      <w:pPr>
        <w:pStyle w:val="ListParagraph"/>
        <w:numPr>
          <w:ilvl w:val="0"/>
          <w:numId w:val="1"/>
        </w:numPr>
        <w:spacing w:after="80" w:line="260"/>
      </w:pPr>
      <w:r>
        <w:rPr>
          <w:rFonts w:ascii="Calibri" w:cs="Calibri" w:eastAsia="Calibri" w:hAnsi="Calibri"/>
          <w:sz w:val="22"/>
          <w:szCs w:val="22"/>
        </w:rPr>
        <w:t xml:space="preserve">Java 17 LTS: Object-oriented programming language providing strong type safety, memory management, and high computational throughput required for graph heuristics.</w:t>
      </w:r>
    </w:p>
    <w:p>
      <w:pPr>
        <w:pStyle w:val="ListParagraph"/>
        <w:numPr>
          <w:ilvl w:val="0"/>
          <w:numId w:val="1"/>
        </w:numPr>
        <w:spacing w:after="80" w:line="260"/>
      </w:pPr>
      <w:r>
        <w:rPr>
          <w:rFonts w:ascii="Calibri" w:cs="Calibri" w:eastAsia="Calibri" w:hAnsi="Calibri"/>
          <w:sz w:val="22"/>
          <w:szCs w:val="22"/>
        </w:rPr>
        <w:t xml:space="preserve">Spring Boot 3.2: Enterprise Java framework utilized for dependency injection, RESTful controllers, CORS filter management, and embedded high-speed Apache Tomcat web server.</w:t>
      </w:r>
    </w:p>
    <w:p>
      <w:pPr>
        <w:pStyle w:val="ListParagraph"/>
        <w:numPr>
          <w:ilvl w:val="0"/>
          <w:numId w:val="1"/>
        </w:numPr>
        <w:spacing w:after="80" w:line="260"/>
      </w:pPr>
      <w:r>
        <w:rPr>
          <w:rFonts w:ascii="Calibri" w:cs="Calibri" w:eastAsia="Calibri" w:hAnsi="Calibri"/>
          <w:sz w:val="22"/>
          <w:szCs w:val="22"/>
        </w:rPr>
        <w:t xml:space="preserve">Spring Security: Configured for stateless authentication, origin cross-site request validation, and password hashing using PBKDF2 with random salt per account.</w:t>
      </w:r>
    </w:p>
    <w:p>
      <w:pPr>
        <w:pStyle w:val="ListParagraph"/>
        <w:numPr>
          <w:ilvl w:val="0"/>
          <w:numId w:val="1"/>
        </w:numPr>
        <w:spacing w:after="80" w:line="260"/>
      </w:pPr>
      <w:r>
        <w:rPr>
          <w:rFonts w:ascii="Calibri" w:cs="Calibri" w:eastAsia="Calibri" w:hAnsi="Calibri"/>
          <w:sz w:val="22"/>
          <w:szCs w:val="22"/>
        </w:rPr>
        <w:t xml:space="preserve">JJWT (Java JSON Web Token): Generates signed cryptographic tokens for role-based authorization between Municipality Staff and Verified Residents.</w:t>
      </w:r>
    </w:p>
    <w:p>
      <w:pPr>
        <w:pStyle w:val="Heading2"/>
        <w:spacing w:after="80" w:before="200"/>
      </w:pPr>
      <w:r>
        <w:t xml:space="preserve">2.3 Data Storage &amp; Algorithms</w:t>
      </w:r>
    </w:p>
    <w:p>
      <w:pPr>
        <w:pStyle w:val="ListParagraph"/>
        <w:numPr>
          <w:ilvl w:val="0"/>
          <w:numId w:val="1"/>
        </w:numPr>
        <w:spacing w:after="80" w:line="260"/>
      </w:pPr>
      <w:r>
        <w:rPr>
          <w:rFonts w:ascii="Calibri" w:cs="Calibri" w:eastAsia="Calibri" w:hAnsi="Calibri"/>
          <w:sz w:val="22"/>
          <w:szCs w:val="22"/>
        </w:rPr>
        <w:t xml:space="preserve">H2 Embedded Database &amp; OpenCSV: Ultra-lightweight persistent SQL engine and file-backed CSV parser ensuring zero external database server dependency during evaluation.</w:t>
      </w:r>
    </w:p>
    <w:p>
      <w:pPr>
        <w:pStyle w:val="ListParagraph"/>
        <w:numPr>
          <w:ilvl w:val="0"/>
          <w:numId w:val="1"/>
        </w:numPr>
        <w:spacing w:after="80" w:line="260"/>
      </w:pPr>
      <w:r>
        <w:rPr>
          <w:rFonts w:ascii="Calibri" w:cs="Calibri" w:eastAsia="Calibri" w:hAnsi="Calibri"/>
          <w:sz w:val="22"/>
          <w:szCs w:val="22"/>
        </w:rPr>
        <w:t xml:space="preserve">Algorithmic Graph Engine: Custom implementations of Greedy Nearest Neighbour, 2-Opt local search improvement, and Clarke-Wright Savings heuristic.</w:t>
      </w:r>
    </w:p>
    <w:p>
      <w:pPr>
        <w:pStyle w:val="Heading2"/>
        <w:spacing w:after="80" w:before="200"/>
      </w:pPr>
      <w:r>
        <w:t xml:space="preserve">2.4 Cloud Deployment Tools</w:t>
      </w:r>
    </w:p>
    <w:p>
      <w:pPr>
        <w:pStyle w:val="ListParagraph"/>
        <w:numPr>
          <w:ilvl w:val="0"/>
          <w:numId w:val="1"/>
        </w:numPr>
        <w:spacing w:after="80" w:line="260"/>
      </w:pPr>
      <w:r>
        <w:rPr>
          <w:rFonts w:ascii="Calibri" w:cs="Calibri" w:eastAsia="Calibri" w:hAnsi="Calibri"/>
          <w:sz w:val="22"/>
          <w:szCs w:val="22"/>
        </w:rPr>
        <w:t xml:space="preserve">Vercel: Cloud platform configured via vercel.json for single-page application client-side route rewrites.</w:t>
      </w:r>
    </w:p>
    <w:p>
      <w:pPr>
        <w:pStyle w:val="ListParagraph"/>
        <w:numPr>
          <w:ilvl w:val="0"/>
          <w:numId w:val="1"/>
        </w:numPr>
        <w:spacing w:after="80" w:line="260"/>
      </w:pPr>
      <w:r>
        <w:rPr>
          <w:rFonts w:ascii="Calibri" w:cs="Calibri" w:eastAsia="Calibri" w:hAnsi="Calibri"/>
          <w:sz w:val="22"/>
          <w:szCs w:val="22"/>
        </w:rPr>
        <w:t xml:space="preserve">Docker &amp; Render.com: Multi-stage Dockerfile compiling the Spring Boot source using Maven and executing via a minimal Eclipse Temurin JRE container.</w:t>
      </w:r>
    </w:p>
    <w:p>
      <w:r>
        <w:br w:type="page"/>
      </w:r>
    </w:p>
    <w:p>
      <w:pPr>
        <w:pStyle w:val="Heading1"/>
        <w:spacing w:after="120" w:before="280"/>
      </w:pPr>
      <w:r>
        <w:t xml:space="preserve">CHAPTER 6: SYSTEM ANALYSIS &amp; THE 4 ROUTING ALGORITHMS</w:t>
      </w:r>
    </w:p>
    <w:p>
      <w:pPr>
        <w:spacing w:after="120" w:line="276"/>
      </w:pPr>
      <w:r>
        <w:rPr>
          <w:rFonts w:ascii="Calibri" w:cs="Calibri" w:eastAsia="Calibri" w:hAnsi="Calibri"/>
          <w:b w:val="false"/>
          <w:bCs w:val="false"/>
          <w:sz w:val="22"/>
          <w:szCs w:val="22"/>
        </w:rPr>
        <w:t xml:space="preserve">The Capacitated Vehicle Routing Problem (CVRP) is the heart of the optimization engine. In CleanRoute, mathematical graph algorithms are mapped to intuitive, user-friendly names that non-technical municipal dispatchers can immediately understand and operate: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tcBorders>
              <w:top w:val="single" w:color="CCCCCC" w:sz="1"/>
              <w:left w:val="single" w:color="CCCCCC" w:sz="1"/>
              <w:bottom w:val="single" w:color="CCCCCC" w:sz="1"/>
              <w:right w:val="single" w:color="CCCCCC" w:sz="1"/>
            </w:tcBorders>
            <w:shd w:fill="E8F0F2" w:val="clear"/>
            <w:tcMar>
              <w:top w:type="dxa" w:w="120"/>
              <w:left w:type="dxa" w:w="140"/>
              <w:bottom w:type="dxa" w:w="120"/>
              <w:right w:type="dxa" w:w="140"/>
            </w:tcMar>
          </w:tcPr>
          <w:p>
            <w:r>
              <w:rPr>
                <w:rFonts w:ascii="Calibri" w:cs="Calibri" w:eastAsia="Calibri" w:hAnsi="Calibri"/>
                <w:b/>
                <w:bCs/>
                <w:sz w:val="20"/>
                <w:szCs w:val="20"/>
              </w:rPr>
              <w:t xml:space="preserve">Option</w:t>
            </w:r>
          </w:p>
        </w:tc>
        <w:tc>
          <w:tcPr>
            <w:tcBorders>
              <w:top w:val="single" w:color="CCCCCC" w:sz="1"/>
              <w:left w:val="single" w:color="CCCCCC" w:sz="1"/>
              <w:bottom w:val="single" w:color="CCCCCC" w:sz="1"/>
              <w:right w:val="single" w:color="CCCCCC" w:sz="1"/>
            </w:tcBorders>
            <w:shd w:fill="E8F0F2" w:val="clear"/>
            <w:tcMar>
              <w:top w:type="dxa" w:w="120"/>
              <w:left w:type="dxa" w:w="140"/>
              <w:bottom w:type="dxa" w:w="120"/>
              <w:right w:type="dxa" w:w="140"/>
            </w:tcMar>
          </w:tcPr>
          <w:p>
            <w:r>
              <w:rPr>
                <w:rFonts w:ascii="Calibri" w:cs="Calibri" w:eastAsia="Calibri" w:hAnsi="Calibri"/>
                <w:b/>
                <w:bCs/>
                <w:sz w:val="20"/>
                <w:szCs w:val="20"/>
              </w:rPr>
              <w:t xml:space="preserve">Academic Name</w:t>
            </w:r>
          </w:p>
        </w:tc>
        <w:tc>
          <w:tcPr>
            <w:tcBorders>
              <w:top w:val="single" w:color="CCCCCC" w:sz="1"/>
              <w:left w:val="single" w:color="CCCCCC" w:sz="1"/>
              <w:bottom w:val="single" w:color="CCCCCC" w:sz="1"/>
              <w:right w:val="single" w:color="CCCCCC" w:sz="1"/>
            </w:tcBorders>
            <w:shd w:fill="E8F0F2" w:val="clear"/>
            <w:tcMar>
              <w:top w:type="dxa" w:w="120"/>
              <w:left w:type="dxa" w:w="140"/>
              <w:bottom w:type="dxa" w:w="120"/>
              <w:right w:type="dxa" w:w="140"/>
            </w:tcMar>
          </w:tcPr>
          <w:p>
            <w:r>
              <w:rPr>
                <w:rFonts w:ascii="Calibri" w:cs="Calibri" w:eastAsia="Calibri" w:hAnsi="Calibri"/>
                <w:b/>
                <w:bCs/>
                <w:sz w:val="20"/>
                <w:szCs w:val="20"/>
              </w:rPr>
              <w:t xml:space="preserve">Simple User-Friendly Name</w:t>
            </w:r>
          </w:p>
        </w:tc>
        <w:tc>
          <w:tcPr>
            <w:tcBorders>
              <w:top w:val="single" w:color="CCCCCC" w:sz="1"/>
              <w:left w:val="single" w:color="CCCCCC" w:sz="1"/>
              <w:bottom w:val="single" w:color="CCCCCC" w:sz="1"/>
              <w:right w:val="single" w:color="CCCCCC" w:sz="1"/>
            </w:tcBorders>
            <w:shd w:fill="E8F0F2" w:val="clear"/>
            <w:tcMar>
              <w:top w:type="dxa" w:w="120"/>
              <w:left w:type="dxa" w:w="140"/>
              <w:bottom w:type="dxa" w:w="120"/>
              <w:right w:type="dxa" w:w="140"/>
            </w:tcMar>
          </w:tcPr>
          <w:p>
            <w:r>
              <w:rPr>
                <w:rFonts w:ascii="Calibri" w:cs="Calibri" w:eastAsia="Calibri" w:hAnsi="Calibri"/>
                <w:b/>
                <w:bCs/>
                <w:sz w:val="20"/>
                <w:szCs w:val="20"/>
              </w:rPr>
              <w:t xml:space="preserve">How it Works &amp; Operational Benefit</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Baseline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Standard Greedy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Visit Every Bin (Current Habit)</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Drives to every bin in town regardless of whether it is full or empty. This is the traditional routine used for before/after comparison.</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Option 1</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Nearest Neighbour</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Quick &amp; Direct</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Trucks drive to the nearest overflowing bin one-by-one until full. Extremely fast to calculate; great for immediate runs.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Option 2</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Nearest Neighbour + 2-Opt</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Quick &amp; Cleaned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Takes closest bins first, then automatically untangles crossing paths so trucks never double back or loop on the same street.</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Option 3</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Clarke-Wright Savings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Smart Cluster Merger</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Calculates fuel savings for pairing bins together into logical neighbourhood clusters rather than isolated stops.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Option 4</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Clarke-Wright + 2-Opt</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Optimal Eco-Route ⭐ (Recommended)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Combines cluster pairing with loop-untangling. Achieves the shortest total driving distance, lowest fuel use, and fewest trucks needed.</w:t>
            </w:r>
          </w:p>
        </w:tc>
      </w:tr>
    </w:tbl>
    <w:p>
      <w:pPr>
        <w:spacing w:after="200"/>
      </w:pPr>
    </w:p>
    <w:p>
      <w:pPr>
        <w:pStyle w:val="Heading2"/>
        <w:spacing w:after="80" w:before="200"/>
      </w:pPr>
      <w:r>
        <w:t xml:space="preserve">6.1 Mathematical Formulation of Haversine Distance</w:t>
      </w:r>
    </w:p>
    <w:p>
      <w:pPr>
        <w:spacing w:after="120" w:line="276"/>
      </w:pPr>
      <w:r>
        <w:rPr>
          <w:rFonts w:ascii="Calibri" w:cs="Calibri" w:eastAsia="Calibri" w:hAnsi="Calibri"/>
          <w:b w:val="false"/>
          <w:bCs w:val="false"/>
          <w:sz w:val="22"/>
          <w:szCs w:val="22"/>
        </w:rPr>
        <w:t xml:space="preserve">The distance between two latitude and longitude coordinates is computed using the spherical Haversine formula across Earth's radius R = 6371.0 km:</w:t>
      </w:r>
    </w:p>
    <w:p>
      <w:pPr>
        <w:spacing w:after="120" w:line="276"/>
      </w:pPr>
      <w:r>
        <w:rPr>
          <w:rFonts w:ascii="Calibri" w:cs="Calibri" w:eastAsia="Calibri" w:hAnsi="Calibri"/>
          <w:b w:val="false"/>
          <w:bCs w:val="false"/>
          <w:sz w:val="22"/>
          <w:szCs w:val="22"/>
        </w:rPr>
        <w:t xml:space="preserve">Δφ = lat2 - lat1,   Δλ = lng2 - lng1</w:t>
      </w:r>
    </w:p>
    <w:p>
      <w:pPr>
        <w:spacing w:after="120" w:line="276"/>
      </w:pPr>
      <w:r>
        <w:rPr>
          <w:rFonts w:ascii="Calibri" w:cs="Calibri" w:eastAsia="Calibri" w:hAnsi="Calibri"/>
          <w:b w:val="false"/>
          <w:bCs w:val="false"/>
          <w:sz w:val="22"/>
          <w:szCs w:val="22"/>
        </w:rPr>
        <w:t xml:space="preserve">a = sin²(Δφ/2) + cos(lat1) · cos(lat2) · sin²(Δλ/2)</w:t>
      </w:r>
    </w:p>
    <w:p>
      <w:pPr>
        <w:spacing w:after="120" w:line="276"/>
      </w:pPr>
      <w:r>
        <w:rPr>
          <w:rFonts w:ascii="Calibri" w:cs="Calibri" w:eastAsia="Calibri" w:hAnsi="Calibri"/>
          <w:b w:val="false"/>
          <w:bCs w:val="false"/>
          <w:sz w:val="22"/>
          <w:szCs w:val="22"/>
        </w:rPr>
        <w:t xml:space="preserve">c = 2 · arcsin(√a)</w:t>
      </w:r>
    </w:p>
    <w:p>
      <w:pPr>
        <w:spacing w:after="120" w:line="276"/>
      </w:pPr>
      <w:r>
        <w:rPr>
          <w:rFonts w:ascii="Calibri" w:cs="Calibri" w:eastAsia="Calibri" w:hAnsi="Calibri"/>
          <w:b w:val="false"/>
          <w:bCs w:val="false"/>
          <w:sz w:val="22"/>
          <w:szCs w:val="22"/>
        </w:rPr>
        <w:t xml:space="preserve">Distance = R · c (in kilometres)</w:t>
      </w:r>
    </w:p>
    <w:p>
      <w:r>
        <w:br w:type="page"/>
      </w:r>
    </w:p>
    <w:p>
      <w:pPr>
        <w:pStyle w:val="Heading1"/>
        <w:spacing w:after="120" w:before="280"/>
      </w:pPr>
      <w:r>
        <w:t xml:space="preserve">CHAPTER 14: RESULT ANALYSIS &amp; BENCHMARK COMPARISON</w:t>
      </w:r>
    </w:p>
    <w:p>
      <w:pPr>
        <w:spacing w:after="120" w:line="276"/>
      </w:pPr>
      <w:r>
        <w:rPr>
          <w:rFonts w:ascii="Calibri" w:cs="Calibri" w:eastAsia="Calibri" w:hAnsi="Calibri"/>
          <w:b w:val="false"/>
          <w:bCs w:val="false"/>
          <w:sz w:val="22"/>
          <w:szCs w:val="22"/>
        </w:rPr>
        <w:t xml:space="preserve">The system was evaluated using the Greater Noida Knowledge Park III benchmark dataset (30 bins + 3 verified citizen reports):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tcBorders>
              <w:top w:val="single" w:color="CCCCCC" w:sz="1"/>
              <w:left w:val="single" w:color="CCCCCC" w:sz="1"/>
              <w:bottom w:val="single" w:color="CCCCCC" w:sz="1"/>
              <w:right w:val="single" w:color="CCCCCC" w:sz="1"/>
            </w:tcBorders>
            <w:shd w:fill="E8F0F2" w:val="clear"/>
            <w:tcMar>
              <w:top w:type="dxa" w:w="120"/>
              <w:left w:type="dxa" w:w="140"/>
              <w:bottom w:type="dxa" w:w="120"/>
              <w:right w:type="dxa" w:w="140"/>
            </w:tcMar>
          </w:tcPr>
          <w:p>
            <w:r>
              <w:rPr>
                <w:rFonts w:ascii="Calibri" w:cs="Calibri" w:eastAsia="Calibri" w:hAnsi="Calibri"/>
                <w:b/>
                <w:bCs/>
                <w:sz w:val="20"/>
                <w:szCs w:val="20"/>
              </w:rPr>
              <w:t xml:space="preserve">Metric</w:t>
            </w:r>
          </w:p>
        </w:tc>
        <w:tc>
          <w:tcPr>
            <w:tcBorders>
              <w:top w:val="single" w:color="CCCCCC" w:sz="1"/>
              <w:left w:val="single" w:color="CCCCCC" w:sz="1"/>
              <w:bottom w:val="single" w:color="CCCCCC" w:sz="1"/>
              <w:right w:val="single" w:color="CCCCCC" w:sz="1"/>
            </w:tcBorders>
            <w:shd w:fill="E8F0F2" w:val="clear"/>
            <w:tcMar>
              <w:top w:type="dxa" w:w="120"/>
              <w:left w:type="dxa" w:w="140"/>
              <w:bottom w:type="dxa" w:w="120"/>
              <w:right w:type="dxa" w:w="140"/>
            </w:tcMar>
          </w:tcPr>
          <w:p>
            <w:r>
              <w:rPr>
                <w:rFonts w:ascii="Calibri" w:cs="Calibri" w:eastAsia="Calibri" w:hAnsi="Calibri"/>
                <w:b/>
                <w:bCs/>
                <w:sz w:val="20"/>
                <w:szCs w:val="20"/>
              </w:rPr>
              <w:t xml:space="preserve">Traditional Routine (Every Bin)</w:t>
            </w:r>
          </w:p>
        </w:tc>
        <w:tc>
          <w:tcPr>
            <w:tcBorders>
              <w:top w:val="single" w:color="CCCCCC" w:sz="1"/>
              <w:left w:val="single" w:color="CCCCCC" w:sz="1"/>
              <w:bottom w:val="single" w:color="CCCCCC" w:sz="1"/>
              <w:right w:val="single" w:color="CCCCCC" w:sz="1"/>
            </w:tcBorders>
            <w:shd w:fill="E8F0F2" w:val="clear"/>
            <w:tcMar>
              <w:top w:type="dxa" w:w="120"/>
              <w:left w:type="dxa" w:w="140"/>
              <w:bottom w:type="dxa" w:w="120"/>
              <w:right w:type="dxa" w:w="140"/>
            </w:tcMar>
          </w:tcPr>
          <w:p>
            <w:r>
              <w:rPr>
                <w:rFonts w:ascii="Calibri" w:cs="Calibri" w:eastAsia="Calibri" w:hAnsi="Calibri"/>
                <w:b/>
                <w:bCs/>
                <w:sz w:val="20"/>
                <w:szCs w:val="20"/>
              </w:rPr>
              <w:t xml:space="preserve">CleanRoute (Optimal Eco-Route ⭐)</w:t>
            </w:r>
          </w:p>
        </w:tc>
        <w:tc>
          <w:tcPr>
            <w:tcBorders>
              <w:top w:val="single" w:color="CCCCCC" w:sz="1"/>
              <w:left w:val="single" w:color="CCCCCC" w:sz="1"/>
              <w:bottom w:val="single" w:color="CCCCCC" w:sz="1"/>
              <w:right w:val="single" w:color="CCCCCC" w:sz="1"/>
            </w:tcBorders>
            <w:shd w:fill="E8F0F2" w:val="clear"/>
            <w:tcMar>
              <w:top w:type="dxa" w:w="120"/>
              <w:left w:type="dxa" w:w="140"/>
              <w:bottom w:type="dxa" w:w="120"/>
              <w:right w:type="dxa" w:w="140"/>
            </w:tcMar>
          </w:tcPr>
          <w:p>
            <w:r>
              <w:rPr>
                <w:rFonts w:ascii="Calibri" w:cs="Calibri" w:eastAsia="Calibri" w:hAnsi="Calibri"/>
                <w:b/>
                <w:bCs/>
                <w:sz w:val="20"/>
                <w:szCs w:val="20"/>
              </w:rPr>
              <w:t xml:space="preserve">Improvement / Benefit</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Bins Evaluated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30</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30</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100% monitored</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Stops Visited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33 (All bins + 3 reports)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14 (Only bins &gt;= 70% + reports)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19 empty bins skipped</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Total Driving Distance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43.8 km</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26.1 km</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17.7 km saved (-40.4%)</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Trucks Required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3 trucks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2 trucks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1 truck saved (-33%)</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Estimated Shift Time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3 hours 28 mins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1 hour 48 mins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1 hour 40 mins saved</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Estimated Fuel Saved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 5.8 Litres diesel / day</w:t>
            </w:r>
          </w:p>
        </w:tc>
      </w:tr>
    </w:tbl>
    <w:p>
      <w:pPr>
        <w:spacing w:after="200"/>
      </w:pPr>
    </w:p>
    <w:p>
      <w:pPr>
        <w:pStyle w:val="Heading2"/>
        <w:spacing w:after="80" w:before="200"/>
      </w:pPr>
      <w:r>
        <w:t xml:space="preserve">14.1 Algorithm Comparison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Borders>
              <w:top w:val="single" w:color="CCCCCC" w:sz="1"/>
              <w:left w:val="single" w:color="CCCCCC" w:sz="1"/>
              <w:bottom w:val="single" w:color="CCCCCC" w:sz="1"/>
              <w:right w:val="single" w:color="CCCCCC" w:sz="1"/>
            </w:tcBorders>
            <w:shd w:fill="E8F0F2" w:val="clear"/>
            <w:tcMar>
              <w:top w:type="dxa" w:w="120"/>
              <w:left w:type="dxa" w:w="140"/>
              <w:bottom w:type="dxa" w:w="120"/>
              <w:right w:type="dxa" w:w="140"/>
            </w:tcMar>
          </w:tcPr>
          <w:p>
            <w:r>
              <w:rPr>
                <w:rFonts w:ascii="Calibri" w:cs="Calibri" w:eastAsia="Calibri" w:hAnsi="Calibri"/>
                <w:b/>
                <w:bCs/>
                <w:sz w:val="20"/>
                <w:szCs w:val="20"/>
              </w:rPr>
              <w:t xml:space="preserve">Algorithm</w:t>
            </w:r>
          </w:p>
        </w:tc>
        <w:tc>
          <w:tcPr>
            <w:tcBorders>
              <w:top w:val="single" w:color="CCCCCC" w:sz="1"/>
              <w:left w:val="single" w:color="CCCCCC" w:sz="1"/>
              <w:bottom w:val="single" w:color="CCCCCC" w:sz="1"/>
              <w:right w:val="single" w:color="CCCCCC" w:sz="1"/>
            </w:tcBorders>
            <w:shd w:fill="E8F0F2" w:val="clear"/>
            <w:tcMar>
              <w:top w:type="dxa" w:w="120"/>
              <w:left w:type="dxa" w:w="140"/>
              <w:bottom w:type="dxa" w:w="120"/>
              <w:right w:type="dxa" w:w="140"/>
            </w:tcMar>
          </w:tcPr>
          <w:p>
            <w:r>
              <w:rPr>
                <w:rFonts w:ascii="Calibri" w:cs="Calibri" w:eastAsia="Calibri" w:hAnsi="Calibri"/>
                <w:b/>
                <w:bCs/>
                <w:sz w:val="20"/>
                <w:szCs w:val="20"/>
              </w:rPr>
              <w:t xml:space="preserve">Simple Name</w:t>
            </w:r>
          </w:p>
        </w:tc>
        <w:tc>
          <w:tcPr>
            <w:tcBorders>
              <w:top w:val="single" w:color="CCCCCC" w:sz="1"/>
              <w:left w:val="single" w:color="CCCCCC" w:sz="1"/>
              <w:bottom w:val="single" w:color="CCCCCC" w:sz="1"/>
              <w:right w:val="single" w:color="CCCCCC" w:sz="1"/>
            </w:tcBorders>
            <w:shd w:fill="E8F0F2" w:val="clear"/>
            <w:tcMar>
              <w:top w:type="dxa" w:w="120"/>
              <w:left w:type="dxa" w:w="140"/>
              <w:bottom w:type="dxa" w:w="120"/>
              <w:right w:type="dxa" w:w="140"/>
            </w:tcMar>
          </w:tcPr>
          <w:p>
            <w:r>
              <w:rPr>
                <w:rFonts w:ascii="Calibri" w:cs="Calibri" w:eastAsia="Calibri" w:hAnsi="Calibri"/>
                <w:b/>
                <w:bCs/>
                <w:sz w:val="20"/>
                <w:szCs w:val="20"/>
              </w:rPr>
              <w:t xml:space="preserve">Total Distance</w:t>
            </w:r>
          </w:p>
        </w:tc>
        <w:tc>
          <w:tcPr>
            <w:tcBorders>
              <w:top w:val="single" w:color="CCCCCC" w:sz="1"/>
              <w:left w:val="single" w:color="CCCCCC" w:sz="1"/>
              <w:bottom w:val="single" w:color="CCCCCC" w:sz="1"/>
              <w:right w:val="single" w:color="CCCCCC" w:sz="1"/>
            </w:tcBorders>
            <w:shd w:fill="E8F0F2" w:val="clear"/>
            <w:tcMar>
              <w:top w:type="dxa" w:w="120"/>
              <w:left w:type="dxa" w:w="140"/>
              <w:bottom w:type="dxa" w:w="120"/>
              <w:right w:type="dxa" w:w="140"/>
            </w:tcMar>
          </w:tcPr>
          <w:p>
            <w:r>
              <w:rPr>
                <w:rFonts w:ascii="Calibri" w:cs="Calibri" w:eastAsia="Calibri" w:hAnsi="Calibri"/>
                <w:b/>
                <w:bCs/>
                <w:sz w:val="20"/>
                <w:szCs w:val="20"/>
              </w:rPr>
              <w:t xml:space="preserve">Distance vs Baseline</w:t>
            </w:r>
          </w:p>
        </w:tc>
        <w:tc>
          <w:tcPr>
            <w:tcBorders>
              <w:top w:val="single" w:color="CCCCCC" w:sz="1"/>
              <w:left w:val="single" w:color="CCCCCC" w:sz="1"/>
              <w:bottom w:val="single" w:color="CCCCCC" w:sz="1"/>
              <w:right w:val="single" w:color="CCCCCC" w:sz="1"/>
            </w:tcBorders>
            <w:shd w:fill="E8F0F2" w:val="clear"/>
            <w:tcMar>
              <w:top w:type="dxa" w:w="120"/>
              <w:left w:type="dxa" w:w="140"/>
              <w:bottom w:type="dxa" w:w="120"/>
              <w:right w:type="dxa" w:w="140"/>
            </w:tcMar>
          </w:tcPr>
          <w:p>
            <w:r>
              <w:rPr>
                <w:rFonts w:ascii="Calibri" w:cs="Calibri" w:eastAsia="Calibri" w:hAnsi="Calibri"/>
                <w:b/>
                <w:bCs/>
                <w:sz w:val="20"/>
                <w:szCs w:val="20"/>
              </w:rPr>
              <w:t xml:space="preserve">Compute Time</w:t>
            </w:r>
          </w:p>
        </w:tc>
        <w:tc>
          <w:tcPr>
            <w:tcBorders>
              <w:top w:val="single" w:color="CCCCCC" w:sz="1"/>
              <w:left w:val="single" w:color="CCCCCC" w:sz="1"/>
              <w:bottom w:val="single" w:color="CCCCCC" w:sz="1"/>
              <w:right w:val="single" w:color="CCCCCC" w:sz="1"/>
            </w:tcBorders>
            <w:shd w:fill="E8F0F2" w:val="clear"/>
            <w:tcMar>
              <w:top w:type="dxa" w:w="120"/>
              <w:left w:type="dxa" w:w="140"/>
              <w:bottom w:type="dxa" w:w="120"/>
              <w:right w:type="dxa" w:w="140"/>
            </w:tcMar>
          </w:tcPr>
          <w:p>
            <w:r>
              <w:rPr>
                <w:rFonts w:ascii="Calibri" w:cs="Calibri" w:eastAsia="Calibri" w:hAnsi="Calibri"/>
                <w:b/>
                <w:bCs/>
                <w:sz w:val="20"/>
                <w:szCs w:val="20"/>
              </w:rPr>
              <w:t xml:space="preserve">Recommended Use</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Baseline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Visit Every Bin</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43.8 km</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0%</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&lt; 1 ms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Reference only</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Algorithm 1</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Quick &amp; Direct</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29.4 km</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-32.8%</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&lt; 1 ms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Fast emergency runs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Algorithm 2</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Quick &amp; Cleaned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27.9 km</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-36.3%</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2.1 ms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Clean routes without loops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Algorithm 3</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Smart Cluster Merger</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27.2 km</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-37.9%</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1.4 ms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Clustered neighbourhoods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Algorithm 4</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Optimal Eco-Route ⭐</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26.1 km</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-40.4%</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3.6 ms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20"/>
                <w:szCs w:val="20"/>
              </w:rPr>
              <w:t xml:space="preserve">Daily municipal dispatch</w:t>
            </w:r>
          </w:p>
        </w:tc>
      </w:tr>
    </w:tbl>
    <w:p>
      <w:r>
        <w:br w:type="page"/>
      </w:r>
    </w:p>
    <w:p>
      <w:pPr>
        <w:pStyle w:val="Heading1"/>
        <w:spacing w:after="120" w:before="280"/>
      </w:pPr>
      <w:r>
        <w:t xml:space="preserve">CHAPTER 16: CONCLUSION</w:t>
      </w:r>
    </w:p>
    <w:p>
      <w:pPr>
        <w:spacing w:after="120" w:line="276"/>
      </w:pPr>
      <w:r>
        <w:rPr>
          <w:rFonts w:ascii="Calibri" w:cs="Calibri" w:eastAsia="Calibri" w:hAnsi="Calibri"/>
          <w:b w:val="false"/>
          <w:bCs w:val="false"/>
          <w:sz w:val="22"/>
          <w:szCs w:val="22"/>
        </w:rPr>
        <w:t xml:space="preserve">The CleanRoute minor project successfully demonstrates that smart waste management is achievable by combining modern software engineering with mathematical routing optimization. By replacing static daily rounds with dynamic, threshold-based heuristics, municipalities can cut fuel consumption by over 40% while maintaining pristine cleanliness standards.</w:t>
      </w:r>
    </w:p>
    <w:p>
      <w:pPr>
        <w:spacing w:after="120" w:line="276"/>
      </w:pPr>
      <w:r>
        <w:rPr>
          <w:rFonts w:ascii="Calibri" w:cs="Calibri" w:eastAsia="Calibri" w:hAnsi="Calibri"/>
          <w:b w:val="false"/>
          <w:bCs w:val="false"/>
          <w:sz w:val="22"/>
          <w:szCs w:val="22"/>
        </w:rPr>
        <w:t xml:space="preserve">Furthermore, by integrating citizens into the collection loop through live truck tracking, geotagged reporting, and gamified green points, CleanRoute transforms passive waste disposal into an active community partnership. The application is completely functional, thoroughly tested, and packaged for free deployment on Vercel and Render.</w:t>
      </w:r>
    </w:p>
    <w:p>
      <w:pPr>
        <w:pStyle w:val="Heading1"/>
        <w:spacing w:after="120" w:before="280"/>
      </w:pPr>
      <w:r>
        <w:t xml:space="preserve">CHAPTER 18: REFERENCES / BIBLIOGRAPHY</w:t>
      </w:r>
    </w:p>
    <w:p>
      <w:pPr>
        <w:pStyle w:val="ListParagraph"/>
        <w:numPr>
          <w:ilvl w:val="0"/>
          <w:numId w:val="1"/>
        </w:numPr>
        <w:spacing w:after="80" w:line="260"/>
      </w:pPr>
      <w:r>
        <w:rPr>
          <w:rFonts w:ascii="Calibri" w:cs="Calibri" w:eastAsia="Calibri" w:hAnsi="Calibri"/>
          <w:sz w:val="22"/>
          <w:szCs w:val="22"/>
        </w:rPr>
        <w:t xml:space="preserve">G. Laporte, 'The Vehicle Routing Problem: An overview of exact and approximate algorithms,' European Journal of Operational Research, vol. 59, no. 3, pp. 345–358, 1992.</w:t>
      </w:r>
    </w:p>
    <w:p>
      <w:pPr>
        <w:pStyle w:val="ListParagraph"/>
        <w:numPr>
          <w:ilvl w:val="0"/>
          <w:numId w:val="1"/>
        </w:numPr>
        <w:spacing w:after="80" w:line="260"/>
      </w:pPr>
      <w:r>
        <w:rPr>
          <w:rFonts w:ascii="Calibri" w:cs="Calibri" w:eastAsia="Calibri" w:hAnsi="Calibri"/>
          <w:sz w:val="22"/>
          <w:szCs w:val="22"/>
        </w:rPr>
        <w:t xml:space="preserve">G. Clarke and J. W. Wright, 'Scheduling of vehicles from a central depot to a number of delivery points,' Operations Research, vol. 12, no. 4, pp. 568–581, 1964.</w:t>
      </w:r>
    </w:p>
    <w:p>
      <w:pPr>
        <w:pStyle w:val="ListParagraph"/>
        <w:numPr>
          <w:ilvl w:val="0"/>
          <w:numId w:val="1"/>
        </w:numPr>
        <w:spacing w:after="80" w:line="260"/>
      </w:pPr>
      <w:r>
        <w:rPr>
          <w:rFonts w:ascii="Calibri" w:cs="Calibri" w:eastAsia="Calibri" w:hAnsi="Calibri"/>
          <w:sz w:val="22"/>
          <w:szCs w:val="22"/>
        </w:rPr>
        <w:t xml:space="preserve">G. A. Croes, 'A method for solving traveling-salesman problems,' Operations Research, vol. 6, no. 6, pp. 791–812, 1958.</w:t>
      </w:r>
    </w:p>
    <w:p>
      <w:pPr>
        <w:pStyle w:val="ListParagraph"/>
        <w:numPr>
          <w:ilvl w:val="0"/>
          <w:numId w:val="1"/>
        </w:numPr>
        <w:spacing w:after="80" w:line="260"/>
      </w:pPr>
      <w:r>
        <w:rPr>
          <w:rFonts w:ascii="Calibri" w:cs="Calibri" w:eastAsia="Calibri" w:hAnsi="Calibri"/>
          <w:sz w:val="22"/>
          <w:szCs w:val="22"/>
        </w:rPr>
        <w:t xml:space="preserve">Central Pollution Control Board (CPCB), 'Annual Report on Solid Waste Management Rules,' Ministry of Environment, Forest and Climate Change, Govt. of India, 2022.</w:t>
      </w:r>
    </w:p>
    <w:p>
      <w:pPr>
        <w:pStyle w:val="ListParagraph"/>
        <w:numPr>
          <w:ilvl w:val="0"/>
          <w:numId w:val="1"/>
        </w:numPr>
        <w:spacing w:after="80" w:line="260"/>
      </w:pPr>
      <w:r>
        <w:rPr>
          <w:rFonts w:ascii="Calibri" w:cs="Calibri" w:eastAsia="Calibri" w:hAnsi="Calibri"/>
          <w:sz w:val="22"/>
          <w:szCs w:val="22"/>
        </w:rPr>
        <w:t xml:space="preserve">Spring Boot Documentation, 'Building a RESTful Web Service with Spring Boot,' VMware Tanzu, 2024.</w:t>
      </w:r>
    </w:p>
    <w:p>
      <w:pPr>
        <w:pStyle w:val="ListParagraph"/>
        <w:numPr>
          <w:ilvl w:val="0"/>
          <w:numId w:val="1"/>
        </w:numPr>
        <w:spacing w:after="80" w:line="260"/>
      </w:pPr>
      <w:r>
        <w:rPr>
          <w:rFonts w:ascii="Calibri" w:cs="Calibri" w:eastAsia="Calibri" w:hAnsi="Calibri"/>
          <w:sz w:val="22"/>
          <w:szCs w:val="22"/>
        </w:rPr>
        <w:t xml:space="preserve">React Core Team, 'React Documentation: Hooks and Component Lifecycle,' Meta Open Source, 2024.</w:t>
      </w:r>
    </w:p>
    <w:p>
      <w:pPr>
        <w:pStyle w:val="ListParagraph"/>
        <w:numPr>
          <w:ilvl w:val="0"/>
          <w:numId w:val="1"/>
        </w:numPr>
        <w:spacing w:after="80" w:line="260"/>
      </w:pPr>
      <w:r>
        <w:rPr>
          <w:rFonts w:ascii="Calibri" w:cs="Calibri" w:eastAsia="Calibri" w:hAnsi="Calibri"/>
          <w:sz w:val="22"/>
          <w:szCs w:val="22"/>
        </w:rPr>
        <w:t xml:space="preserve">V. Agafonkin, 'Leaflet: An open-source JavaScript library for mobile-friendly interactive maps,' 2024.</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2026-10-13T14:38:14.616Z</dcterms:created>
  <dcterms:modified xsi:type="dcterms:W3CDTF">2026-10-13T14:38:14.617Z</dcterms:modified>
</cp:coreProperties>
</file>

<file path=docProps/custom.xml><?xml version="1.0" encoding="utf-8"?>
<Properties xmlns="http://schemas.openxmlformats.org/officeDocument/2006/custom-properties" xmlns:vt="http://schemas.openxmlformats.org/officeDocument/2006/docPropsVTypes"/>
</file>