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2AB05" w14:textId="363CB3CD" w:rsidR="00BA2A11" w:rsidRPr="003A5B9A" w:rsidRDefault="00BA2A11" w:rsidP="00F8583E">
      <w:pPr>
        <w:spacing w:after="120" w:line="240" w:lineRule="auto"/>
        <w:jc w:val="center"/>
        <w:rPr>
          <w:rFonts w:ascii="Arial" w:hAnsi="Arial" w:cs="Arial"/>
          <w:b/>
          <w:bCs/>
          <w:lang w:val="en-GB"/>
        </w:rPr>
      </w:pPr>
      <w:r w:rsidRPr="003A5B9A">
        <w:rPr>
          <w:rFonts w:ascii="Arial" w:hAnsi="Arial" w:cs="Arial"/>
          <w:b/>
          <w:bCs/>
          <w:lang w:val="en-GB"/>
        </w:rPr>
        <w:t xml:space="preserve">OIDC </w:t>
      </w:r>
      <w:r w:rsidR="003A5B9A" w:rsidRPr="003A5B9A">
        <w:rPr>
          <w:rFonts w:ascii="Arial" w:hAnsi="Arial" w:cs="Arial"/>
          <w:b/>
          <w:bCs/>
          <w:lang w:val="en-GB"/>
        </w:rPr>
        <w:t>c</w:t>
      </w:r>
      <w:r w:rsidRPr="003A5B9A">
        <w:rPr>
          <w:rFonts w:ascii="Arial" w:hAnsi="Arial" w:cs="Arial"/>
          <w:b/>
          <w:bCs/>
          <w:lang w:val="en-GB"/>
        </w:rPr>
        <w:t>ompatibility</w:t>
      </w:r>
      <w:r w:rsidR="003A5B9A" w:rsidRPr="003A5B9A">
        <w:rPr>
          <w:rFonts w:ascii="Arial" w:hAnsi="Arial" w:cs="Arial"/>
          <w:b/>
          <w:bCs/>
          <w:lang w:val="en-GB"/>
        </w:rPr>
        <w:t xml:space="preserve"> with </w:t>
      </w:r>
      <w:r w:rsidR="003A5B9A" w:rsidRPr="003A5B9A">
        <w:rPr>
          <w:rFonts w:ascii="Arial" w:hAnsi="Arial" w:cs="Arial"/>
          <w:b/>
          <w:bCs/>
          <w:lang w:val="en-GB"/>
        </w:rPr>
        <w:t xml:space="preserve">Cypress </w:t>
      </w:r>
      <w:r w:rsidR="003A5B9A" w:rsidRPr="003A5B9A">
        <w:rPr>
          <w:rFonts w:ascii="Arial" w:hAnsi="Arial" w:cs="Arial"/>
          <w:b/>
          <w:bCs/>
          <w:lang w:val="en-GB"/>
        </w:rPr>
        <w:t xml:space="preserve">and </w:t>
      </w:r>
      <w:r w:rsidR="00D2322C">
        <w:rPr>
          <w:rFonts w:ascii="Arial" w:hAnsi="Arial" w:cs="Arial"/>
          <w:b/>
          <w:bCs/>
          <w:lang w:val="en-GB"/>
        </w:rPr>
        <w:t xml:space="preserve">Serverless </w:t>
      </w:r>
      <w:r w:rsidR="003A5B9A" w:rsidRPr="003A5B9A">
        <w:rPr>
          <w:rFonts w:ascii="Arial" w:hAnsi="Arial" w:cs="Arial"/>
          <w:b/>
          <w:bCs/>
          <w:lang w:val="en-GB"/>
        </w:rPr>
        <w:t>DynamoDB</w:t>
      </w:r>
    </w:p>
    <w:p w14:paraId="096E1854" w14:textId="0EF7D371" w:rsidR="00B33E5B" w:rsidRPr="003A5B9A" w:rsidRDefault="00B33E5B" w:rsidP="00F8583E">
      <w:pPr>
        <w:spacing w:after="120" w:line="240" w:lineRule="auto"/>
        <w:rPr>
          <w:rFonts w:ascii="Arial" w:hAnsi="Arial" w:cs="Arial"/>
          <w:u w:val="single"/>
          <w:lang w:val="es-ES"/>
        </w:rPr>
      </w:pPr>
      <w:r w:rsidRPr="003A5B9A">
        <w:rPr>
          <w:rFonts w:ascii="Arial" w:hAnsi="Arial" w:cs="Arial"/>
          <w:lang w:val="es-ES"/>
        </w:rPr>
        <w:t>Demo:</w:t>
      </w:r>
      <w:r w:rsidRPr="003A5B9A">
        <w:rPr>
          <w:rFonts w:ascii="Arial" w:hAnsi="Arial" w:cs="Arial"/>
          <w:u w:val="single"/>
          <w:lang w:val="es-ES"/>
        </w:rPr>
        <w:t xml:space="preserve"> https://www.youtube.com/watch?v=t18YB3xDfXI</w:t>
      </w:r>
    </w:p>
    <w:p w14:paraId="2D8FE2E3" w14:textId="77777777" w:rsidR="004C6C16" w:rsidRPr="003A5B9A" w:rsidRDefault="004C6C16" w:rsidP="00F8583E">
      <w:pPr>
        <w:spacing w:after="120" w:line="240" w:lineRule="auto"/>
        <w:rPr>
          <w:rFonts w:ascii="Arial" w:hAnsi="Arial" w:cs="Arial"/>
          <w:sz w:val="8"/>
          <w:szCs w:val="8"/>
          <w:lang w:val="es-ES"/>
        </w:rPr>
      </w:pPr>
    </w:p>
    <w:p w14:paraId="5EB5EF97" w14:textId="40E4457A" w:rsidR="00BA2A11" w:rsidRPr="003A5B9A" w:rsidRDefault="00BA2A11" w:rsidP="00F8583E">
      <w:pPr>
        <w:spacing w:after="120" w:line="240" w:lineRule="auto"/>
        <w:rPr>
          <w:rFonts w:ascii="Arial" w:hAnsi="Arial" w:cs="Arial"/>
          <w:lang w:val="en-GB"/>
        </w:rPr>
      </w:pPr>
      <w:r w:rsidRPr="003A5B9A">
        <w:rPr>
          <w:rFonts w:ascii="Arial" w:hAnsi="Arial" w:cs="Arial"/>
          <w:lang w:val="en-GB"/>
        </w:rPr>
        <w:t>Today, I will be giving a short talk on the Open ID Connect protocol and how we can make Cypress compatible with it</w:t>
      </w:r>
      <w:r w:rsidR="003A5B9A" w:rsidRPr="003A5B9A">
        <w:rPr>
          <w:rFonts w:ascii="Arial" w:hAnsi="Arial" w:cs="Arial"/>
          <w:lang w:val="en-GB"/>
        </w:rPr>
        <w:t xml:space="preserve"> and DynamoDB</w:t>
      </w:r>
      <w:r w:rsidRPr="003A5B9A">
        <w:rPr>
          <w:rFonts w:ascii="Arial" w:hAnsi="Arial" w:cs="Arial"/>
          <w:lang w:val="en-GB"/>
        </w:rPr>
        <w:t xml:space="preserve"> in the AWS world</w:t>
      </w:r>
      <w:r w:rsidR="003A5B9A" w:rsidRPr="003A5B9A">
        <w:rPr>
          <w:rFonts w:ascii="Arial" w:hAnsi="Arial" w:cs="Arial"/>
          <w:lang w:val="en-GB"/>
        </w:rPr>
        <w:t>,</w:t>
      </w:r>
      <w:r w:rsidR="00D2306C" w:rsidRPr="003A5B9A">
        <w:rPr>
          <w:rFonts w:ascii="Arial" w:hAnsi="Arial" w:cs="Arial"/>
          <w:lang w:val="en-GB"/>
        </w:rPr>
        <w:t xml:space="preserve"> with additional configuration</w:t>
      </w:r>
    </w:p>
    <w:p w14:paraId="0D64C4E6" w14:textId="24ABF43E" w:rsidR="003A5B9A" w:rsidRDefault="006E4347" w:rsidP="00F8583E">
      <w:pPr>
        <w:spacing w:after="120" w:line="240" w:lineRule="auto"/>
        <w:rPr>
          <w:rFonts w:ascii="Arial" w:hAnsi="Arial" w:cs="Arial"/>
          <w:lang w:val="en-GB"/>
        </w:rPr>
      </w:pPr>
      <w:r w:rsidRPr="003A5B9A">
        <w:rPr>
          <w:rFonts w:ascii="Arial" w:hAnsi="Arial" w:cs="Arial"/>
          <w:lang w:val="en-GB"/>
        </w:rPr>
        <w:t>This will save you time, if you find yourself using Cypress with</w:t>
      </w:r>
      <w:r w:rsidR="003A5B9A" w:rsidRPr="003A5B9A">
        <w:rPr>
          <w:rFonts w:ascii="Arial" w:hAnsi="Arial" w:cs="Arial"/>
          <w:lang w:val="en-GB"/>
        </w:rPr>
        <w:t xml:space="preserve"> AWS DynamoDB, and</w:t>
      </w:r>
      <w:r w:rsidRPr="003A5B9A">
        <w:rPr>
          <w:rFonts w:ascii="Arial" w:hAnsi="Arial" w:cs="Arial"/>
          <w:lang w:val="en-GB"/>
        </w:rPr>
        <w:t xml:space="preserve"> OIDC in the future</w:t>
      </w:r>
    </w:p>
    <w:p w14:paraId="4583C8A3" w14:textId="1699C875" w:rsidR="00D2322C" w:rsidRPr="003A5B9A" w:rsidRDefault="00D2322C" w:rsidP="00D2322C">
      <w:pPr>
        <w:spacing w:after="12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</w:rPr>
        <w:t xml:space="preserve">If you have not come across DynamoDB before, </w:t>
      </w:r>
      <w:r w:rsidRPr="003A5B9A">
        <w:rPr>
          <w:rFonts w:ascii="Arial" w:hAnsi="Arial" w:cs="Arial"/>
        </w:rPr>
        <w:t>Amazon DynamoDB is a fully managed NoSQL (non-relational) database service. Fully managed means AWS handles the infrastructure, including server provisioning, patching, and backups</w:t>
      </w:r>
    </w:p>
    <w:p w14:paraId="5A377CCD" w14:textId="0BCC36B4" w:rsidR="00D2322C" w:rsidRPr="00D2322C" w:rsidRDefault="00D2322C" w:rsidP="00D2322C">
      <w:pPr>
        <w:pStyle w:val="ListParagraph"/>
        <w:numPr>
          <w:ilvl w:val="0"/>
          <w:numId w:val="1"/>
        </w:numPr>
        <w:spacing w:after="120" w:line="240" w:lineRule="auto"/>
        <w:rPr>
          <w:rFonts w:ascii="Arial" w:hAnsi="Arial" w:cs="Arial"/>
          <w:lang w:val="en-GB"/>
        </w:rPr>
      </w:pPr>
      <w:r w:rsidRPr="003A5B9A">
        <w:rPr>
          <w:rFonts w:ascii="Arial" w:hAnsi="Arial" w:cs="Arial"/>
        </w:rPr>
        <w:t>OAuth 2.0 is primarily an authorization protocol framework. It enables a third-party application to obtain limited access to a user's resources on another service without sharing the user's credentials</w:t>
      </w:r>
    </w:p>
    <w:p w14:paraId="26A13153" w14:textId="69CEC46F" w:rsidR="00D2322C" w:rsidRPr="00D2322C" w:rsidRDefault="00D2322C" w:rsidP="00D2322C">
      <w:pPr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 w:rsidRPr="003A5B9A">
        <w:rPr>
          <w:rFonts w:ascii="Arial" w:hAnsi="Arial" w:cs="Arial"/>
        </w:rPr>
        <w:t>OAuth 2.0 handles authorization (granting access)</w:t>
      </w:r>
    </w:p>
    <w:p w14:paraId="554C64BE" w14:textId="77777777" w:rsidR="00D2322C" w:rsidRPr="003A5B9A" w:rsidRDefault="00D2322C" w:rsidP="00D2322C">
      <w:pPr>
        <w:spacing w:after="120" w:line="240" w:lineRule="auto"/>
        <w:rPr>
          <w:rFonts w:ascii="Arial" w:hAnsi="Arial" w:cs="Arial"/>
        </w:rPr>
      </w:pPr>
      <w:r w:rsidRPr="003A5B9A">
        <w:rPr>
          <w:rFonts w:ascii="Arial" w:hAnsi="Arial" w:cs="Arial"/>
        </w:rPr>
        <w:t>In the context of APIs, particularly when discussing OAUTH2</w:t>
      </w:r>
    </w:p>
    <w:p w14:paraId="6EC1B8D8" w14:textId="77777777" w:rsidR="00D2322C" w:rsidRPr="003A5B9A" w:rsidRDefault="00D2322C" w:rsidP="00D2322C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3A5B9A">
        <w:rPr>
          <w:rFonts w:ascii="Arial" w:hAnsi="Arial" w:cs="Arial"/>
        </w:rPr>
        <w:t>Client ID = A public identifier for an application that’s used to tell the API server which application is making the request i.e. the username of the app</w:t>
      </w:r>
    </w:p>
    <w:p w14:paraId="18DD1EEC" w14:textId="77777777" w:rsidR="00D2322C" w:rsidRPr="003A5B9A" w:rsidRDefault="00D2322C" w:rsidP="00D2322C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3A5B9A">
        <w:rPr>
          <w:rFonts w:ascii="Arial" w:hAnsi="Arial" w:cs="Arial"/>
        </w:rPr>
        <w:t>Client Secret = A confidential key that only the application and the API server should know. It’s used to authorize the application, proving that its legitimate, and associated with the Client ID</w:t>
      </w:r>
    </w:p>
    <w:p w14:paraId="03EDCFE0" w14:textId="77777777" w:rsidR="00D2322C" w:rsidRPr="00D2322C" w:rsidRDefault="00D2322C" w:rsidP="00D2322C">
      <w:pPr>
        <w:spacing w:after="120" w:line="240" w:lineRule="auto"/>
        <w:rPr>
          <w:rFonts w:ascii="Arial" w:hAnsi="Arial" w:cs="Arial"/>
        </w:rPr>
      </w:pPr>
    </w:p>
    <w:p w14:paraId="1954A5F7" w14:textId="0F9B5BCD" w:rsidR="00D2322C" w:rsidRPr="003A5B9A" w:rsidRDefault="00D2322C" w:rsidP="00D2322C">
      <w:pPr>
        <w:numPr>
          <w:ilvl w:val="0"/>
          <w:numId w:val="1"/>
        </w:numPr>
        <w:spacing w:after="120" w:line="240" w:lineRule="auto"/>
        <w:rPr>
          <w:rFonts w:ascii="Arial" w:hAnsi="Arial" w:cs="Arial"/>
        </w:rPr>
      </w:pPr>
      <w:r w:rsidRPr="003A5B9A">
        <w:rPr>
          <w:rFonts w:ascii="Arial" w:hAnsi="Arial" w:cs="Arial"/>
        </w:rPr>
        <w:t xml:space="preserve">OpenID Connect handles authentication (verifying identity) and is frequently used to obtain access tokens  </w:t>
      </w:r>
    </w:p>
    <w:p w14:paraId="5F6FB0BF" w14:textId="345B3F7A" w:rsidR="00D2322C" w:rsidRPr="003A5B9A" w:rsidRDefault="00D2322C" w:rsidP="00D2322C">
      <w:pPr>
        <w:pStyle w:val="ListParagraph"/>
        <w:numPr>
          <w:ilvl w:val="0"/>
          <w:numId w:val="1"/>
        </w:numPr>
        <w:spacing w:after="120" w:line="240" w:lineRule="auto"/>
        <w:rPr>
          <w:rFonts w:ascii="Arial" w:eastAsia="Times New Roman" w:hAnsi="Arial" w:cs="Arial"/>
          <w:kern w:val="0"/>
          <w14:ligatures w14:val="none"/>
        </w:rPr>
      </w:pPr>
      <w:r w:rsidRPr="003A5B9A">
        <w:rPr>
          <w:rFonts w:ascii="Arial" w:eastAsia="Times New Roman" w:hAnsi="Arial" w:cs="Arial"/>
          <w:kern w:val="0"/>
          <w14:ligatures w14:val="none"/>
        </w:rPr>
        <w:t>OIDC is an authentication protocol built on top of the OAuth 2.0 framework which means it utilizes OAuth 2.0</w:t>
      </w:r>
    </w:p>
    <w:p w14:paraId="759A9D31" w14:textId="77777777" w:rsidR="00D2322C" w:rsidRDefault="00D2322C" w:rsidP="00F8583E">
      <w:pPr>
        <w:spacing w:after="120" w:line="240" w:lineRule="auto"/>
        <w:rPr>
          <w:rFonts w:ascii="Arial" w:hAnsi="Arial" w:cs="Arial"/>
          <w:lang w:val="en-GB"/>
        </w:rPr>
      </w:pPr>
    </w:p>
    <w:p w14:paraId="351E748E" w14:textId="77777777" w:rsidR="00D2322C" w:rsidRDefault="00D2322C" w:rsidP="00D2322C">
      <w:pPr>
        <w:spacing w:after="12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Cypress doesn’t natively support complex authentication flows like OIDC which require token exchanges and validations</w:t>
      </w:r>
    </w:p>
    <w:p w14:paraId="144566C1" w14:textId="77777777" w:rsidR="00D2322C" w:rsidRDefault="00D2322C" w:rsidP="00F8583E">
      <w:pPr>
        <w:spacing w:after="120" w:line="240" w:lineRule="auto"/>
        <w:rPr>
          <w:rFonts w:ascii="Arial" w:hAnsi="Arial" w:cs="Arial"/>
          <w:lang w:val="en-GB"/>
        </w:rPr>
      </w:pPr>
    </w:p>
    <w:p w14:paraId="6E700A65" w14:textId="4180B498" w:rsidR="00667552" w:rsidRPr="003A5B9A" w:rsidRDefault="003F3259" w:rsidP="00F8583E">
      <w:pPr>
        <w:spacing w:after="12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OIDC compatibility with Cypress is not inherently a generic feature. Integrating</w:t>
      </w:r>
      <w:r w:rsidR="00667552" w:rsidRPr="003A5B9A">
        <w:rPr>
          <w:rFonts w:ascii="Arial" w:hAnsi="Arial" w:cs="Arial"/>
          <w:lang w:val="en-GB"/>
        </w:rPr>
        <w:t xml:space="preserve"> </w:t>
      </w:r>
      <w:r w:rsidR="00BA6EFD" w:rsidRPr="003A5B9A">
        <w:rPr>
          <w:rFonts w:ascii="Arial" w:hAnsi="Arial" w:cs="Arial"/>
          <w:lang w:val="en-GB"/>
        </w:rPr>
        <w:t xml:space="preserve">AWS </w:t>
      </w:r>
      <w:r w:rsidR="00667552" w:rsidRPr="003A5B9A">
        <w:rPr>
          <w:rFonts w:ascii="Arial" w:hAnsi="Arial" w:cs="Arial"/>
          <w:lang w:val="en-GB"/>
        </w:rPr>
        <w:t>Dynamo</w:t>
      </w:r>
      <w:r w:rsidR="00BA6EFD" w:rsidRPr="003A5B9A">
        <w:rPr>
          <w:rFonts w:ascii="Arial" w:hAnsi="Arial" w:cs="Arial"/>
          <w:lang w:val="en-GB"/>
        </w:rPr>
        <w:t xml:space="preserve"> Database </w:t>
      </w:r>
      <w:r w:rsidR="00D2322C">
        <w:rPr>
          <w:rFonts w:ascii="Arial" w:hAnsi="Arial" w:cs="Arial"/>
          <w:lang w:val="en-GB"/>
        </w:rPr>
        <w:t xml:space="preserve">adds another layer of </w:t>
      </w:r>
      <w:r w:rsidR="00BA6EFD" w:rsidRPr="003A5B9A">
        <w:rPr>
          <w:rFonts w:ascii="Arial" w:hAnsi="Arial" w:cs="Arial"/>
          <w:lang w:val="en-GB"/>
        </w:rPr>
        <w:t>complexit</w:t>
      </w:r>
      <w:r w:rsidR="00D2322C">
        <w:rPr>
          <w:rFonts w:ascii="Arial" w:hAnsi="Arial" w:cs="Arial"/>
          <w:lang w:val="en-GB"/>
        </w:rPr>
        <w:t>y</w:t>
      </w:r>
      <w:r w:rsidR="00BA6EFD" w:rsidRPr="003A5B9A">
        <w:rPr>
          <w:rFonts w:ascii="Arial" w:hAnsi="Arial" w:cs="Arial"/>
          <w:lang w:val="en-GB"/>
        </w:rPr>
        <w:t>,</w:t>
      </w:r>
      <w:r w:rsidR="00D2322C">
        <w:rPr>
          <w:rFonts w:ascii="Arial" w:hAnsi="Arial" w:cs="Arial"/>
          <w:lang w:val="en-GB"/>
        </w:rPr>
        <w:t xml:space="preserve"> as AWS SDK requires proper credential management</w:t>
      </w:r>
      <w:r w:rsidR="003E5839" w:rsidRPr="003A5B9A">
        <w:rPr>
          <w:rFonts w:ascii="Arial" w:hAnsi="Arial" w:cs="Arial"/>
          <w:lang w:val="en-GB"/>
        </w:rPr>
        <w:t xml:space="preserve"> controlled by Identity Access Management policies. Cypress struggles with</w:t>
      </w:r>
      <w:r w:rsidR="00D2306C" w:rsidRPr="003A5B9A">
        <w:rPr>
          <w:rFonts w:ascii="Arial" w:hAnsi="Arial" w:cs="Arial"/>
          <w:lang w:val="en-GB"/>
        </w:rPr>
        <w:t xml:space="preserve"> </w:t>
      </w:r>
      <w:r w:rsidR="003E5839" w:rsidRPr="003A5B9A">
        <w:rPr>
          <w:rFonts w:ascii="Arial" w:hAnsi="Arial" w:cs="Arial"/>
          <w:lang w:val="en-GB"/>
        </w:rPr>
        <w:t>replicating the OIDC authentication flow</w:t>
      </w:r>
      <w:r w:rsidR="00B17B4A" w:rsidRPr="003A5B9A">
        <w:rPr>
          <w:rFonts w:ascii="Arial" w:hAnsi="Arial" w:cs="Arial"/>
          <w:lang w:val="en-GB"/>
        </w:rPr>
        <w:t xml:space="preserve"> to obtain the OIDC token.</w:t>
      </w:r>
    </w:p>
    <w:p w14:paraId="0B54896A" w14:textId="77777777" w:rsidR="00BA6EFD" w:rsidRPr="003A5B9A" w:rsidRDefault="00BA6EFD" w:rsidP="00F8583E">
      <w:pPr>
        <w:spacing w:after="120" w:line="240" w:lineRule="auto"/>
        <w:rPr>
          <w:rFonts w:ascii="Arial" w:hAnsi="Arial" w:cs="Arial"/>
          <w:sz w:val="2"/>
          <w:szCs w:val="2"/>
        </w:rPr>
      </w:pPr>
    </w:p>
    <w:p w14:paraId="1DD26B2A" w14:textId="77777777" w:rsidR="00D2322C" w:rsidRDefault="00D2322C" w:rsidP="00F8583E">
      <w:pPr>
        <w:spacing w:after="120" w:line="240" w:lineRule="auto"/>
        <w:rPr>
          <w:rFonts w:ascii="Arial" w:hAnsi="Arial" w:cs="Arial"/>
          <w:b/>
          <w:bCs/>
        </w:rPr>
      </w:pPr>
    </w:p>
    <w:p w14:paraId="5F2876BB" w14:textId="77777777" w:rsidR="00D2322C" w:rsidRDefault="00D2322C" w:rsidP="00F8583E">
      <w:pPr>
        <w:spacing w:after="120" w:line="240" w:lineRule="auto"/>
        <w:rPr>
          <w:rFonts w:ascii="Arial" w:hAnsi="Arial" w:cs="Arial"/>
          <w:b/>
          <w:bCs/>
        </w:rPr>
      </w:pPr>
    </w:p>
    <w:p w14:paraId="298A4BE8" w14:textId="77777777" w:rsidR="00D2322C" w:rsidRDefault="00D2322C" w:rsidP="00F8583E">
      <w:pPr>
        <w:spacing w:after="120" w:line="240" w:lineRule="auto"/>
        <w:rPr>
          <w:rFonts w:ascii="Arial" w:hAnsi="Arial" w:cs="Arial"/>
          <w:b/>
          <w:bCs/>
        </w:rPr>
      </w:pPr>
    </w:p>
    <w:p w14:paraId="4F815BC9" w14:textId="77777777" w:rsidR="00D2322C" w:rsidRDefault="00D2322C" w:rsidP="00F8583E">
      <w:pPr>
        <w:spacing w:after="120" w:line="240" w:lineRule="auto"/>
        <w:rPr>
          <w:rFonts w:ascii="Arial" w:hAnsi="Arial" w:cs="Arial"/>
          <w:b/>
          <w:bCs/>
        </w:rPr>
      </w:pPr>
    </w:p>
    <w:p w14:paraId="0184692B" w14:textId="3C52CCA3" w:rsidR="00797AE1" w:rsidRPr="003A5B9A" w:rsidRDefault="00797AE1" w:rsidP="00F8583E">
      <w:pPr>
        <w:spacing w:after="120" w:line="240" w:lineRule="auto"/>
        <w:rPr>
          <w:rFonts w:ascii="Arial" w:hAnsi="Arial" w:cs="Arial"/>
          <w:b/>
          <w:bCs/>
        </w:rPr>
      </w:pPr>
      <w:r w:rsidRPr="003A5B9A">
        <w:rPr>
          <w:rFonts w:ascii="Arial" w:hAnsi="Arial" w:cs="Arial"/>
          <w:b/>
          <w:bCs/>
        </w:rPr>
        <w:lastRenderedPageBreak/>
        <w:t>GitHub Actions YAML Script Elements</w:t>
      </w:r>
    </w:p>
    <w:p w14:paraId="28849D1A" w14:textId="1102C6BF" w:rsidR="001229A2" w:rsidRPr="003A5B9A" w:rsidRDefault="001229A2" w:rsidP="00F8583E">
      <w:pPr>
        <w:spacing w:after="120" w:line="240" w:lineRule="auto"/>
        <w:rPr>
          <w:rFonts w:ascii="Arial" w:hAnsi="Arial" w:cs="Arial"/>
        </w:rPr>
      </w:pPr>
      <w:r w:rsidRPr="003A5B9A">
        <w:rPr>
          <w:rFonts w:ascii="Arial" w:hAnsi="Arial" w:cs="Arial"/>
          <w:color w:val="A02B93" w:themeColor="accent5"/>
        </w:rPr>
        <w:t>permissions:</w:t>
      </w:r>
      <w:r w:rsidRPr="003A5B9A">
        <w:rPr>
          <w:rFonts w:ascii="Arial" w:hAnsi="Arial" w:cs="Arial"/>
        </w:rPr>
        <w:br/>
        <w:t xml:space="preserve">  </w:t>
      </w:r>
      <w:r w:rsidRPr="003A5B9A">
        <w:rPr>
          <w:rFonts w:ascii="Arial" w:hAnsi="Arial" w:cs="Arial"/>
          <w:color w:val="A02B93" w:themeColor="accent5"/>
        </w:rPr>
        <w:t xml:space="preserve">id-token: </w:t>
      </w:r>
      <w:r w:rsidRPr="003A5B9A">
        <w:rPr>
          <w:rFonts w:ascii="Arial" w:hAnsi="Arial" w:cs="Arial"/>
        </w:rPr>
        <w:t>write # Grants GH Actions workflow permission to request OIDC JWT token</w:t>
      </w:r>
      <w:r w:rsidRPr="003A5B9A">
        <w:rPr>
          <w:rFonts w:ascii="Arial" w:hAnsi="Arial" w:cs="Arial"/>
        </w:rPr>
        <w:br/>
      </w:r>
      <w:r w:rsidRPr="003A5B9A">
        <w:rPr>
          <w:rFonts w:ascii="Arial" w:hAnsi="Arial" w:cs="Arial"/>
          <w:color w:val="A02B93" w:themeColor="accent5"/>
        </w:rPr>
        <w:t xml:space="preserve">  contents: </w:t>
      </w:r>
      <w:r w:rsidRPr="003A5B9A">
        <w:rPr>
          <w:rFonts w:ascii="Arial" w:hAnsi="Arial" w:cs="Arial"/>
        </w:rPr>
        <w:t>read # Grants the workflow permission to access files, code, and other data in repo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1229A2" w:rsidRPr="003A5B9A" w14:paraId="2EC89C44" w14:textId="77777777" w:rsidTr="001229A2">
        <w:tc>
          <w:tcPr>
            <w:tcW w:w="4495" w:type="dxa"/>
          </w:tcPr>
          <w:p w14:paraId="4A4167AE" w14:textId="4A11390C" w:rsidR="001229A2" w:rsidRPr="003A5B9A" w:rsidRDefault="001229A2" w:rsidP="00F8583E">
            <w:pPr>
              <w:spacing w:after="120"/>
              <w:rPr>
                <w:rFonts w:ascii="Arial" w:hAnsi="Arial" w:cs="Arial"/>
              </w:rPr>
            </w:pPr>
            <w:r w:rsidRPr="003A5B9A">
              <w:rPr>
                <w:rFonts w:ascii="Arial" w:hAnsi="Arial" w:cs="Arial"/>
                <w:color w:val="A02B93" w:themeColor="accent5"/>
              </w:rPr>
              <w:t>aws-actions/configure-aws-credentials@v4</w:t>
            </w:r>
          </w:p>
        </w:tc>
        <w:tc>
          <w:tcPr>
            <w:tcW w:w="4855" w:type="dxa"/>
          </w:tcPr>
          <w:p w14:paraId="4A335820" w14:textId="76801253" w:rsidR="001229A2" w:rsidRPr="003A5B9A" w:rsidRDefault="008307F4" w:rsidP="00F8583E">
            <w:pPr>
              <w:spacing w:after="120"/>
              <w:rPr>
                <w:rFonts w:ascii="Arial" w:hAnsi="Arial" w:cs="Arial"/>
              </w:rPr>
            </w:pPr>
            <w:r w:rsidRPr="003A5B9A">
              <w:rPr>
                <w:rFonts w:ascii="Arial" w:hAnsi="Arial" w:cs="Arial"/>
              </w:rPr>
              <w:t>Standard script designed to configure AWS credentials for subsequent steps in the workflow</w:t>
            </w:r>
          </w:p>
        </w:tc>
      </w:tr>
      <w:tr w:rsidR="001229A2" w:rsidRPr="003A5B9A" w14:paraId="236D43AF" w14:textId="77777777" w:rsidTr="001229A2">
        <w:tc>
          <w:tcPr>
            <w:tcW w:w="4495" w:type="dxa"/>
          </w:tcPr>
          <w:p w14:paraId="611FB1F8" w14:textId="32088F49" w:rsidR="001229A2" w:rsidRPr="003A5B9A" w:rsidRDefault="001229A2" w:rsidP="00F8583E">
            <w:pPr>
              <w:spacing w:after="120"/>
              <w:rPr>
                <w:rFonts w:ascii="Arial" w:hAnsi="Arial" w:cs="Arial"/>
              </w:rPr>
            </w:pPr>
            <w:r w:rsidRPr="003A5B9A">
              <w:rPr>
                <w:rFonts w:ascii="Arial" w:hAnsi="Arial" w:cs="Arial"/>
                <w:color w:val="A02B93" w:themeColor="accent5"/>
              </w:rPr>
              <w:t>role-to-assume:</w:t>
            </w:r>
          </w:p>
        </w:tc>
        <w:tc>
          <w:tcPr>
            <w:tcW w:w="4855" w:type="dxa"/>
          </w:tcPr>
          <w:p w14:paraId="17FB6C0F" w14:textId="05A3929F" w:rsidR="001229A2" w:rsidRPr="003A5B9A" w:rsidRDefault="005D0A0F" w:rsidP="00F8583E">
            <w:pPr>
              <w:spacing w:after="120"/>
              <w:rPr>
                <w:rFonts w:ascii="Arial" w:hAnsi="Arial" w:cs="Arial"/>
              </w:rPr>
            </w:pPr>
            <w:r w:rsidRPr="003A5B9A">
              <w:rPr>
                <w:rFonts w:ascii="Arial" w:hAnsi="Arial" w:cs="Arial"/>
              </w:rPr>
              <w:t>Grants a set of temporary permissions based on the policies in the role, in this case access to DynamoDB</w:t>
            </w:r>
          </w:p>
        </w:tc>
      </w:tr>
      <w:tr w:rsidR="001229A2" w:rsidRPr="003A5B9A" w14:paraId="2EE21666" w14:textId="77777777" w:rsidTr="001229A2">
        <w:tc>
          <w:tcPr>
            <w:tcW w:w="4495" w:type="dxa"/>
          </w:tcPr>
          <w:p w14:paraId="31CA47F3" w14:textId="05C50873" w:rsidR="001229A2" w:rsidRPr="003A5B9A" w:rsidRDefault="001229A2" w:rsidP="00F8583E">
            <w:pPr>
              <w:spacing w:after="120"/>
              <w:rPr>
                <w:rFonts w:ascii="Arial" w:hAnsi="Arial" w:cs="Arial"/>
              </w:rPr>
            </w:pPr>
            <w:r w:rsidRPr="003A5B9A">
              <w:rPr>
                <w:rFonts w:ascii="Arial" w:hAnsi="Arial" w:cs="Arial"/>
                <w:color w:val="A02B93" w:themeColor="accent5"/>
              </w:rPr>
              <w:t xml:space="preserve">role-session-name: </w:t>
            </w:r>
          </w:p>
        </w:tc>
        <w:tc>
          <w:tcPr>
            <w:tcW w:w="4855" w:type="dxa"/>
          </w:tcPr>
          <w:p w14:paraId="3836F1AC" w14:textId="1AF450DB" w:rsidR="001229A2" w:rsidRPr="003A5B9A" w:rsidRDefault="00386EC5" w:rsidP="00F8583E">
            <w:pPr>
              <w:spacing w:after="120"/>
              <w:rPr>
                <w:rFonts w:ascii="Arial" w:hAnsi="Arial" w:cs="Arial"/>
              </w:rPr>
            </w:pPr>
            <w:r w:rsidRPr="003A5B9A">
              <w:rPr>
                <w:rFonts w:ascii="Arial" w:hAnsi="Arial" w:cs="Arial"/>
              </w:rPr>
              <w:t>Used for logging purposes</w:t>
            </w:r>
          </w:p>
        </w:tc>
      </w:tr>
      <w:tr w:rsidR="001229A2" w:rsidRPr="003A5B9A" w14:paraId="4232182D" w14:textId="77777777" w:rsidTr="001229A2">
        <w:tc>
          <w:tcPr>
            <w:tcW w:w="4495" w:type="dxa"/>
          </w:tcPr>
          <w:p w14:paraId="32820266" w14:textId="4DC1AA2F" w:rsidR="001229A2" w:rsidRPr="003A5B9A" w:rsidRDefault="000070F7" w:rsidP="00F8583E">
            <w:pPr>
              <w:spacing w:after="120"/>
              <w:rPr>
                <w:rFonts w:ascii="Arial" w:hAnsi="Arial" w:cs="Arial"/>
              </w:rPr>
            </w:pPr>
            <w:r w:rsidRPr="003A5B9A">
              <w:rPr>
                <w:rFonts w:ascii="Arial" w:hAnsi="Arial" w:cs="Arial"/>
                <w:color w:val="A02B93" w:themeColor="accent5"/>
              </w:rPr>
              <w:t>aws sts get-caller-identity</w:t>
            </w:r>
          </w:p>
        </w:tc>
        <w:tc>
          <w:tcPr>
            <w:tcW w:w="4855" w:type="dxa"/>
          </w:tcPr>
          <w:p w14:paraId="40A2D780" w14:textId="178616D9" w:rsidR="001229A2" w:rsidRPr="003A5B9A" w:rsidRDefault="000070F7" w:rsidP="00F8583E">
            <w:pPr>
              <w:spacing w:after="120"/>
              <w:rPr>
                <w:rFonts w:ascii="Arial" w:hAnsi="Arial" w:cs="Arial"/>
              </w:rPr>
            </w:pPr>
            <w:r w:rsidRPr="003A5B9A">
              <w:rPr>
                <w:rFonts w:ascii="Arial" w:hAnsi="Arial" w:cs="Arial"/>
              </w:rPr>
              <w:t>Verifies and confirms the AWS identity being used within th</w:t>
            </w:r>
            <w:r w:rsidR="002B7B99" w:rsidRPr="003A5B9A">
              <w:rPr>
                <w:rFonts w:ascii="Arial" w:hAnsi="Arial" w:cs="Arial"/>
              </w:rPr>
              <w:t xml:space="preserve">e </w:t>
            </w:r>
            <w:r w:rsidRPr="003A5B9A">
              <w:rPr>
                <w:rFonts w:ascii="Arial" w:hAnsi="Arial" w:cs="Arial"/>
              </w:rPr>
              <w:t>workflow</w:t>
            </w:r>
            <w:r w:rsidR="002B7B99" w:rsidRPr="003A5B9A">
              <w:rPr>
                <w:rFonts w:ascii="Arial" w:hAnsi="Arial" w:cs="Arial"/>
              </w:rPr>
              <w:t xml:space="preserve"> i.e. the arn role</w:t>
            </w:r>
          </w:p>
        </w:tc>
      </w:tr>
    </w:tbl>
    <w:p w14:paraId="18A67D45" w14:textId="2B69B1D8" w:rsidR="001229A2" w:rsidRPr="003A5B9A" w:rsidRDefault="001229A2" w:rsidP="00F8583E">
      <w:pPr>
        <w:spacing w:after="120" w:line="240" w:lineRule="auto"/>
        <w:rPr>
          <w:rFonts w:ascii="Arial" w:hAnsi="Arial" w:cs="Arial"/>
          <w:b/>
          <w:bCs/>
        </w:rPr>
      </w:pPr>
      <w:r w:rsidRPr="003A5B9A">
        <w:rPr>
          <w:rFonts w:ascii="Arial" w:hAnsi="Arial" w:cs="Arial"/>
        </w:rPr>
        <w:br/>
      </w:r>
      <w:r w:rsidRPr="003A5B9A">
        <w:rPr>
          <w:rFonts w:ascii="Arial" w:hAnsi="Arial" w:cs="Arial"/>
        </w:rPr>
        <w:br/>
      </w:r>
      <w:r w:rsidRPr="003A5B9A">
        <w:rPr>
          <w:rFonts w:ascii="Arial" w:hAnsi="Arial" w:cs="Arial"/>
          <w:color w:val="A02B93" w:themeColor="accent5"/>
        </w:rPr>
        <w:t xml:space="preserve">  </w:t>
      </w:r>
      <w:r w:rsidRPr="003A5B9A">
        <w:rPr>
          <w:rFonts w:ascii="Arial" w:hAnsi="Arial" w:cs="Arial"/>
        </w:rPr>
        <w:br/>
        <w:t xml:space="preserve">  </w:t>
      </w:r>
      <w:r w:rsidRPr="003A5B9A">
        <w:rPr>
          <w:rFonts w:ascii="Arial" w:hAnsi="Arial" w:cs="Arial"/>
        </w:rPr>
        <w:br/>
        <w:t xml:space="preserve">  </w:t>
      </w:r>
      <w:r w:rsidRPr="003A5B9A">
        <w:rPr>
          <w:rFonts w:ascii="Arial" w:hAnsi="Arial" w:cs="Arial"/>
        </w:rPr>
        <w:br/>
      </w:r>
    </w:p>
    <w:sectPr w:rsidR="001229A2" w:rsidRPr="003A5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22AC7"/>
    <w:multiLevelType w:val="multilevel"/>
    <w:tmpl w:val="7C2A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E70F7D"/>
    <w:multiLevelType w:val="hybridMultilevel"/>
    <w:tmpl w:val="9CE6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71C2A"/>
    <w:multiLevelType w:val="hybridMultilevel"/>
    <w:tmpl w:val="38CE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E105D"/>
    <w:multiLevelType w:val="hybridMultilevel"/>
    <w:tmpl w:val="E04C3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A0C9F"/>
    <w:multiLevelType w:val="hybridMultilevel"/>
    <w:tmpl w:val="DD92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876744">
    <w:abstractNumId w:val="4"/>
  </w:num>
  <w:num w:numId="2" w16cid:durableId="1767538647">
    <w:abstractNumId w:val="0"/>
  </w:num>
  <w:num w:numId="3" w16cid:durableId="1070888447">
    <w:abstractNumId w:val="3"/>
  </w:num>
  <w:num w:numId="4" w16cid:durableId="1606962803">
    <w:abstractNumId w:val="2"/>
  </w:num>
  <w:num w:numId="5" w16cid:durableId="1147280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F3"/>
    <w:rsid w:val="000070F7"/>
    <w:rsid w:val="000A7D3E"/>
    <w:rsid w:val="001229A2"/>
    <w:rsid w:val="001C7AF3"/>
    <w:rsid w:val="002B7B99"/>
    <w:rsid w:val="00386EC5"/>
    <w:rsid w:val="003A5B9A"/>
    <w:rsid w:val="003E5839"/>
    <w:rsid w:val="003F3259"/>
    <w:rsid w:val="004C6C16"/>
    <w:rsid w:val="005D0A0F"/>
    <w:rsid w:val="00667552"/>
    <w:rsid w:val="006E4347"/>
    <w:rsid w:val="00797AE1"/>
    <w:rsid w:val="008307F4"/>
    <w:rsid w:val="008D22CA"/>
    <w:rsid w:val="0096255D"/>
    <w:rsid w:val="00B17B4A"/>
    <w:rsid w:val="00B33E5B"/>
    <w:rsid w:val="00BA2A11"/>
    <w:rsid w:val="00BA6680"/>
    <w:rsid w:val="00BA6EFD"/>
    <w:rsid w:val="00CD442C"/>
    <w:rsid w:val="00D2306C"/>
    <w:rsid w:val="00D2322C"/>
    <w:rsid w:val="00DE21FC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829B"/>
  <w15:chartTrackingRefBased/>
  <w15:docId w15:val="{25B2EC11-2F50-614C-93E0-679C9ACC6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A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A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A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A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A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A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A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A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A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A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AF3"/>
    <w:rPr>
      <w:b/>
      <w:bCs/>
      <w:smallCaps/>
      <w:color w:val="0F4761" w:themeColor="accent1" w:themeShade="BF"/>
      <w:spacing w:val="5"/>
    </w:rPr>
  </w:style>
  <w:style w:type="character" w:customStyle="1" w:styleId="citation-3">
    <w:name w:val="citation-3"/>
    <w:basedOn w:val="DefaultParagraphFont"/>
    <w:rsid w:val="00BA2A11"/>
  </w:style>
  <w:style w:type="table" w:styleId="TableGrid">
    <w:name w:val="Table Grid"/>
    <w:basedOn w:val="TableNormal"/>
    <w:uiPriority w:val="39"/>
    <w:rsid w:val="00122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5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Raphael</dc:creator>
  <cp:keywords/>
  <dc:description/>
  <cp:lastModifiedBy>Mark Raphael</cp:lastModifiedBy>
  <cp:revision>51</cp:revision>
  <dcterms:created xsi:type="dcterms:W3CDTF">2025-03-20T19:29:00Z</dcterms:created>
  <dcterms:modified xsi:type="dcterms:W3CDTF">2025-03-21T08:09:00Z</dcterms:modified>
</cp:coreProperties>
</file>