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4472C4"/>
          <w:sz w:val="32"/>
        </w:rPr>
        <w:t>WEEK 3 TASK</w:t>
      </w:r>
    </w:p>
    <w:p>
      <w:pPr>
        <w:pStyle w:val="Title"/>
        <w:jc w:val="center"/>
      </w:pPr>
      <w:r>
        <w:t>Data Cleaning and</w:t>
        <w:br/>
        <w:t>Preprocessing Pipeline Development</w:t>
      </w:r>
    </w:p>
    <w:p>
      <w:pPr>
        <w:jc w:val="center"/>
      </w:pPr>
      <w:r>
        <w:rPr>
          <w:color w:val="5B6573"/>
          <w:sz w:val="34"/>
        </w:rPr>
        <w:t>Beauty &amp; Wellness Analytics</w:t>
      </w:r>
    </w:p>
    <w:p/>
    <w:tbl>
      <w:tblPr>
        <w:tblStyle w:val="TableGrid"/>
        <w:tblW w:type="auto" w:w="0"/>
        <w:tblLook w:firstColumn="1" w:firstRow="1" w:lastColumn="0" w:lastRow="0" w:noHBand="0" w:noVBand="1" w:val="04A0"/>
      </w:tblPr>
      <w:tblGrid>
        <w:gridCol w:w="9936"/>
      </w:tblGrid>
      <w:tr>
        <w:tc>
          <w:tcPr>
            <w:tcW w:type="dxa" w:w="9936"/>
            <w:shd w:fill="EAF2F8"/>
          </w:tcPr>
          <w:p>
            <w:pPr>
              <w:spacing w:after="60"/>
            </w:pPr>
            <w:r/>
            <w:r>
              <w:rPr>
                <w:i/>
                <w:color w:val="17365D"/>
                <w:sz w:val="18"/>
              </w:rPr>
              <w:t>Assignment report covering data-quality assessment, cleaning methods, Python tools, normalization, reproducibility, and a proposed end-to-end preprocessing workflow.</w:t>
            </w:r>
          </w:p>
        </w:tc>
      </w:tr>
    </w:tbl>
    <w:p/>
    <w:p>
      <w:pPr>
        <w:spacing w:before="800"/>
        <w:jc w:val="center"/>
      </w:pPr>
      <w:r>
        <w:rPr>
          <w:b/>
        </w:rPr>
        <w:t>Prepared by: Student / Intern</w:t>
        <w:br/>
      </w:r>
      <w:r>
        <w:t>Project Domain: Beauty &amp; Wellness</w:t>
        <w:br/>
      </w:r>
      <w:r>
        <w:t>Tools: Python, Pandas, NumPy, Matplotlib, Seaborn and Scikit-learn</w:t>
      </w:r>
    </w:p>
    <w:p>
      <w:pPr>
        <w:spacing w:before="900"/>
        <w:jc w:val="center"/>
      </w:pPr>
      <w:r>
        <w:rPr>
          <w:i/>
          <w:color w:val="646464"/>
        </w:rPr>
        <w:t>Methodology and illustrative code</w:t>
      </w:r>
    </w:p>
    <w:p>
      <w:r>
        <w:br w:type="page"/>
      </w:r>
    </w:p>
    <w:p>
      <w:pPr>
        <w:pStyle w:val="Heading1"/>
      </w:pPr>
      <w:r>
        <w:t>Report Contents</w:t>
      </w:r>
    </w:p>
    <w:p>
      <w:pPr>
        <w:pStyle w:val="ListBullet"/>
        <w:spacing w:after="40"/>
      </w:pPr>
      <w:r>
        <w:t>1. Introduction and Objectives</w:t>
      </w:r>
    </w:p>
    <w:p>
      <w:pPr>
        <w:pStyle w:val="ListBullet"/>
        <w:spacing w:after="40"/>
      </w:pPr>
      <w:r>
        <w:t>2. Conceptual Dataset and Potential Data Quality Issues</w:t>
      </w:r>
    </w:p>
    <w:p>
      <w:pPr>
        <w:pStyle w:val="ListBullet"/>
        <w:spacing w:after="40"/>
      </w:pPr>
      <w:r>
        <w:t>3. Proposed Data Cleaning Pipeline</w:t>
      </w:r>
    </w:p>
    <w:p>
      <w:pPr>
        <w:pStyle w:val="ListBullet"/>
        <w:spacing w:after="40"/>
      </w:pPr>
      <w:r>
        <w:t>4. Step-by-Step Cleaning Methodology</w:t>
      </w:r>
    </w:p>
    <w:p>
      <w:pPr>
        <w:pStyle w:val="ListBullet"/>
        <w:spacing w:after="40"/>
      </w:pPr>
      <w:r>
        <w:t>5. Python Libraries and Their Applications</w:t>
      </w:r>
    </w:p>
    <w:p>
      <w:pPr>
        <w:pStyle w:val="ListBullet"/>
        <w:spacing w:after="40"/>
      </w:pPr>
      <w:r>
        <w:t>6. Pseudocode and Workflow Flowchart</w:t>
      </w:r>
    </w:p>
    <w:p>
      <w:pPr>
        <w:pStyle w:val="ListBullet"/>
        <w:spacing w:after="40"/>
      </w:pPr>
      <w:r>
        <w:t>7. Documentation and Reproducibility</w:t>
      </w:r>
    </w:p>
    <w:p>
      <w:pPr>
        <w:pStyle w:val="ListBullet"/>
        <w:spacing w:after="40"/>
      </w:pPr>
      <w:r>
        <w:t>8. Beauty &amp; Wellness-Specific Improvements</w:t>
      </w:r>
    </w:p>
    <w:p>
      <w:pPr>
        <w:pStyle w:val="ListBullet"/>
        <w:spacing w:after="40"/>
      </w:pPr>
      <w:r>
        <w:t>9. Benefits for Analysis and Modeling</w:t>
      </w:r>
    </w:p>
    <w:p>
      <w:pPr>
        <w:pStyle w:val="ListBullet"/>
        <w:spacing w:after="40"/>
      </w:pPr>
      <w:r>
        <w:t>10. Proposed 33-Hour Work Plan</w:t>
      </w:r>
    </w:p>
    <w:p>
      <w:pPr>
        <w:pStyle w:val="ListBullet"/>
        <w:spacing w:after="40"/>
      </w:pPr>
      <w:r>
        <w:t>11. Expected Deliverables</w:t>
      </w:r>
    </w:p>
    <w:p>
      <w:pPr>
        <w:pStyle w:val="ListBullet"/>
        <w:spacing w:after="40"/>
      </w:pPr>
      <w:r>
        <w:t>12. Conclusion</w:t>
      </w:r>
    </w:p>
    <w:p>
      <w:pPr>
        <w:pStyle w:val="ListBullet"/>
        <w:spacing w:after="40"/>
      </w:pPr>
      <w:r>
        <w:t>13. References</w:t>
      </w:r>
    </w:p>
    <w:p>
      <w:pPr>
        <w:pStyle w:val="Heading1"/>
      </w:pPr>
      <w:r>
        <w:t>1. Introduction and Objectives</w:t>
      </w:r>
    </w:p>
    <w:p>
      <w:r>
        <w:t>Data cleaning and preprocessing are essential stages in a reliable analytics project. Publicly available beauty and wellness datasets can contain missing values, duplicate products, inconsistent categories, incorrect prices, unusual ratings, and differences in measurement units. If these issues are not handled carefully, they can produce misleading insights and reduce the reliability of predictive models.</w:t>
      </w:r>
    </w:p>
    <w:p>
      <w:r>
        <w:t>This report proposes a structured pipeline for preparing beauty and wellness data for analysis. The conceptual dataset may include skincare and cosmetic products, wellness services, product prices, ratings, customer reviews, ingredients, and categories. The report describes practical methods and illustrative code; it does not claim that a real dataset has already been collected or processed.</w:t>
      </w:r>
    </w:p>
    <w:p>
      <w:pPr>
        <w:pStyle w:val="Heading2"/>
      </w:pPr>
      <w:r>
        <w:t>Objectives</w:t>
      </w:r>
    </w:p>
    <w:p>
      <w:pPr>
        <w:pStyle w:val="ListBullet"/>
        <w:spacing w:after="40"/>
      </w:pPr>
      <w:r>
        <w:t>Identify common data quality problems in publicly available beauty and wellness datasets.</w:t>
      </w:r>
    </w:p>
    <w:p>
      <w:pPr>
        <w:pStyle w:val="ListBullet"/>
        <w:spacing w:after="40"/>
      </w:pPr>
      <w:r>
        <w:t>Develop a systematic strategy for missing values, duplicates, outliers, and inconsistent formats.</w:t>
      </w:r>
    </w:p>
    <w:p>
      <w:pPr>
        <w:pStyle w:val="ListBullet"/>
        <w:spacing w:after="40"/>
      </w:pPr>
      <w:r>
        <w:t>Explain the use of Python libraries for data cleaning and preprocessing.</w:t>
      </w:r>
    </w:p>
    <w:p>
      <w:pPr>
        <w:pStyle w:val="ListBullet"/>
        <w:spacing w:after="40"/>
      </w:pPr>
      <w:r>
        <w:t>Describe normalization and feature scaling where appropriate.</w:t>
      </w:r>
    </w:p>
    <w:p>
      <w:pPr>
        <w:pStyle w:val="ListBullet"/>
        <w:spacing w:after="40"/>
      </w:pPr>
      <w:r>
        <w:t>Document decisions so that another analyst can reproduce the workflow.</w:t>
      </w:r>
    </w:p>
    <w:p>
      <w:pPr>
        <w:pStyle w:val="ListBullet"/>
        <w:spacing w:after="40"/>
      </w:pPr>
      <w:r>
        <w:t>Prepare data for visualization, statistical analysis, and future machine learning.</w:t>
      </w:r>
    </w:p>
    <w:p>
      <w:pPr>
        <w:pStyle w:val="Heading1"/>
      </w:pPr>
      <w:r>
        <w:t>2. Conceptual Dataset and Potential Data Quality Issues</w:t>
      </w:r>
    </w:p>
    <w:p>
      <w:r>
        <w:t>The following schema is proposed for the assignment. It is an example structure, not a claim that these fields have already been sourced.</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17365D"/>
          </w:tcPr>
          <w:p>
            <w:pPr>
              <w:spacing w:after="20"/>
            </w:pPr>
            <w:r/>
            <w:r>
              <w:rPr>
                <w:rFonts w:ascii="Calibri" w:hAnsi="Calibri"/>
                <w:b/>
                <w:color w:val="FFFFFF"/>
                <w:sz w:val="18"/>
              </w:rPr>
              <w:t>Column</w:t>
            </w:r>
          </w:p>
        </w:tc>
        <w:tc>
          <w:tcPr>
            <w:tcW w:type="dxa" w:w="3528"/>
            <w:vAlign w:val="center"/>
            <w:shd w:fill="17365D"/>
          </w:tcPr>
          <w:p>
            <w:pPr>
              <w:spacing w:after="20"/>
            </w:pPr>
            <w:r/>
            <w:r>
              <w:rPr>
                <w:rFonts w:ascii="Calibri" w:hAnsi="Calibri"/>
                <w:b/>
                <w:color w:val="FFFFFF"/>
                <w:sz w:val="18"/>
              </w:rPr>
              <w:t>Description</w:t>
            </w:r>
          </w:p>
        </w:tc>
        <w:tc>
          <w:tcPr>
            <w:tcW w:type="dxa" w:w="4680"/>
            <w:vAlign w:val="center"/>
            <w:shd w:fill="17365D"/>
          </w:tcPr>
          <w:p>
            <w:pPr>
              <w:spacing w:after="20"/>
            </w:pPr>
            <w:r/>
            <w:r>
              <w:rPr>
                <w:rFonts w:ascii="Calibri" w:hAnsi="Calibri"/>
                <w:b/>
                <w:color w:val="FFFFFF"/>
                <w:sz w:val="18"/>
              </w:rPr>
              <w:t>Potential issue</w:t>
            </w:r>
          </w:p>
        </w:tc>
      </w:tr>
      <w:tr>
        <w:tc>
          <w:tcPr>
            <w:tcW w:type="dxa" w:w="1800"/>
            <w:vAlign w:val="center"/>
            <w:shd w:fill="F2F6FC"/>
          </w:tcPr>
          <w:p>
            <w:pPr>
              <w:spacing w:after="20"/>
            </w:pPr>
            <w:r/>
            <w:r>
              <w:rPr>
                <w:rFonts w:ascii="Calibri" w:hAnsi="Calibri"/>
                <w:b w:val="0"/>
                <w:sz w:val="17"/>
              </w:rPr>
              <w:t>Product_ID</w:t>
            </w:r>
          </w:p>
        </w:tc>
        <w:tc>
          <w:tcPr>
            <w:tcW w:type="dxa" w:w="3528"/>
            <w:vAlign w:val="center"/>
            <w:shd w:fill="F2F6FC"/>
          </w:tcPr>
          <w:p>
            <w:pPr>
              <w:spacing w:after="20"/>
            </w:pPr>
            <w:r/>
            <w:r>
              <w:rPr>
                <w:rFonts w:ascii="Calibri" w:hAnsi="Calibri"/>
                <w:b w:val="0"/>
                <w:sz w:val="17"/>
              </w:rPr>
              <w:t>Unique product identifier</w:t>
            </w:r>
          </w:p>
        </w:tc>
        <w:tc>
          <w:tcPr>
            <w:tcW w:type="dxa" w:w="4680"/>
            <w:vAlign w:val="center"/>
            <w:shd w:fill="F2F6FC"/>
          </w:tcPr>
          <w:p>
            <w:pPr>
              <w:spacing w:after="20"/>
            </w:pPr>
            <w:r/>
            <w:r>
              <w:rPr>
                <w:rFonts w:ascii="Calibri" w:hAnsi="Calibri"/>
                <w:b w:val="0"/>
                <w:sz w:val="17"/>
              </w:rPr>
              <w:t>Missing or duplicated IDs</w:t>
            </w:r>
          </w:p>
        </w:tc>
      </w:tr>
      <w:tr>
        <w:tc>
          <w:tcPr>
            <w:tcW w:type="dxa" w:w="1800"/>
            <w:vAlign w:val="center"/>
          </w:tcPr>
          <w:p>
            <w:pPr>
              <w:spacing w:after="20"/>
            </w:pPr>
            <w:r/>
            <w:r>
              <w:rPr>
                <w:rFonts w:ascii="Calibri" w:hAnsi="Calibri"/>
                <w:b w:val="0"/>
                <w:sz w:val="17"/>
              </w:rPr>
              <w:t>Product_Name</w:t>
            </w:r>
          </w:p>
        </w:tc>
        <w:tc>
          <w:tcPr>
            <w:tcW w:type="dxa" w:w="3528"/>
            <w:vAlign w:val="center"/>
          </w:tcPr>
          <w:p>
            <w:pPr>
              <w:spacing w:after="20"/>
            </w:pPr>
            <w:r/>
            <w:r>
              <w:rPr>
                <w:rFonts w:ascii="Calibri" w:hAnsi="Calibri"/>
                <w:b w:val="0"/>
                <w:sz w:val="17"/>
              </w:rPr>
              <w:t>Product name</w:t>
            </w:r>
          </w:p>
        </w:tc>
        <w:tc>
          <w:tcPr>
            <w:tcW w:type="dxa" w:w="4680"/>
            <w:vAlign w:val="center"/>
          </w:tcPr>
          <w:p>
            <w:pPr>
              <w:spacing w:after="20"/>
            </w:pPr>
            <w:r/>
            <w:r>
              <w:rPr>
                <w:rFonts w:ascii="Calibri" w:hAnsi="Calibri"/>
                <w:b w:val="0"/>
                <w:sz w:val="17"/>
              </w:rPr>
              <w:t>Extra spaces or inconsistent spelling</w:t>
            </w:r>
          </w:p>
        </w:tc>
      </w:tr>
      <w:tr>
        <w:tc>
          <w:tcPr>
            <w:tcW w:type="dxa" w:w="1800"/>
            <w:vAlign w:val="center"/>
            <w:shd w:fill="F2F6FC"/>
          </w:tcPr>
          <w:p>
            <w:pPr>
              <w:spacing w:after="20"/>
            </w:pPr>
            <w:r/>
            <w:r>
              <w:rPr>
                <w:rFonts w:ascii="Calibri" w:hAnsi="Calibri"/>
                <w:b w:val="0"/>
                <w:sz w:val="17"/>
              </w:rPr>
              <w:t>Category</w:t>
            </w:r>
          </w:p>
        </w:tc>
        <w:tc>
          <w:tcPr>
            <w:tcW w:type="dxa" w:w="3528"/>
            <w:vAlign w:val="center"/>
            <w:shd w:fill="F2F6FC"/>
          </w:tcPr>
          <w:p>
            <w:pPr>
              <w:spacing w:after="20"/>
            </w:pPr>
            <w:r/>
            <w:r>
              <w:rPr>
                <w:rFonts w:ascii="Calibri" w:hAnsi="Calibri"/>
                <w:b w:val="0"/>
                <w:sz w:val="17"/>
              </w:rPr>
              <w:t>Skincare, haircare, cosmetics, wellness</w:t>
            </w:r>
          </w:p>
        </w:tc>
        <w:tc>
          <w:tcPr>
            <w:tcW w:type="dxa" w:w="4680"/>
            <w:vAlign w:val="center"/>
            <w:shd w:fill="F2F6FC"/>
          </w:tcPr>
          <w:p>
            <w:pPr>
              <w:spacing w:after="20"/>
            </w:pPr>
            <w:r/>
            <w:r>
              <w:rPr>
                <w:rFonts w:ascii="Calibri" w:hAnsi="Calibri"/>
                <w:b w:val="0"/>
                <w:sz w:val="17"/>
              </w:rPr>
              <w:t>Different labels for the same category</w:t>
            </w:r>
          </w:p>
        </w:tc>
      </w:tr>
      <w:tr>
        <w:tc>
          <w:tcPr>
            <w:tcW w:type="dxa" w:w="1800"/>
            <w:vAlign w:val="center"/>
          </w:tcPr>
          <w:p>
            <w:pPr>
              <w:spacing w:after="20"/>
            </w:pPr>
            <w:r/>
            <w:r>
              <w:rPr>
                <w:rFonts w:ascii="Calibri" w:hAnsi="Calibri"/>
                <w:b w:val="0"/>
                <w:sz w:val="17"/>
              </w:rPr>
              <w:t>Brand</w:t>
            </w:r>
          </w:p>
        </w:tc>
        <w:tc>
          <w:tcPr>
            <w:tcW w:type="dxa" w:w="3528"/>
            <w:vAlign w:val="center"/>
          </w:tcPr>
          <w:p>
            <w:pPr>
              <w:spacing w:after="20"/>
            </w:pPr>
            <w:r/>
            <w:r>
              <w:rPr>
                <w:rFonts w:ascii="Calibri" w:hAnsi="Calibri"/>
                <w:b w:val="0"/>
                <w:sz w:val="17"/>
              </w:rPr>
              <w:t>Brand or manufacturer</w:t>
            </w:r>
          </w:p>
        </w:tc>
        <w:tc>
          <w:tcPr>
            <w:tcW w:type="dxa" w:w="4680"/>
            <w:vAlign w:val="center"/>
          </w:tcPr>
          <w:p>
            <w:pPr>
              <w:spacing w:after="20"/>
            </w:pPr>
            <w:r/>
            <w:r>
              <w:rPr>
                <w:rFonts w:ascii="Calibri" w:hAnsi="Calibri"/>
                <w:b w:val="0"/>
                <w:sz w:val="17"/>
              </w:rPr>
              <w:t>Capitalization or naming variants</w:t>
            </w:r>
          </w:p>
        </w:tc>
      </w:tr>
      <w:tr>
        <w:tc>
          <w:tcPr>
            <w:tcW w:type="dxa" w:w="1800"/>
            <w:vAlign w:val="center"/>
            <w:shd w:fill="F2F6FC"/>
          </w:tcPr>
          <w:p>
            <w:pPr>
              <w:spacing w:after="20"/>
            </w:pPr>
            <w:r/>
            <w:r>
              <w:rPr>
                <w:rFonts w:ascii="Calibri" w:hAnsi="Calibri"/>
                <w:b w:val="0"/>
                <w:sz w:val="17"/>
              </w:rPr>
              <w:t>Price</w:t>
            </w:r>
          </w:p>
        </w:tc>
        <w:tc>
          <w:tcPr>
            <w:tcW w:type="dxa" w:w="3528"/>
            <w:vAlign w:val="center"/>
            <w:shd w:fill="F2F6FC"/>
          </w:tcPr>
          <w:p>
            <w:pPr>
              <w:spacing w:after="20"/>
            </w:pPr>
            <w:r/>
            <w:r>
              <w:rPr>
                <w:rFonts w:ascii="Calibri" w:hAnsi="Calibri"/>
                <w:b w:val="0"/>
                <w:sz w:val="17"/>
              </w:rPr>
              <w:t>Listed price</w:t>
            </w:r>
          </w:p>
        </w:tc>
        <w:tc>
          <w:tcPr>
            <w:tcW w:type="dxa" w:w="4680"/>
            <w:vAlign w:val="center"/>
            <w:shd w:fill="F2F6FC"/>
          </w:tcPr>
          <w:p>
            <w:pPr>
              <w:spacing w:after="20"/>
            </w:pPr>
            <w:r/>
            <w:r>
              <w:rPr>
                <w:rFonts w:ascii="Calibri" w:hAnsi="Calibri"/>
                <w:b w:val="0"/>
                <w:sz w:val="17"/>
              </w:rPr>
              <w:t>Currency symbols, text values, invalid prices</w:t>
            </w:r>
          </w:p>
        </w:tc>
      </w:tr>
      <w:tr>
        <w:tc>
          <w:tcPr>
            <w:tcW w:type="dxa" w:w="1800"/>
            <w:vAlign w:val="center"/>
          </w:tcPr>
          <w:p>
            <w:pPr>
              <w:spacing w:after="20"/>
            </w:pPr>
            <w:r/>
            <w:r>
              <w:rPr>
                <w:rFonts w:ascii="Calibri" w:hAnsi="Calibri"/>
                <w:b w:val="0"/>
                <w:sz w:val="17"/>
              </w:rPr>
              <w:t>Rating</w:t>
            </w:r>
          </w:p>
        </w:tc>
        <w:tc>
          <w:tcPr>
            <w:tcW w:type="dxa" w:w="3528"/>
            <w:vAlign w:val="center"/>
          </w:tcPr>
          <w:p>
            <w:pPr>
              <w:spacing w:after="20"/>
            </w:pPr>
            <w:r/>
            <w:r>
              <w:rPr>
                <w:rFonts w:ascii="Calibri" w:hAnsi="Calibri"/>
                <w:b w:val="0"/>
                <w:sz w:val="17"/>
              </w:rPr>
              <w:t>Customer rating</w:t>
            </w:r>
          </w:p>
        </w:tc>
        <w:tc>
          <w:tcPr>
            <w:tcW w:type="dxa" w:w="4680"/>
            <w:vAlign w:val="center"/>
          </w:tcPr>
          <w:p>
            <w:pPr>
              <w:spacing w:after="20"/>
            </w:pPr>
            <w:r/>
            <w:r>
              <w:rPr>
                <w:rFonts w:ascii="Calibri" w:hAnsi="Calibri"/>
                <w:b w:val="0"/>
                <w:sz w:val="17"/>
              </w:rPr>
              <w:t>Missing values or incompatible scales</w:t>
            </w:r>
          </w:p>
        </w:tc>
      </w:tr>
      <w:tr>
        <w:tc>
          <w:tcPr>
            <w:tcW w:type="dxa" w:w="1800"/>
            <w:vAlign w:val="center"/>
            <w:shd w:fill="F2F6FC"/>
          </w:tcPr>
          <w:p>
            <w:pPr>
              <w:spacing w:after="20"/>
            </w:pPr>
            <w:r/>
            <w:r>
              <w:rPr>
                <w:rFonts w:ascii="Calibri" w:hAnsi="Calibri"/>
                <w:b w:val="0"/>
                <w:sz w:val="17"/>
              </w:rPr>
              <w:t>Review_Count</w:t>
            </w:r>
          </w:p>
        </w:tc>
        <w:tc>
          <w:tcPr>
            <w:tcW w:type="dxa" w:w="3528"/>
            <w:vAlign w:val="center"/>
            <w:shd w:fill="F2F6FC"/>
          </w:tcPr>
          <w:p>
            <w:pPr>
              <w:spacing w:after="20"/>
            </w:pPr>
            <w:r/>
            <w:r>
              <w:rPr>
                <w:rFonts w:ascii="Calibri" w:hAnsi="Calibri"/>
                <w:b w:val="0"/>
                <w:sz w:val="17"/>
              </w:rPr>
              <w:t>Number of reviews</w:t>
            </w:r>
          </w:p>
        </w:tc>
        <w:tc>
          <w:tcPr>
            <w:tcW w:type="dxa" w:w="4680"/>
            <w:vAlign w:val="center"/>
            <w:shd w:fill="F2F6FC"/>
          </w:tcPr>
          <w:p>
            <w:pPr>
              <w:spacing w:after="20"/>
            </w:pPr>
            <w:r/>
            <w:r>
              <w:rPr>
                <w:rFonts w:ascii="Calibri" w:hAnsi="Calibri"/>
                <w:b w:val="0"/>
                <w:sz w:val="17"/>
              </w:rPr>
              <w:t>Text values or implausible counts</w:t>
            </w:r>
          </w:p>
        </w:tc>
      </w:tr>
      <w:tr>
        <w:tc>
          <w:tcPr>
            <w:tcW w:type="dxa" w:w="1800"/>
            <w:vAlign w:val="center"/>
          </w:tcPr>
          <w:p>
            <w:pPr>
              <w:spacing w:after="20"/>
            </w:pPr>
            <w:r/>
            <w:r>
              <w:rPr>
                <w:rFonts w:ascii="Calibri" w:hAnsi="Calibri"/>
                <w:b w:val="0"/>
                <w:sz w:val="17"/>
              </w:rPr>
              <w:t>Ingredients</w:t>
            </w:r>
          </w:p>
        </w:tc>
        <w:tc>
          <w:tcPr>
            <w:tcW w:type="dxa" w:w="3528"/>
            <w:vAlign w:val="center"/>
          </w:tcPr>
          <w:p>
            <w:pPr>
              <w:spacing w:after="20"/>
            </w:pPr>
            <w:r/>
            <w:r>
              <w:rPr>
                <w:rFonts w:ascii="Calibri" w:hAnsi="Calibri"/>
                <w:b w:val="0"/>
                <w:sz w:val="17"/>
              </w:rPr>
              <w:t>Listed ingredients</w:t>
            </w:r>
          </w:p>
        </w:tc>
        <w:tc>
          <w:tcPr>
            <w:tcW w:type="dxa" w:w="4680"/>
            <w:vAlign w:val="center"/>
          </w:tcPr>
          <w:p>
            <w:pPr>
              <w:spacing w:after="20"/>
            </w:pPr>
            <w:r/>
            <w:r>
              <w:rPr>
                <w:rFonts w:ascii="Calibri" w:hAnsi="Calibri"/>
                <w:b w:val="0"/>
                <w:sz w:val="17"/>
              </w:rPr>
              <w:t>Missing, differently formatted, or conflicting text</w:t>
            </w:r>
          </w:p>
        </w:tc>
      </w:tr>
      <w:tr>
        <w:tc>
          <w:tcPr>
            <w:tcW w:type="dxa" w:w="1800"/>
            <w:vAlign w:val="center"/>
            <w:shd w:fill="F2F6FC"/>
          </w:tcPr>
          <w:p>
            <w:pPr>
              <w:spacing w:after="20"/>
            </w:pPr>
            <w:r/>
            <w:r>
              <w:rPr>
                <w:rFonts w:ascii="Calibri" w:hAnsi="Calibri"/>
                <w:b w:val="0"/>
                <w:sz w:val="17"/>
              </w:rPr>
              <w:t>Skin_Type</w:t>
            </w:r>
          </w:p>
        </w:tc>
        <w:tc>
          <w:tcPr>
            <w:tcW w:type="dxa" w:w="3528"/>
            <w:vAlign w:val="center"/>
            <w:shd w:fill="F2F6FC"/>
          </w:tcPr>
          <w:p>
            <w:pPr>
              <w:spacing w:after="20"/>
            </w:pPr>
            <w:r/>
            <w:r>
              <w:rPr>
                <w:rFonts w:ascii="Calibri" w:hAnsi="Calibri"/>
                <w:b w:val="0"/>
                <w:sz w:val="17"/>
              </w:rPr>
              <w:t>Intended skin type if supplied</w:t>
            </w:r>
          </w:p>
        </w:tc>
        <w:tc>
          <w:tcPr>
            <w:tcW w:type="dxa" w:w="4680"/>
            <w:vAlign w:val="center"/>
            <w:shd w:fill="F2F6FC"/>
          </w:tcPr>
          <w:p>
            <w:pPr>
              <w:spacing w:after="20"/>
            </w:pPr>
            <w:r/>
            <w:r>
              <w:rPr>
                <w:rFonts w:ascii="Calibri" w:hAnsi="Calibri"/>
                <w:b w:val="0"/>
                <w:sz w:val="17"/>
              </w:rPr>
              <w:t>Missing or source-defined labels</w:t>
            </w:r>
          </w:p>
        </w:tc>
      </w:tr>
      <w:tr>
        <w:tc>
          <w:tcPr>
            <w:tcW w:type="dxa" w:w="1800"/>
            <w:vAlign w:val="center"/>
          </w:tcPr>
          <w:p>
            <w:pPr>
              <w:spacing w:after="20"/>
            </w:pPr>
            <w:r/>
            <w:r>
              <w:rPr>
                <w:rFonts w:ascii="Calibri" w:hAnsi="Calibri"/>
                <w:b w:val="0"/>
                <w:sz w:val="17"/>
              </w:rPr>
              <w:t>Date_Collected</w:t>
            </w:r>
          </w:p>
        </w:tc>
        <w:tc>
          <w:tcPr>
            <w:tcW w:type="dxa" w:w="3528"/>
            <w:vAlign w:val="center"/>
          </w:tcPr>
          <w:p>
            <w:pPr>
              <w:spacing w:after="20"/>
            </w:pPr>
            <w:r/>
            <w:r>
              <w:rPr>
                <w:rFonts w:ascii="Calibri" w:hAnsi="Calibri"/>
                <w:b w:val="0"/>
                <w:sz w:val="17"/>
              </w:rPr>
              <w:t>Date record was collected</w:t>
            </w:r>
          </w:p>
        </w:tc>
        <w:tc>
          <w:tcPr>
            <w:tcW w:type="dxa" w:w="4680"/>
            <w:vAlign w:val="center"/>
          </w:tcPr>
          <w:p>
            <w:pPr>
              <w:spacing w:after="20"/>
            </w:pPr>
            <w:r/>
            <w:r>
              <w:rPr>
                <w:rFonts w:ascii="Calibri" w:hAnsi="Calibri"/>
                <w:b w:val="0"/>
                <w:sz w:val="17"/>
              </w:rPr>
              <w:t>Inconsistent date formats</w:t>
            </w:r>
          </w:p>
        </w:tc>
      </w:tr>
    </w:tbl>
    <w:p/>
    <w:p>
      <w:pPr>
        <w:pStyle w:val="Heading2"/>
      </w:pPr>
      <w:r>
        <w:t>Common data-quality issues</w:t>
      </w:r>
    </w:p>
    <w:p>
      <w:pPr>
        <w:pStyle w:val="ListBullet"/>
        <w:spacing w:after="40"/>
      </w:pPr>
      <w:r>
        <w:t>Missing values in prices, ratings, ingredients, or product labels.</w:t>
      </w:r>
    </w:p>
    <w:p>
      <w:pPr>
        <w:pStyle w:val="ListBullet"/>
        <w:spacing w:after="40"/>
      </w:pPr>
      <w:r>
        <w:t>Exact duplicate rows and near-duplicates representing the same product.</w:t>
      </w:r>
    </w:p>
    <w:p>
      <w:pPr>
        <w:pStyle w:val="ListBullet"/>
        <w:spacing w:after="40"/>
      </w:pPr>
      <w:r>
        <w:t>Inconsistent categories such as “Skin Care”, “skincare”, and “skin-care”.</w:t>
      </w:r>
    </w:p>
    <w:p>
      <w:pPr>
        <w:pStyle w:val="ListBullet"/>
        <w:spacing w:after="40"/>
      </w:pPr>
      <w:r>
        <w:t>Incorrect data types, for example prices stored as text.</w:t>
      </w:r>
    </w:p>
    <w:p>
      <w:pPr>
        <w:pStyle w:val="ListBullet"/>
        <w:spacing w:after="40"/>
      </w:pPr>
      <w:r>
        <w:t>Outliers such as unusually high prices or review counts.</w:t>
      </w:r>
    </w:p>
    <w:p>
      <w:pPr>
        <w:pStyle w:val="ListBullet"/>
        <w:spacing w:after="40"/>
      </w:pPr>
      <w:r>
        <w:t>Different units, including grams, millilitres, ounces, and multiple currencies.</w:t>
      </w:r>
    </w:p>
    <w:p>
      <w:pPr>
        <w:pStyle w:val="ListBullet"/>
        <w:spacing w:after="40"/>
      </w:pPr>
      <w:r>
        <w:t>Text quality issues, including extra spaces, capitalization, and encoding problems.</w:t>
      </w:r>
    </w:p>
    <w:p>
      <w:pPr>
        <w:pStyle w:val="ListBullet"/>
        <w:spacing w:after="40"/>
      </w:pPr>
      <w:r>
        <w:t>Source bias: reviews may not represent all customers, and popular products may be overrepresented.</w:t>
      </w:r>
    </w:p>
    <w:p>
      <w:pPr>
        <w:pStyle w:val="ListBullet"/>
        <w:spacing w:after="40"/>
      </w:pPr>
      <w:r>
        <w:t>Time-related differences: prices and ratings collected on different dates may not be comparable.</w:t>
      </w:r>
    </w:p>
    <w:p>
      <w:pPr>
        <w:pStyle w:val="ListBullet"/>
        <w:spacing w:after="40"/>
      </w:pPr>
      <w:r>
        <w:t>Conflicting source records for the same product or ingredient list.</w:t>
      </w:r>
    </w:p>
    <w:p>
      <w:pPr>
        <w:pStyle w:val="Heading1"/>
      </w:pPr>
      <w:r>
        <w:t>3. Proposed Data Cleaning Pipeline</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17365D"/>
          </w:tcPr>
          <w:p>
            <w:pPr>
              <w:spacing w:after="20"/>
            </w:pPr>
            <w:r/>
            <w:r>
              <w:rPr>
                <w:rFonts w:ascii="Calibri" w:hAnsi="Calibri"/>
                <w:b/>
                <w:color w:val="FFFFFF"/>
                <w:sz w:val="18"/>
              </w:rPr>
              <w:t>Stage</w:t>
            </w:r>
          </w:p>
        </w:tc>
        <w:tc>
          <w:tcPr>
            <w:tcW w:type="dxa" w:w="4320"/>
            <w:vAlign w:val="center"/>
            <w:shd w:fill="17365D"/>
          </w:tcPr>
          <w:p>
            <w:pPr>
              <w:spacing w:after="20"/>
            </w:pPr>
            <w:r/>
            <w:r>
              <w:rPr>
                <w:rFonts w:ascii="Calibri" w:hAnsi="Calibri"/>
                <w:b/>
                <w:color w:val="FFFFFF"/>
                <w:sz w:val="18"/>
              </w:rPr>
              <w:t>Action</w:t>
            </w:r>
          </w:p>
        </w:tc>
        <w:tc>
          <w:tcPr>
            <w:tcW w:type="dxa" w:w="4032"/>
            <w:vAlign w:val="center"/>
            <w:shd w:fill="17365D"/>
          </w:tcPr>
          <w:p>
            <w:pPr>
              <w:spacing w:after="20"/>
            </w:pPr>
            <w:r/>
            <w:r>
              <w:rPr>
                <w:rFonts w:ascii="Calibri" w:hAnsi="Calibri"/>
                <w:b/>
                <w:color w:val="FFFFFF"/>
                <w:sz w:val="18"/>
              </w:rPr>
              <w:t>Rationale</w:t>
            </w:r>
          </w:p>
        </w:tc>
      </w:tr>
      <w:tr>
        <w:tc>
          <w:tcPr>
            <w:tcW w:type="dxa" w:w="1656"/>
            <w:vAlign w:val="center"/>
            <w:shd w:fill="F2F6FC"/>
          </w:tcPr>
          <w:p>
            <w:pPr>
              <w:spacing w:after="20"/>
            </w:pPr>
            <w:r/>
            <w:r>
              <w:rPr>
                <w:rFonts w:ascii="Calibri" w:hAnsi="Calibri"/>
                <w:b w:val="0"/>
                <w:sz w:val="17"/>
              </w:rPr>
              <w:t>1. Source and backup</w:t>
            </w:r>
          </w:p>
        </w:tc>
        <w:tc>
          <w:tcPr>
            <w:tcW w:type="dxa" w:w="4320"/>
            <w:vAlign w:val="center"/>
            <w:shd w:fill="F2F6FC"/>
          </w:tcPr>
          <w:p>
            <w:pPr>
              <w:spacing w:after="20"/>
            </w:pPr>
            <w:r/>
            <w:r>
              <w:rPr>
                <w:rFonts w:ascii="Calibri" w:hAnsi="Calibri"/>
                <w:b w:val="0"/>
                <w:sz w:val="17"/>
              </w:rPr>
              <w:t>Record source details and preserve raw data</w:t>
            </w:r>
          </w:p>
        </w:tc>
        <w:tc>
          <w:tcPr>
            <w:tcW w:type="dxa" w:w="4032"/>
            <w:vAlign w:val="center"/>
            <w:shd w:fill="F2F6FC"/>
          </w:tcPr>
          <w:p>
            <w:pPr>
              <w:spacing w:after="20"/>
            </w:pPr>
            <w:r/>
            <w:r>
              <w:rPr>
                <w:rFonts w:ascii="Calibri" w:hAnsi="Calibri"/>
                <w:b w:val="0"/>
                <w:sz w:val="17"/>
              </w:rPr>
              <w:t>Protect provenance and allow recovery</w:t>
            </w:r>
          </w:p>
        </w:tc>
      </w:tr>
      <w:tr>
        <w:tc>
          <w:tcPr>
            <w:tcW w:type="dxa" w:w="1656"/>
            <w:vAlign w:val="center"/>
          </w:tcPr>
          <w:p>
            <w:pPr>
              <w:spacing w:after="20"/>
            </w:pPr>
            <w:r/>
            <w:r>
              <w:rPr>
                <w:rFonts w:ascii="Calibri" w:hAnsi="Calibri"/>
                <w:b w:val="0"/>
                <w:sz w:val="17"/>
              </w:rPr>
              <w:t>2. Inspect</w:t>
            </w:r>
          </w:p>
        </w:tc>
        <w:tc>
          <w:tcPr>
            <w:tcW w:type="dxa" w:w="4320"/>
            <w:vAlign w:val="center"/>
          </w:tcPr>
          <w:p>
            <w:pPr>
              <w:spacing w:after="20"/>
            </w:pPr>
            <w:r/>
            <w:r>
              <w:rPr>
                <w:rFonts w:ascii="Calibri" w:hAnsi="Calibri"/>
                <w:b w:val="0"/>
                <w:sz w:val="17"/>
              </w:rPr>
              <w:t>Review schema, types, missingness, duplicates, summaries</w:t>
            </w:r>
          </w:p>
        </w:tc>
        <w:tc>
          <w:tcPr>
            <w:tcW w:type="dxa" w:w="4032"/>
            <w:vAlign w:val="center"/>
          </w:tcPr>
          <w:p>
            <w:pPr>
              <w:spacing w:after="20"/>
            </w:pPr>
            <w:r/>
            <w:r>
              <w:rPr>
                <w:rFonts w:ascii="Calibri" w:hAnsi="Calibri"/>
                <w:b w:val="0"/>
                <w:sz w:val="17"/>
              </w:rPr>
              <w:t>Understand the initial condition</w:t>
            </w:r>
          </w:p>
        </w:tc>
      </w:tr>
      <w:tr>
        <w:tc>
          <w:tcPr>
            <w:tcW w:type="dxa" w:w="1656"/>
            <w:vAlign w:val="center"/>
            <w:shd w:fill="F2F6FC"/>
          </w:tcPr>
          <w:p>
            <w:pPr>
              <w:spacing w:after="20"/>
            </w:pPr>
            <w:r/>
            <w:r>
              <w:rPr>
                <w:rFonts w:ascii="Calibri" w:hAnsi="Calibri"/>
                <w:b w:val="0"/>
                <w:sz w:val="17"/>
              </w:rPr>
              <w:t>3. Validate schema</w:t>
            </w:r>
          </w:p>
        </w:tc>
        <w:tc>
          <w:tcPr>
            <w:tcW w:type="dxa" w:w="4320"/>
            <w:vAlign w:val="center"/>
            <w:shd w:fill="F2F6FC"/>
          </w:tcPr>
          <w:p>
            <w:pPr>
              <w:spacing w:after="20"/>
            </w:pPr>
            <w:r/>
            <w:r>
              <w:rPr>
                <w:rFonts w:ascii="Calibri" w:hAnsi="Calibri"/>
                <w:b w:val="0"/>
                <w:sz w:val="17"/>
              </w:rPr>
              <w:t>Check required columns and expected types</w:t>
            </w:r>
          </w:p>
        </w:tc>
        <w:tc>
          <w:tcPr>
            <w:tcW w:type="dxa" w:w="4032"/>
            <w:vAlign w:val="center"/>
            <w:shd w:fill="F2F6FC"/>
          </w:tcPr>
          <w:p>
            <w:pPr>
              <w:spacing w:after="20"/>
            </w:pPr>
            <w:r/>
            <w:r>
              <w:rPr>
                <w:rFonts w:ascii="Calibri" w:hAnsi="Calibri"/>
                <w:b w:val="0"/>
                <w:sz w:val="17"/>
              </w:rPr>
              <w:t>Catch structural problems early</w:t>
            </w:r>
          </w:p>
        </w:tc>
      </w:tr>
      <w:tr>
        <w:tc>
          <w:tcPr>
            <w:tcW w:type="dxa" w:w="1656"/>
            <w:vAlign w:val="center"/>
          </w:tcPr>
          <w:p>
            <w:pPr>
              <w:spacing w:after="20"/>
            </w:pPr>
            <w:r/>
            <w:r>
              <w:rPr>
                <w:rFonts w:ascii="Calibri" w:hAnsi="Calibri"/>
                <w:b w:val="0"/>
                <w:sz w:val="17"/>
              </w:rPr>
              <w:t>4. Missing values</w:t>
            </w:r>
          </w:p>
        </w:tc>
        <w:tc>
          <w:tcPr>
            <w:tcW w:type="dxa" w:w="4320"/>
            <w:vAlign w:val="center"/>
          </w:tcPr>
          <w:p>
            <w:pPr>
              <w:spacing w:after="20"/>
            </w:pPr>
            <w:r/>
            <w:r>
              <w:rPr>
                <w:rFonts w:ascii="Calibri" w:hAnsi="Calibri"/>
                <w:b w:val="0"/>
                <w:sz w:val="17"/>
              </w:rPr>
              <w:t>Profile missingness and apply column-specific rules</w:t>
            </w:r>
          </w:p>
        </w:tc>
        <w:tc>
          <w:tcPr>
            <w:tcW w:type="dxa" w:w="4032"/>
            <w:vAlign w:val="center"/>
          </w:tcPr>
          <w:p>
            <w:pPr>
              <w:spacing w:after="20"/>
            </w:pPr>
            <w:r/>
            <w:r>
              <w:rPr>
                <w:rFonts w:ascii="Calibri" w:hAnsi="Calibri"/>
                <w:b w:val="0"/>
                <w:sz w:val="17"/>
              </w:rPr>
              <w:t>Avoid arbitrary deletion or imputation</w:t>
            </w:r>
          </w:p>
        </w:tc>
      </w:tr>
      <w:tr>
        <w:tc>
          <w:tcPr>
            <w:tcW w:type="dxa" w:w="1656"/>
            <w:vAlign w:val="center"/>
            <w:shd w:fill="F2F6FC"/>
          </w:tcPr>
          <w:p>
            <w:pPr>
              <w:spacing w:after="20"/>
            </w:pPr>
            <w:r/>
            <w:r>
              <w:rPr>
                <w:rFonts w:ascii="Calibri" w:hAnsi="Calibri"/>
                <w:b w:val="0"/>
                <w:sz w:val="17"/>
              </w:rPr>
              <w:t>5. Duplicates</w:t>
            </w:r>
          </w:p>
        </w:tc>
        <w:tc>
          <w:tcPr>
            <w:tcW w:type="dxa" w:w="4320"/>
            <w:vAlign w:val="center"/>
            <w:shd w:fill="F2F6FC"/>
          </w:tcPr>
          <w:p>
            <w:pPr>
              <w:spacing w:after="20"/>
            </w:pPr>
            <w:r/>
            <w:r>
              <w:rPr>
                <w:rFonts w:ascii="Calibri" w:hAnsi="Calibri"/>
                <w:b w:val="0"/>
                <w:sz w:val="17"/>
              </w:rPr>
              <w:t>Identify exact and likely duplicate records</w:t>
            </w:r>
          </w:p>
        </w:tc>
        <w:tc>
          <w:tcPr>
            <w:tcW w:type="dxa" w:w="4032"/>
            <w:vAlign w:val="center"/>
            <w:shd w:fill="F2F6FC"/>
          </w:tcPr>
          <w:p>
            <w:pPr>
              <w:spacing w:after="20"/>
            </w:pPr>
            <w:r/>
            <w:r>
              <w:rPr>
                <w:rFonts w:ascii="Calibri" w:hAnsi="Calibri"/>
                <w:b w:val="0"/>
                <w:sz w:val="17"/>
              </w:rPr>
              <w:t>Prevent inflated counts</w:t>
            </w:r>
          </w:p>
        </w:tc>
      </w:tr>
      <w:tr>
        <w:tc>
          <w:tcPr>
            <w:tcW w:type="dxa" w:w="1656"/>
            <w:vAlign w:val="center"/>
          </w:tcPr>
          <w:p>
            <w:pPr>
              <w:spacing w:after="20"/>
            </w:pPr>
            <w:r/>
            <w:r>
              <w:rPr>
                <w:rFonts w:ascii="Calibri" w:hAnsi="Calibri"/>
                <w:b w:val="0"/>
                <w:sz w:val="17"/>
              </w:rPr>
              <w:t>6. Standardize</w:t>
            </w:r>
          </w:p>
        </w:tc>
        <w:tc>
          <w:tcPr>
            <w:tcW w:type="dxa" w:w="4320"/>
            <w:vAlign w:val="center"/>
          </w:tcPr>
          <w:p>
            <w:pPr>
              <w:spacing w:after="20"/>
            </w:pPr>
            <w:r/>
            <w:r>
              <w:rPr>
                <w:rFonts w:ascii="Calibri" w:hAnsi="Calibri"/>
                <w:b w:val="0"/>
                <w:sz w:val="17"/>
              </w:rPr>
              <w:t>Normalize labels, dates, types, units, and currency</w:t>
            </w:r>
          </w:p>
        </w:tc>
        <w:tc>
          <w:tcPr>
            <w:tcW w:type="dxa" w:w="4032"/>
            <w:vAlign w:val="center"/>
          </w:tcPr>
          <w:p>
            <w:pPr>
              <w:spacing w:after="20"/>
            </w:pPr>
            <w:r/>
            <w:r>
              <w:rPr>
                <w:rFonts w:ascii="Calibri" w:hAnsi="Calibri"/>
                <w:b w:val="0"/>
                <w:sz w:val="17"/>
              </w:rPr>
              <w:t>Make records comparable</w:t>
            </w:r>
          </w:p>
        </w:tc>
      </w:tr>
      <w:tr>
        <w:tc>
          <w:tcPr>
            <w:tcW w:type="dxa" w:w="1656"/>
            <w:vAlign w:val="center"/>
            <w:shd w:fill="F2F6FC"/>
          </w:tcPr>
          <w:p>
            <w:pPr>
              <w:spacing w:after="20"/>
            </w:pPr>
            <w:r/>
            <w:r>
              <w:rPr>
                <w:rFonts w:ascii="Calibri" w:hAnsi="Calibri"/>
                <w:b w:val="0"/>
                <w:sz w:val="17"/>
              </w:rPr>
              <w:t>7. Outliers</w:t>
            </w:r>
          </w:p>
        </w:tc>
        <w:tc>
          <w:tcPr>
            <w:tcW w:type="dxa" w:w="4320"/>
            <w:vAlign w:val="center"/>
            <w:shd w:fill="F2F6FC"/>
          </w:tcPr>
          <w:p>
            <w:pPr>
              <w:spacing w:after="20"/>
            </w:pPr>
            <w:r/>
            <w:r>
              <w:rPr>
                <w:rFonts w:ascii="Calibri" w:hAnsi="Calibri"/>
                <w:b w:val="0"/>
                <w:sz w:val="17"/>
              </w:rPr>
              <w:t>Flag unusual values and investigate their source</w:t>
            </w:r>
          </w:p>
        </w:tc>
        <w:tc>
          <w:tcPr>
            <w:tcW w:type="dxa" w:w="4032"/>
            <w:vAlign w:val="center"/>
            <w:shd w:fill="F2F6FC"/>
          </w:tcPr>
          <w:p>
            <w:pPr>
              <w:spacing w:after="20"/>
            </w:pPr>
            <w:r/>
            <w:r>
              <w:rPr>
                <w:rFonts w:ascii="Calibri" w:hAnsi="Calibri"/>
                <w:b w:val="0"/>
                <w:sz w:val="17"/>
              </w:rPr>
              <w:t>Separate errors from legitimate extremes</w:t>
            </w:r>
          </w:p>
        </w:tc>
      </w:tr>
      <w:tr>
        <w:tc>
          <w:tcPr>
            <w:tcW w:type="dxa" w:w="1656"/>
            <w:vAlign w:val="center"/>
          </w:tcPr>
          <w:p>
            <w:pPr>
              <w:spacing w:after="20"/>
            </w:pPr>
            <w:r/>
            <w:r>
              <w:rPr>
                <w:rFonts w:ascii="Calibri" w:hAnsi="Calibri"/>
                <w:b w:val="0"/>
                <w:sz w:val="17"/>
              </w:rPr>
              <w:t>8. Scale features</w:t>
            </w:r>
          </w:p>
        </w:tc>
        <w:tc>
          <w:tcPr>
            <w:tcW w:type="dxa" w:w="4320"/>
            <w:vAlign w:val="center"/>
          </w:tcPr>
          <w:p>
            <w:pPr>
              <w:spacing w:after="20"/>
            </w:pPr>
            <w:r/>
            <w:r>
              <w:rPr>
                <w:rFonts w:ascii="Calibri" w:hAnsi="Calibri"/>
                <w:b w:val="0"/>
                <w:sz w:val="17"/>
              </w:rPr>
              <w:t>Apply scaling only when needed</w:t>
            </w:r>
          </w:p>
        </w:tc>
        <w:tc>
          <w:tcPr>
            <w:tcW w:type="dxa" w:w="4032"/>
            <w:vAlign w:val="center"/>
          </w:tcPr>
          <w:p>
            <w:pPr>
              <w:spacing w:after="20"/>
            </w:pPr>
            <w:r/>
            <w:r>
              <w:rPr>
                <w:rFonts w:ascii="Calibri" w:hAnsi="Calibri"/>
                <w:b w:val="0"/>
                <w:sz w:val="17"/>
              </w:rPr>
              <w:t>Prepare numerical features for selected models</w:t>
            </w:r>
          </w:p>
        </w:tc>
      </w:tr>
      <w:tr>
        <w:tc>
          <w:tcPr>
            <w:tcW w:type="dxa" w:w="1656"/>
            <w:vAlign w:val="center"/>
            <w:shd w:fill="F2F6FC"/>
          </w:tcPr>
          <w:p>
            <w:pPr>
              <w:spacing w:after="20"/>
            </w:pPr>
            <w:r/>
            <w:r>
              <w:rPr>
                <w:rFonts w:ascii="Calibri" w:hAnsi="Calibri"/>
                <w:b w:val="0"/>
                <w:sz w:val="17"/>
              </w:rPr>
              <w:t>9. Validate</w:t>
            </w:r>
          </w:p>
        </w:tc>
        <w:tc>
          <w:tcPr>
            <w:tcW w:type="dxa" w:w="4320"/>
            <w:vAlign w:val="center"/>
            <w:shd w:fill="F2F6FC"/>
          </w:tcPr>
          <w:p>
            <w:pPr>
              <w:spacing w:after="20"/>
            </w:pPr>
            <w:r/>
            <w:r>
              <w:rPr>
                <w:rFonts w:ascii="Calibri" w:hAnsi="Calibri"/>
                <w:b w:val="0"/>
                <w:sz w:val="17"/>
              </w:rPr>
              <w:t>Run business-rule and quality checks</w:t>
            </w:r>
          </w:p>
        </w:tc>
        <w:tc>
          <w:tcPr>
            <w:tcW w:type="dxa" w:w="4032"/>
            <w:vAlign w:val="center"/>
            <w:shd w:fill="F2F6FC"/>
          </w:tcPr>
          <w:p>
            <w:pPr>
              <w:spacing w:after="20"/>
            </w:pPr>
            <w:r/>
            <w:r>
              <w:rPr>
                <w:rFonts w:ascii="Calibri" w:hAnsi="Calibri"/>
                <w:b w:val="0"/>
                <w:sz w:val="17"/>
              </w:rPr>
              <w:t>Verify the output</w:t>
            </w:r>
          </w:p>
        </w:tc>
      </w:tr>
      <w:tr>
        <w:tc>
          <w:tcPr>
            <w:tcW w:type="dxa" w:w="1656"/>
            <w:vAlign w:val="center"/>
          </w:tcPr>
          <w:p>
            <w:pPr>
              <w:spacing w:after="20"/>
            </w:pPr>
            <w:r/>
            <w:r>
              <w:rPr>
                <w:rFonts w:ascii="Calibri" w:hAnsi="Calibri"/>
                <w:b w:val="0"/>
                <w:sz w:val="17"/>
              </w:rPr>
              <w:t>10. Export and log</w:t>
            </w:r>
          </w:p>
        </w:tc>
        <w:tc>
          <w:tcPr>
            <w:tcW w:type="dxa" w:w="4320"/>
            <w:vAlign w:val="center"/>
          </w:tcPr>
          <w:p>
            <w:pPr>
              <w:spacing w:after="20"/>
            </w:pPr>
            <w:r/>
            <w:r>
              <w:rPr>
                <w:rFonts w:ascii="Calibri" w:hAnsi="Calibri"/>
                <w:b w:val="0"/>
                <w:sz w:val="17"/>
              </w:rPr>
              <w:t>Save clean data, rules, and processing logs</w:t>
            </w:r>
          </w:p>
        </w:tc>
        <w:tc>
          <w:tcPr>
            <w:tcW w:type="dxa" w:w="4032"/>
            <w:vAlign w:val="center"/>
          </w:tcPr>
          <w:p>
            <w:pPr>
              <w:spacing w:after="20"/>
            </w:pPr>
            <w:r/>
            <w:r>
              <w:rPr>
                <w:rFonts w:ascii="Calibri" w:hAnsi="Calibri"/>
                <w:b w:val="0"/>
                <w:sz w:val="17"/>
              </w:rPr>
              <w:t>Support reproducibility</w:t>
            </w:r>
          </w:p>
        </w:tc>
      </w:tr>
    </w:tbl>
    <w:p/>
    <w:p>
      <w:pPr>
        <w:pStyle w:val="Heading1"/>
      </w:pPr>
      <w:r>
        <w:t>4. Step-by-Step Cleaning Methodology</w:t>
      </w:r>
    </w:p>
    <w:p>
      <w:pPr>
        <w:pStyle w:val="Heading2"/>
      </w:pPr>
      <w:r>
        <w:t>4.1 Data collection and backup</w:t>
      </w:r>
    </w:p>
    <w:p>
      <w:r>
        <w:t>Identify suitable public datasets from sources such as government open-data portals, research repositories, or publicly accessible product datasets. Record the source name, URL, retrieval date, license, permitted use, and known limitations. Preserve an unchanged copy of the raw dataset and perform cleaning on a working copy.</w:t>
      </w:r>
    </w:p>
    <w:p>
      <w:pPr>
        <w:pStyle w:val="Heading2"/>
      </w:pPr>
      <w:r>
        <w:t>4.2 Initial inspection</w:t>
      </w:r>
    </w:p>
    <w:p>
      <w:r>
        <w:t>Pandas can inspect the structure, data types, missing values, duplicate rows, and descriptive statistics.</w:t>
      </w:r>
    </w:p>
    <w:p>
      <w:pPr>
        <w:pStyle w:val="CodeBlock"/>
        <w:keepLines/>
        <w:shd w:fill="F2F2F2"/>
      </w:pPr>
      <w:r>
        <w:t>import pandas as pd</w:t>
      </w:r>
    </w:p>
    <w:p>
      <w:pPr>
        <w:pStyle w:val="CodeBlock"/>
        <w:keepLines/>
        <w:shd w:fill="F2F2F2"/>
      </w:pPr>
      <w:r>
        <w:t>import numpy as np</w:t>
      </w:r>
    </w:p>
    <w:p>
      <w:pPr>
        <w:pStyle w:val="CodeBlock"/>
        <w:keepLines/>
        <w:shd w:fill="F2F2F2"/>
      </w:pPr>
      <w:r>
        <w:t xml:space="preserve"> </w:t>
      </w:r>
    </w:p>
    <w:p>
      <w:pPr>
        <w:pStyle w:val="CodeBlock"/>
        <w:keepLines/>
        <w:shd w:fill="F2F2F2"/>
      </w:pPr>
      <w:r>
        <w:t>df = pd.read_csv("beauty_wellness_raw.csv")</w:t>
      </w:r>
    </w:p>
    <w:p>
      <w:pPr>
        <w:pStyle w:val="CodeBlock"/>
        <w:keepLines/>
        <w:shd w:fill="F2F2F2"/>
      </w:pPr>
      <w:r>
        <w:t xml:space="preserve"> </w:t>
      </w:r>
    </w:p>
    <w:p>
      <w:pPr>
        <w:pStyle w:val="CodeBlock"/>
        <w:keepLines/>
        <w:shd w:fill="F2F2F2"/>
      </w:pPr>
      <w:r>
        <w:t>print(df.head())</w:t>
      </w:r>
    </w:p>
    <w:p>
      <w:pPr>
        <w:pStyle w:val="CodeBlock"/>
        <w:keepLines/>
        <w:shd w:fill="F2F2F2"/>
      </w:pPr>
      <w:r>
        <w:t>print(df.shape)</w:t>
      </w:r>
    </w:p>
    <w:p>
      <w:pPr>
        <w:pStyle w:val="CodeBlock"/>
        <w:keepLines/>
        <w:shd w:fill="F2F2F2"/>
      </w:pPr>
      <w:r>
        <w:t>print(df.info())</w:t>
      </w:r>
    </w:p>
    <w:p>
      <w:pPr>
        <w:pStyle w:val="CodeBlock"/>
        <w:keepLines/>
        <w:shd w:fill="F2F2F2"/>
      </w:pPr>
      <w:r>
        <w:t>print(df.isnull().sum())</w:t>
      </w:r>
    </w:p>
    <w:p>
      <w:pPr>
        <w:pStyle w:val="CodeBlock"/>
        <w:keepLines/>
        <w:shd w:fill="F2F2F2"/>
      </w:pPr>
      <w:r>
        <w:t>print(df.duplicated().sum())</w:t>
      </w:r>
    </w:p>
    <w:p>
      <w:pPr>
        <w:pStyle w:val="CodeBlock"/>
        <w:keepLines/>
        <w:shd w:fill="F2F2F2"/>
      </w:pPr>
      <w:r>
        <w:t>print(df.describe(include="all"))</w:t>
      </w:r>
    </w:p>
    <w:p>
      <w:pPr>
        <w:pStyle w:val="Heading2"/>
      </w:pPr>
      <w:r>
        <w:t>4.3 Handling missing values</w:t>
      </w:r>
    </w:p>
    <w:p>
      <w:r>
        <w:t>Calculate the number and percentage of missing values in each column. Investigate whether missingness is related to a particular source, product type, or collection method. Select treatment according to the meaning of the field rather than using one rule for every column.</w:t>
      </w:r>
    </w:p>
    <w:p>
      <w:pPr>
        <w:pStyle w:val="ListBullet"/>
        <w:spacing w:after="40"/>
      </w:pPr>
      <w:r>
        <w:t>Product_ID: investigate missing identifiers; exclude from identifier-dependent matching if no reliable recovery is possible.</w:t>
      </w:r>
    </w:p>
    <w:p>
      <w:pPr>
        <w:pStyle w:val="ListBullet"/>
        <w:spacing w:after="40"/>
      </w:pPr>
      <w:r>
        <w:t>Price: retain as missing if the true price is unknown. Do not invent a price simply to fill the field.</w:t>
      </w:r>
    </w:p>
    <w:p>
      <w:pPr>
        <w:pStyle w:val="ListBullet"/>
        <w:spacing w:after="40"/>
      </w:pPr>
      <w:r>
        <w:t>Rating: do not replace missing ratings with zero, because zero may be interpreted as a real rating.</w:t>
      </w:r>
    </w:p>
    <w:p>
      <w:pPr>
        <w:pStyle w:val="ListBullet"/>
        <w:spacing w:after="40"/>
      </w:pPr>
      <w:r>
        <w:t>Category: recover from a reliable source if possible; otherwise use a clearly marked “Unknown” category.</w:t>
      </w:r>
    </w:p>
    <w:p>
      <w:pPr>
        <w:pStyle w:val="ListBullet"/>
        <w:spacing w:after="40"/>
      </w:pPr>
      <w:r>
        <w:t>Ingredients: distinguish unknown ingredient information from a known empty list.</w:t>
      </w:r>
    </w:p>
    <w:p>
      <w:pPr>
        <w:pStyle w:val="ListBullet"/>
        <w:spacing w:after="40"/>
      </w:pPr>
      <w:r>
        <w:t>Numerical modeling features: median imputation may be appropriate when justified; fit the imputer on training data only.</w:t>
      </w:r>
    </w:p>
    <w:p>
      <w:pPr>
        <w:pStyle w:val="CodeBlock"/>
        <w:keepLines/>
        <w:shd w:fill="F2F2F2"/>
      </w:pPr>
      <w:r>
        <w:t>missing_summary = pd.DataFrame({</w:t>
      </w:r>
    </w:p>
    <w:p>
      <w:pPr>
        <w:pStyle w:val="CodeBlock"/>
        <w:keepLines/>
        <w:shd w:fill="F2F2F2"/>
      </w:pPr>
      <w:r>
        <w:t xml:space="preserve">    "missing_count": df.isnull().sum(),</w:t>
      </w:r>
    </w:p>
    <w:p>
      <w:pPr>
        <w:pStyle w:val="CodeBlock"/>
        <w:keepLines/>
        <w:shd w:fill="F2F2F2"/>
      </w:pPr>
      <w:r>
        <w:t xml:space="preserve">    "missing_percent": (df.isnull().mean() * 100).round(2)</w:t>
      </w:r>
    </w:p>
    <w:p>
      <w:pPr>
        <w:pStyle w:val="CodeBlock"/>
        <w:keepLines/>
        <w:shd w:fill="F2F2F2"/>
      </w:pPr>
      <w:r>
        <w:t>})</w:t>
      </w:r>
    </w:p>
    <w:p>
      <w:pPr>
        <w:pStyle w:val="CodeBlock"/>
        <w:keepLines/>
        <w:shd w:fill="F2F2F2"/>
      </w:pPr>
      <w:r>
        <w:t>print(missing_summary)</w:t>
      </w:r>
    </w:p>
    <w:p>
      <w:r>
        <w:t>Delete rows only when the missing information makes them unusable for the intended task or when a documented rule supports exclusion. Record how many records are affected and why.</w:t>
      </w:r>
    </w:p>
    <w:p>
      <w:pPr>
        <w:pStyle w:val="Heading2"/>
      </w:pPr>
      <w:r>
        <w:t>4.4 Duplicate detection</w:t>
      </w:r>
    </w:p>
    <w:p>
      <w:r>
        <w:t>Exact duplicate rows can inflate product counts and distort summary statistics. Near-duplicates require more care: products with the same name may have different sizes, formulations, or package variants. Check identifiers, brand, size, formulation, and source before merging records.</w:t>
      </w:r>
    </w:p>
    <w:p>
      <w:pPr>
        <w:pStyle w:val="CodeBlock"/>
        <w:keepLines/>
        <w:shd w:fill="F2F2F2"/>
      </w:pPr>
      <w:r>
        <w:t>duplicate_count = df.duplicated().sum()</w:t>
      </w:r>
    </w:p>
    <w:p>
      <w:pPr>
        <w:pStyle w:val="CodeBlock"/>
        <w:keepLines/>
        <w:shd w:fill="F2F2F2"/>
      </w:pPr>
      <w:r>
        <w:t>print("Exact duplicate rows:", duplicate_count)</w:t>
      </w:r>
    </w:p>
    <w:p>
      <w:pPr>
        <w:pStyle w:val="CodeBlock"/>
        <w:keepLines/>
        <w:shd w:fill="F2F2F2"/>
      </w:pPr>
      <w:r>
        <w:t xml:space="preserve"> </w:t>
      </w:r>
    </w:p>
    <w:p>
      <w:pPr>
        <w:pStyle w:val="CodeBlock"/>
        <w:keepLines/>
        <w:shd w:fill="F2F2F2"/>
      </w:pPr>
      <w:r>
        <w:t>df = df.drop_duplicates()</w:t>
      </w:r>
    </w:p>
    <w:p>
      <w:pPr>
        <w:pStyle w:val="Heading2"/>
      </w:pPr>
      <w:r>
        <w:t>4.5 Detecting and handling outliers</w:t>
      </w:r>
    </w:p>
    <w:p>
      <w:r>
        <w:t>Outliers are observations that differ substantially from the rest of the data. They may indicate data-entry errors, unit mismatches, or legitimate premium products. The Interquartile Range (IQR) method is a useful screening technique:</w:t>
      </w:r>
    </w:p>
    <w:tbl>
      <w:tblPr>
        <w:tblStyle w:val="TableGrid"/>
        <w:tblW w:type="auto" w:w="0"/>
        <w:tblLook w:firstColumn="1" w:firstRow="1" w:lastColumn="0" w:lastRow="0" w:noHBand="0" w:noVBand="1" w:val="04A0"/>
      </w:tblPr>
      <w:tblGrid>
        <w:gridCol w:w="9936"/>
      </w:tblGrid>
      <w:tr>
        <w:tc>
          <w:tcPr>
            <w:tcW w:type="dxa" w:w="9936"/>
            <w:shd w:fill="EAF2F8"/>
          </w:tcPr>
          <w:p>
            <w:pPr>
              <w:spacing w:after="60"/>
            </w:pPr>
            <w:r/>
            <w:r>
              <w:rPr>
                <w:i/>
                <w:color w:val="17365D"/>
                <w:sz w:val="18"/>
              </w:rPr>
              <w:t>IQR = Q3 − Q1    |    Lower boundary = Q1 − 1.5 × IQR    |    Upper boundary = Q3 + 1.5 × IQR</w:t>
            </w:r>
          </w:p>
        </w:tc>
      </w:tr>
    </w:tbl>
    <w:p/>
    <w:p>
      <w:pPr>
        <w:pStyle w:val="CodeBlock"/>
        <w:keepLines/>
        <w:shd w:fill="F2F2F2"/>
      </w:pPr>
      <w:r>
        <w:t>price = pd.to_numeric(df["Price"], errors="coerce")</w:t>
      </w:r>
    </w:p>
    <w:p>
      <w:pPr>
        <w:pStyle w:val="CodeBlock"/>
        <w:keepLines/>
        <w:shd w:fill="F2F2F2"/>
      </w:pPr>
      <w:r>
        <w:t xml:space="preserve"> </w:t>
      </w:r>
    </w:p>
    <w:p>
      <w:pPr>
        <w:pStyle w:val="CodeBlock"/>
        <w:keepLines/>
        <w:shd w:fill="F2F2F2"/>
      </w:pPr>
      <w:r>
        <w:t>q1 = price.quantile(0.25)</w:t>
      </w:r>
    </w:p>
    <w:p>
      <w:pPr>
        <w:pStyle w:val="CodeBlock"/>
        <w:keepLines/>
        <w:shd w:fill="F2F2F2"/>
      </w:pPr>
      <w:r>
        <w:t>q3 = price.quantile(0.75)</w:t>
      </w:r>
    </w:p>
    <w:p>
      <w:pPr>
        <w:pStyle w:val="CodeBlock"/>
        <w:keepLines/>
        <w:shd w:fill="F2F2F2"/>
      </w:pPr>
      <w:r>
        <w:t>iqr = q3 - q1</w:t>
      </w:r>
    </w:p>
    <w:p>
      <w:pPr>
        <w:pStyle w:val="CodeBlock"/>
        <w:keepLines/>
        <w:shd w:fill="F2F2F2"/>
      </w:pPr>
      <w:r>
        <w:t xml:space="preserve"> </w:t>
      </w:r>
    </w:p>
    <w:p>
      <w:pPr>
        <w:pStyle w:val="CodeBlock"/>
        <w:keepLines/>
        <w:shd w:fill="F2F2F2"/>
      </w:pPr>
      <w:r>
        <w:t>lower = q1 - 1.5 * iqr</w:t>
      </w:r>
    </w:p>
    <w:p>
      <w:pPr>
        <w:pStyle w:val="CodeBlock"/>
        <w:keepLines/>
        <w:shd w:fill="F2F2F2"/>
      </w:pPr>
      <w:r>
        <w:t>upper = q3 + 1.5 * iqr</w:t>
      </w:r>
    </w:p>
    <w:p>
      <w:pPr>
        <w:pStyle w:val="CodeBlock"/>
        <w:keepLines/>
        <w:shd w:fill="F2F2F2"/>
      </w:pPr>
      <w:r>
        <w:t xml:space="preserve"> </w:t>
      </w:r>
    </w:p>
    <w:p>
      <w:pPr>
        <w:pStyle w:val="CodeBlock"/>
        <w:keepLines/>
        <w:shd w:fill="F2F2F2"/>
      </w:pPr>
      <w:r>
        <w:t>outliers = df[(price &lt; lower) | (price &gt; upper)]</w:t>
      </w:r>
    </w:p>
    <w:p>
      <w:pPr>
        <w:pStyle w:val="CodeBlock"/>
        <w:keepLines/>
        <w:shd w:fill="F2F2F2"/>
      </w:pPr>
      <w:r>
        <w:t>print(outliers)</w:t>
      </w:r>
    </w:p>
    <w:p>
      <w:r>
        <w:t>An observation outside the IQR boundaries should be flagged, not automatically deleted. Investigate the original source, currency, unit, and product context. Retain legitimate unusual observations, correct confirmed errors, and document any exclusions. Histograms, box plots, and scatter plots can support this investigation.</w:t>
      </w:r>
    </w:p>
    <w:p>
      <w:pPr>
        <w:pStyle w:val="Heading2"/>
      </w:pPr>
      <w:r>
        <w:t>4.6 Standardizing text and categories</w:t>
      </w:r>
    </w:p>
    <w:p>
      <w:r>
        <w:t>Trim whitespace and apply consistent casing to appropriate fields. Use a mapping dictionary for known equivalents, but do not merge categories merely because their labels look similar.</w:t>
      </w:r>
    </w:p>
    <w:p>
      <w:pPr>
        <w:pStyle w:val="CodeBlock"/>
        <w:keepLines/>
        <w:shd w:fill="F2F2F2"/>
      </w:pPr>
      <w:r>
        <w:t>df.columns = df.columns.str.strip()</w:t>
      </w:r>
    </w:p>
    <w:p>
      <w:pPr>
        <w:pStyle w:val="CodeBlock"/>
        <w:keepLines/>
        <w:shd w:fill="F2F2F2"/>
      </w:pPr>
      <w:r>
        <w:t xml:space="preserve"> </w:t>
      </w:r>
    </w:p>
    <w:p>
      <w:pPr>
        <w:pStyle w:val="CodeBlock"/>
        <w:keepLines/>
        <w:shd w:fill="F2F2F2"/>
      </w:pPr>
      <w:r>
        <w:t>df["Product_Name"] = (</w:t>
      </w:r>
    </w:p>
    <w:p>
      <w:pPr>
        <w:pStyle w:val="CodeBlock"/>
        <w:keepLines/>
        <w:shd w:fill="F2F2F2"/>
      </w:pPr>
      <w:r>
        <w:t xml:space="preserve">    df["Product_Name"].astype("string").str.strip()</w:t>
      </w:r>
    </w:p>
    <w:p>
      <w:pPr>
        <w:pStyle w:val="CodeBlock"/>
        <w:keepLines/>
        <w:shd w:fill="F2F2F2"/>
      </w:pPr>
      <w:r>
        <w:t>)</w:t>
      </w:r>
    </w:p>
    <w:p>
      <w:pPr>
        <w:pStyle w:val="CodeBlock"/>
        <w:keepLines/>
        <w:shd w:fill="F2F2F2"/>
      </w:pPr>
      <w:r>
        <w:t xml:space="preserve"> </w:t>
      </w:r>
    </w:p>
    <w:p>
      <w:pPr>
        <w:pStyle w:val="CodeBlock"/>
        <w:keepLines/>
        <w:shd w:fill="F2F2F2"/>
      </w:pPr>
      <w:r>
        <w:t>df["Category"] = (</w:t>
      </w:r>
    </w:p>
    <w:p>
      <w:pPr>
        <w:pStyle w:val="CodeBlock"/>
        <w:keepLines/>
        <w:shd w:fill="F2F2F2"/>
      </w:pPr>
      <w:r>
        <w:t xml:space="preserve">    df["Category"].astype("string").str.strip().str.lower()</w:t>
      </w:r>
    </w:p>
    <w:p>
      <w:pPr>
        <w:pStyle w:val="CodeBlock"/>
        <w:keepLines/>
        <w:shd w:fill="F2F2F2"/>
      </w:pPr>
      <w:r>
        <w:t>)</w:t>
      </w:r>
    </w:p>
    <w:p>
      <w:pPr>
        <w:pStyle w:val="CodeBlock"/>
        <w:keepLines/>
        <w:shd w:fill="F2F2F2"/>
      </w:pPr>
      <w:r>
        <w:t xml:space="preserve"> </w:t>
      </w:r>
    </w:p>
    <w:p>
      <w:pPr>
        <w:pStyle w:val="CodeBlock"/>
        <w:keepLines/>
        <w:shd w:fill="F2F2F2"/>
      </w:pPr>
      <w:r>
        <w:t>category_map = {</w:t>
      </w:r>
    </w:p>
    <w:p>
      <w:pPr>
        <w:pStyle w:val="CodeBlock"/>
        <w:keepLines/>
        <w:shd w:fill="F2F2F2"/>
      </w:pPr>
      <w:r>
        <w:t xml:space="preserve">    "skin care": "skincare",</w:t>
      </w:r>
    </w:p>
    <w:p>
      <w:pPr>
        <w:pStyle w:val="CodeBlock"/>
        <w:keepLines/>
        <w:shd w:fill="F2F2F2"/>
      </w:pPr>
      <w:r>
        <w:t xml:space="preserve">    "skin-care": "skincare",</w:t>
      </w:r>
    </w:p>
    <w:p>
      <w:pPr>
        <w:pStyle w:val="CodeBlock"/>
        <w:keepLines/>
        <w:shd w:fill="F2F2F2"/>
      </w:pPr>
      <w:r>
        <w:t xml:space="preserve">    "hair care": "haircare",</w:t>
      </w:r>
    </w:p>
    <w:p>
      <w:pPr>
        <w:pStyle w:val="CodeBlock"/>
        <w:keepLines/>
        <w:shd w:fill="F2F2F2"/>
      </w:pPr>
      <w:r>
        <w:t xml:space="preserve">    "hair-care": "haircare"</w:t>
      </w:r>
    </w:p>
    <w:p>
      <w:pPr>
        <w:pStyle w:val="CodeBlock"/>
        <w:keepLines/>
        <w:shd w:fill="F2F2F2"/>
      </w:pPr>
      <w:r>
        <w:t>}</w:t>
      </w:r>
    </w:p>
    <w:p>
      <w:pPr>
        <w:pStyle w:val="CodeBlock"/>
        <w:keepLines/>
        <w:shd w:fill="F2F2F2"/>
      </w:pPr>
      <w:r>
        <w:t>df["Category"] = df["Category"].replace(category_map)</w:t>
      </w:r>
    </w:p>
    <w:p>
      <w:pPr>
        <w:pStyle w:val="Heading2"/>
      </w:pPr>
      <w:r>
        <w:t>4.7 Correcting data types and formats</w:t>
      </w:r>
    </w:p>
    <w:p>
      <w:pPr>
        <w:pStyle w:val="CodeBlock"/>
        <w:keepLines/>
        <w:shd w:fill="F2F2F2"/>
      </w:pPr>
      <w:r>
        <w:t>df["Price"] = pd.to_numeric(df["Price"], errors="coerce")</w:t>
      </w:r>
    </w:p>
    <w:p>
      <w:pPr>
        <w:pStyle w:val="CodeBlock"/>
        <w:keepLines/>
        <w:shd w:fill="F2F2F2"/>
      </w:pPr>
      <w:r>
        <w:t>df["Rating"] = pd.to_numeric(df["Rating"], errors="coerce")</w:t>
      </w:r>
    </w:p>
    <w:p>
      <w:pPr>
        <w:pStyle w:val="CodeBlock"/>
        <w:keepLines/>
        <w:shd w:fill="F2F2F2"/>
      </w:pPr>
      <w:r>
        <w:t>df["Review_Count"] = pd.to_numeric(</w:t>
      </w:r>
    </w:p>
    <w:p>
      <w:pPr>
        <w:pStyle w:val="CodeBlock"/>
        <w:keepLines/>
        <w:shd w:fill="F2F2F2"/>
      </w:pPr>
      <w:r>
        <w:t xml:space="preserve">    df["Review_Count"], errors="coerce"</w:t>
      </w:r>
    </w:p>
    <w:p>
      <w:pPr>
        <w:pStyle w:val="CodeBlock"/>
        <w:keepLines/>
        <w:shd w:fill="F2F2F2"/>
      </w:pPr>
      <w:r>
        <w:t>)</w:t>
      </w:r>
    </w:p>
    <w:p>
      <w:pPr>
        <w:pStyle w:val="CodeBlock"/>
        <w:keepLines/>
        <w:shd w:fill="F2F2F2"/>
      </w:pPr>
      <w:r>
        <w:t>df["Date_Collected"] = pd.to_datetime(</w:t>
      </w:r>
    </w:p>
    <w:p>
      <w:pPr>
        <w:pStyle w:val="CodeBlock"/>
        <w:keepLines/>
        <w:shd w:fill="F2F2F2"/>
      </w:pPr>
      <w:r>
        <w:t xml:space="preserve">    df["Date_Collected"], errors="coerce"</w:t>
      </w:r>
    </w:p>
    <w:p>
      <w:pPr>
        <w:pStyle w:val="CodeBlock"/>
        <w:keepLines/>
        <w:shd w:fill="F2F2F2"/>
      </w:pPr>
      <w:r>
        <w:t>)</w:t>
      </w:r>
    </w:p>
    <w:p>
      <w:r>
        <w:t>After conversion, inspect values that became missing because they could not be parsed. Validate that prices are non-negative, review counts are non-negative whole numbers, ratings fit the original source scale, and collection dates are interpretable. The rating range must be based on the source, rather than assuming all sources use the same scale.</w:t>
      </w:r>
    </w:p>
    <w:p>
      <w:pPr>
        <w:pStyle w:val="Heading2"/>
      </w:pPr>
      <w:r>
        <w:t>4.8 Standardizing units and currency</w:t>
      </w:r>
    </w:p>
    <w:p>
      <w:r>
        <w:t>Product sizes may be reported in grams, kilograms, millilitres, litres, or ounces. Choose a consistent unit where conversion is valid and preserve the original value and unit. Do not treat weight and volume as interchangeable. If prices use different currencies, document the exchange-rate source and date, retain the original currency, and record the converted value separately.</w:t>
      </w:r>
    </w:p>
    <w:p>
      <w:pPr>
        <w:pStyle w:val="Heading2"/>
      </w:pPr>
      <w:r>
        <w:t>4.9 Normalization and feature scaling</w:t>
      </w:r>
    </w:p>
    <w:p>
      <w:r>
        <w:t>Scaling can help selected machine-learning algorithms when numerical features have very different ranges.</w:t>
      </w:r>
    </w:p>
    <w:tbl>
      <w:tblPr>
        <w:tblStyle w:val="TableGrid"/>
        <w:tblW w:type="auto" w:w="0"/>
        <w:tblLook w:firstColumn="1" w:firstRow="1" w:lastColumn="0" w:lastRow="0" w:noHBand="0" w:noVBand="1" w:val="04A0"/>
      </w:tblPr>
      <w:tblGrid>
        <w:gridCol w:w="9936"/>
      </w:tblGrid>
      <w:tr>
        <w:tc>
          <w:tcPr>
            <w:tcW w:type="dxa" w:w="9936"/>
            <w:shd w:fill="EAF2F8"/>
          </w:tcPr>
          <w:p>
            <w:pPr>
              <w:spacing w:after="60"/>
            </w:pPr>
            <w:r/>
            <w:r>
              <w:rPr>
                <w:i/>
                <w:color w:val="17365D"/>
                <w:sz w:val="18"/>
              </w:rPr>
              <w:t>Min-max scaling: x′ = (x − x_min) / (x_max − x_min)</w:t>
              <w:br/>
              <w:t>Standardization: z = (x − μ) / σ</w:t>
            </w:r>
          </w:p>
        </w:tc>
      </w:tr>
    </w:tbl>
    <w:p/>
    <w:p>
      <w:r>
        <w:t>Min-max scaling commonly maps values to the range 0–1. Standardization produces values centered around the mean with a standard deviation of one. Scaling may be useful for K-nearest neighbors and certain regularized models; tree-based models often do not require it. Scaling is not a replacement for checking errors or units.</w:t>
      </w:r>
    </w:p>
    <w:p>
      <w:pPr>
        <w:pStyle w:val="CodeBlock"/>
        <w:keepLines/>
        <w:shd w:fill="F2F2F2"/>
      </w:pPr>
      <w:r>
        <w:t>from sklearn.preprocessing import StandardScaler</w:t>
      </w:r>
    </w:p>
    <w:p>
      <w:pPr>
        <w:pStyle w:val="CodeBlock"/>
        <w:keepLines/>
        <w:shd w:fill="F2F2F2"/>
      </w:pPr>
      <w:r>
        <w:t xml:space="preserve"> </w:t>
      </w:r>
    </w:p>
    <w:p>
      <w:pPr>
        <w:pStyle w:val="CodeBlock"/>
        <w:keepLines/>
        <w:shd w:fill="F2F2F2"/>
      </w:pPr>
      <w:r>
        <w:t>scaler = StandardScaler()</w:t>
      </w:r>
    </w:p>
    <w:p>
      <w:pPr>
        <w:pStyle w:val="CodeBlock"/>
        <w:keepLines/>
        <w:shd w:fill="F2F2F2"/>
      </w:pPr>
      <w:r>
        <w:t xml:space="preserve"> </w:t>
      </w:r>
    </w:p>
    <w:p>
      <w:pPr>
        <w:pStyle w:val="CodeBlock"/>
        <w:keepLines/>
        <w:shd w:fill="F2F2F2"/>
      </w:pPr>
      <w:r>
        <w:t># Fit only on the training data</w:t>
      </w:r>
    </w:p>
    <w:p>
      <w:pPr>
        <w:pStyle w:val="CodeBlock"/>
        <w:keepLines/>
        <w:shd w:fill="F2F2F2"/>
      </w:pPr>
      <w:r>
        <w:t>X_train_scaled = scaler.fit_transform(X_train)</w:t>
      </w:r>
    </w:p>
    <w:p>
      <w:pPr>
        <w:pStyle w:val="CodeBlock"/>
        <w:keepLines/>
        <w:shd w:fill="F2F2F2"/>
      </w:pPr>
      <w:r>
        <w:t xml:space="preserve"> </w:t>
      </w:r>
    </w:p>
    <w:p>
      <w:pPr>
        <w:pStyle w:val="CodeBlock"/>
        <w:keepLines/>
        <w:shd w:fill="F2F2F2"/>
      </w:pPr>
      <w:r>
        <w:t># Apply the same fitted transformation to test data</w:t>
      </w:r>
    </w:p>
    <w:p>
      <w:pPr>
        <w:pStyle w:val="CodeBlock"/>
        <w:keepLines/>
        <w:shd w:fill="F2F2F2"/>
      </w:pPr>
      <w:r>
        <w:t>X_test_scaled = scaler.transform(X_test)</w:t>
      </w:r>
    </w:p>
    <w:p>
      <w:r>
        <w:t>For predictive modeling, fit preprocessing steps only on training data and reuse them for validation and test data. This prevents information from the evaluation set leaking into training.</w:t>
      </w:r>
    </w:p>
    <w:p>
      <w:pPr>
        <w:pStyle w:val="Heading1"/>
      </w:pPr>
      <w:r>
        <w:t>5. Python Libraries and Their Applications</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7365D"/>
          </w:tcPr>
          <w:p>
            <w:pPr>
              <w:spacing w:after="20"/>
            </w:pPr>
            <w:r/>
            <w:r>
              <w:rPr>
                <w:rFonts w:ascii="Calibri" w:hAnsi="Calibri"/>
                <w:b/>
                <w:color w:val="FFFFFF"/>
                <w:sz w:val="18"/>
              </w:rPr>
              <w:t>Library</w:t>
            </w:r>
          </w:p>
        </w:tc>
        <w:tc>
          <w:tcPr>
            <w:tcW w:type="dxa" w:w="3816"/>
            <w:vAlign w:val="center"/>
            <w:shd w:fill="17365D"/>
          </w:tcPr>
          <w:p>
            <w:pPr>
              <w:spacing w:after="20"/>
            </w:pPr>
            <w:r/>
            <w:r>
              <w:rPr>
                <w:rFonts w:ascii="Calibri" w:hAnsi="Calibri"/>
                <w:b/>
                <w:color w:val="FFFFFF"/>
                <w:sz w:val="18"/>
              </w:rPr>
              <w:t>Primary role</w:t>
            </w:r>
          </w:p>
        </w:tc>
        <w:tc>
          <w:tcPr>
            <w:tcW w:type="dxa" w:w="4248"/>
            <w:vAlign w:val="center"/>
            <w:shd w:fill="17365D"/>
          </w:tcPr>
          <w:p>
            <w:pPr>
              <w:spacing w:after="20"/>
            </w:pPr>
            <w:r/>
            <w:r>
              <w:rPr>
                <w:rFonts w:ascii="Calibri" w:hAnsi="Calibri"/>
                <w:b/>
                <w:color w:val="FFFFFF"/>
                <w:sz w:val="18"/>
              </w:rPr>
              <w:t>Why it is suitable</w:t>
            </w:r>
          </w:p>
        </w:tc>
      </w:tr>
      <w:tr>
        <w:tc>
          <w:tcPr>
            <w:tcW w:type="dxa" w:w="1944"/>
            <w:vAlign w:val="center"/>
            <w:shd w:fill="F2F6FC"/>
          </w:tcPr>
          <w:p>
            <w:pPr>
              <w:spacing w:after="20"/>
            </w:pPr>
            <w:r/>
            <w:r>
              <w:rPr>
                <w:rFonts w:ascii="Calibri" w:hAnsi="Calibri"/>
                <w:b w:val="0"/>
                <w:sz w:val="17"/>
              </w:rPr>
              <w:t>Pandas</w:t>
            </w:r>
          </w:p>
        </w:tc>
        <w:tc>
          <w:tcPr>
            <w:tcW w:type="dxa" w:w="3816"/>
            <w:vAlign w:val="center"/>
            <w:shd w:fill="F2F6FC"/>
          </w:tcPr>
          <w:p>
            <w:pPr>
              <w:spacing w:after="20"/>
            </w:pPr>
            <w:r/>
            <w:r>
              <w:rPr>
                <w:rFonts w:ascii="Calibri" w:hAnsi="Calibri"/>
                <w:b w:val="0"/>
                <w:sz w:val="17"/>
              </w:rPr>
              <w:t>Read tables, inspect columns, handle missing values and duplicates, transform data, export results</w:t>
            </w:r>
          </w:p>
        </w:tc>
        <w:tc>
          <w:tcPr>
            <w:tcW w:type="dxa" w:w="4248"/>
            <w:vAlign w:val="center"/>
            <w:shd w:fill="F2F6FC"/>
          </w:tcPr>
          <w:p>
            <w:pPr>
              <w:spacing w:after="20"/>
            </w:pPr>
            <w:r/>
            <w:r>
              <w:rPr>
                <w:rFonts w:ascii="Calibri" w:hAnsi="Calibri"/>
                <w:b w:val="0"/>
                <w:sz w:val="17"/>
              </w:rPr>
              <w:t>Designed for tabular data and common cleaning operations</w:t>
            </w:r>
          </w:p>
        </w:tc>
      </w:tr>
      <w:tr>
        <w:tc>
          <w:tcPr>
            <w:tcW w:type="dxa" w:w="1944"/>
            <w:vAlign w:val="center"/>
          </w:tcPr>
          <w:p>
            <w:pPr>
              <w:spacing w:after="20"/>
            </w:pPr>
            <w:r/>
            <w:r>
              <w:rPr>
                <w:rFonts w:ascii="Calibri" w:hAnsi="Calibri"/>
                <w:b w:val="0"/>
                <w:sz w:val="17"/>
              </w:rPr>
              <w:t>NumPy</w:t>
            </w:r>
          </w:p>
        </w:tc>
        <w:tc>
          <w:tcPr>
            <w:tcW w:type="dxa" w:w="3816"/>
            <w:vAlign w:val="center"/>
          </w:tcPr>
          <w:p>
            <w:pPr>
              <w:spacing w:after="20"/>
            </w:pPr>
            <w:r/>
            <w:r>
              <w:rPr>
                <w:rFonts w:ascii="Calibri" w:hAnsi="Calibri"/>
                <w:b w:val="0"/>
                <w:sz w:val="17"/>
              </w:rPr>
              <w:t>Numerical operations, mathematical functions, missing numerical values</w:t>
            </w:r>
          </w:p>
        </w:tc>
        <w:tc>
          <w:tcPr>
            <w:tcW w:type="dxa" w:w="4248"/>
            <w:vAlign w:val="center"/>
          </w:tcPr>
          <w:p>
            <w:pPr>
              <w:spacing w:after="20"/>
            </w:pPr>
            <w:r/>
            <w:r>
              <w:rPr>
                <w:rFonts w:ascii="Calibri" w:hAnsi="Calibri"/>
                <w:b w:val="0"/>
                <w:sz w:val="17"/>
              </w:rPr>
              <w:t>Efficient array operations and broad compatibility</w:t>
            </w:r>
          </w:p>
        </w:tc>
      </w:tr>
      <w:tr>
        <w:tc>
          <w:tcPr>
            <w:tcW w:type="dxa" w:w="1944"/>
            <w:vAlign w:val="center"/>
            <w:shd w:fill="F2F6FC"/>
          </w:tcPr>
          <w:p>
            <w:pPr>
              <w:spacing w:after="20"/>
            </w:pPr>
            <w:r/>
            <w:r>
              <w:rPr>
                <w:rFonts w:ascii="Calibri" w:hAnsi="Calibri"/>
                <w:b w:val="0"/>
                <w:sz w:val="17"/>
              </w:rPr>
              <w:t>Matplotlib</w:t>
            </w:r>
          </w:p>
        </w:tc>
        <w:tc>
          <w:tcPr>
            <w:tcW w:type="dxa" w:w="3816"/>
            <w:vAlign w:val="center"/>
            <w:shd w:fill="F2F6FC"/>
          </w:tcPr>
          <w:p>
            <w:pPr>
              <w:spacing w:after="20"/>
            </w:pPr>
            <w:r/>
            <w:r>
              <w:rPr>
                <w:rFonts w:ascii="Calibri" w:hAnsi="Calibri"/>
                <w:b w:val="0"/>
                <w:sz w:val="17"/>
              </w:rPr>
              <w:t>Histograms, scatter plots, box plots</w:t>
            </w:r>
          </w:p>
        </w:tc>
        <w:tc>
          <w:tcPr>
            <w:tcW w:type="dxa" w:w="4248"/>
            <w:vAlign w:val="center"/>
            <w:shd w:fill="F2F6FC"/>
          </w:tcPr>
          <w:p>
            <w:pPr>
              <w:spacing w:after="20"/>
            </w:pPr>
            <w:r/>
            <w:r>
              <w:rPr>
                <w:rFonts w:ascii="Calibri" w:hAnsi="Calibri"/>
                <w:b w:val="0"/>
                <w:sz w:val="17"/>
              </w:rPr>
              <w:t>Flexible visual inspection of distributions and unusual records</w:t>
            </w:r>
          </w:p>
        </w:tc>
      </w:tr>
      <w:tr>
        <w:tc>
          <w:tcPr>
            <w:tcW w:type="dxa" w:w="1944"/>
            <w:vAlign w:val="center"/>
          </w:tcPr>
          <w:p>
            <w:pPr>
              <w:spacing w:after="20"/>
            </w:pPr>
            <w:r/>
            <w:r>
              <w:rPr>
                <w:rFonts w:ascii="Calibri" w:hAnsi="Calibri"/>
                <w:b w:val="0"/>
                <w:sz w:val="17"/>
              </w:rPr>
              <w:t>Seaborn</w:t>
            </w:r>
          </w:p>
        </w:tc>
        <w:tc>
          <w:tcPr>
            <w:tcW w:type="dxa" w:w="3816"/>
            <w:vAlign w:val="center"/>
          </w:tcPr>
          <w:p>
            <w:pPr>
              <w:spacing w:after="20"/>
            </w:pPr>
            <w:r/>
            <w:r>
              <w:rPr>
                <w:rFonts w:ascii="Calibri" w:hAnsi="Calibri"/>
                <w:b w:val="0"/>
                <w:sz w:val="17"/>
              </w:rPr>
              <w:t>Statistical charts and relationship plots</w:t>
            </w:r>
          </w:p>
        </w:tc>
        <w:tc>
          <w:tcPr>
            <w:tcW w:type="dxa" w:w="4248"/>
            <w:vAlign w:val="center"/>
          </w:tcPr>
          <w:p>
            <w:pPr>
              <w:spacing w:after="20"/>
            </w:pPr>
            <w:r/>
            <w:r>
              <w:rPr>
                <w:rFonts w:ascii="Calibri" w:hAnsi="Calibri"/>
                <w:b w:val="0"/>
                <w:sz w:val="17"/>
              </w:rPr>
              <w:t>Convenient, readable statistical visualizations</w:t>
            </w:r>
          </w:p>
        </w:tc>
      </w:tr>
      <w:tr>
        <w:tc>
          <w:tcPr>
            <w:tcW w:type="dxa" w:w="1944"/>
            <w:vAlign w:val="center"/>
            <w:shd w:fill="F2F6FC"/>
          </w:tcPr>
          <w:p>
            <w:pPr>
              <w:spacing w:after="20"/>
            </w:pPr>
            <w:r/>
            <w:r>
              <w:rPr>
                <w:rFonts w:ascii="Calibri" w:hAnsi="Calibri"/>
                <w:b w:val="0"/>
                <w:sz w:val="17"/>
              </w:rPr>
              <w:t>Scikit-learn</w:t>
            </w:r>
          </w:p>
        </w:tc>
        <w:tc>
          <w:tcPr>
            <w:tcW w:type="dxa" w:w="3816"/>
            <w:vAlign w:val="center"/>
            <w:shd w:fill="F2F6FC"/>
          </w:tcPr>
          <w:p>
            <w:pPr>
              <w:spacing w:after="20"/>
            </w:pPr>
            <w:r/>
            <w:r>
              <w:rPr>
                <w:rFonts w:ascii="Calibri" w:hAnsi="Calibri"/>
                <w:b w:val="0"/>
                <w:sz w:val="17"/>
              </w:rPr>
              <w:t>Imputation, scaling, encoding, preprocessing pipelines</w:t>
            </w:r>
          </w:p>
        </w:tc>
        <w:tc>
          <w:tcPr>
            <w:tcW w:type="dxa" w:w="4248"/>
            <w:vAlign w:val="center"/>
            <w:shd w:fill="F2F6FC"/>
          </w:tcPr>
          <w:p>
            <w:pPr>
              <w:spacing w:after="20"/>
            </w:pPr>
            <w:r/>
            <w:r>
              <w:rPr>
                <w:rFonts w:ascii="Calibri" w:hAnsi="Calibri"/>
                <w:b w:val="0"/>
                <w:sz w:val="17"/>
              </w:rPr>
              <w:t>Reusable transformations suitable for machine-learning workflows</w:t>
            </w:r>
          </w:p>
        </w:tc>
      </w:tr>
      <w:tr>
        <w:tc>
          <w:tcPr>
            <w:tcW w:type="dxa" w:w="1944"/>
            <w:vAlign w:val="center"/>
          </w:tcPr>
          <w:p>
            <w:pPr>
              <w:spacing w:after="20"/>
            </w:pPr>
            <w:r/>
            <w:r>
              <w:rPr>
                <w:rFonts w:ascii="Calibri" w:hAnsi="Calibri"/>
                <w:b w:val="0"/>
                <w:sz w:val="17"/>
              </w:rPr>
              <w:t>Python standard library</w:t>
            </w:r>
          </w:p>
        </w:tc>
        <w:tc>
          <w:tcPr>
            <w:tcW w:type="dxa" w:w="3816"/>
            <w:vAlign w:val="center"/>
          </w:tcPr>
          <w:p>
            <w:pPr>
              <w:spacing w:after="20"/>
            </w:pPr>
            <w:r/>
            <w:r>
              <w:rPr>
                <w:rFonts w:ascii="Calibri" w:hAnsi="Calibri"/>
                <w:b w:val="0"/>
                <w:sz w:val="17"/>
              </w:rPr>
              <w:t>Logging, date utilities, JSON configuration</w:t>
            </w:r>
          </w:p>
        </w:tc>
        <w:tc>
          <w:tcPr>
            <w:tcW w:type="dxa" w:w="4248"/>
            <w:vAlign w:val="center"/>
          </w:tcPr>
          <w:p>
            <w:pPr>
              <w:spacing w:after="20"/>
            </w:pPr>
            <w:r/>
            <w:r>
              <w:rPr>
                <w:rFonts w:ascii="Calibri" w:hAnsi="Calibri"/>
                <w:b w:val="0"/>
                <w:sz w:val="17"/>
              </w:rPr>
              <w:t>Supports traceable process logs and lightweight configuration</w:t>
            </w:r>
          </w:p>
        </w:tc>
      </w:tr>
    </w:tbl>
    <w:p/>
    <w:p>
      <w:pPr>
        <w:pStyle w:val="Heading1"/>
      </w:pPr>
      <w:r>
        <w:t>6. Pseudocode and Overall Workflow Flowchart</w:t>
      </w:r>
    </w:p>
    <w:p>
      <w:pPr>
        <w:pStyle w:val="Heading2"/>
      </w:pPr>
      <w:r>
        <w:t>6.1 Pseudocode</w:t>
      </w:r>
    </w:p>
    <w:p>
      <w:pPr>
        <w:pStyle w:val="CodeBlock"/>
        <w:keepLines/>
        <w:shd w:fill="F2F2F2"/>
      </w:pPr>
      <w:r>
        <w:t>START</w:t>
      </w:r>
    </w:p>
    <w:p>
      <w:pPr>
        <w:pStyle w:val="CodeBlock"/>
        <w:keepLines/>
        <w:shd w:fill="F2F2F2"/>
      </w:pPr>
      <w:r>
        <w:t xml:space="preserve">  Load raw beauty and wellness data</w:t>
      </w:r>
    </w:p>
    <w:p>
      <w:pPr>
        <w:pStyle w:val="CodeBlock"/>
        <w:keepLines/>
        <w:shd w:fill="F2F2F2"/>
      </w:pPr>
      <w:r>
        <w:t xml:space="preserve">  Preserve an unchanged raw-data copy</w:t>
      </w:r>
    </w:p>
    <w:p>
      <w:pPr>
        <w:pStyle w:val="CodeBlock"/>
        <w:keepLines/>
        <w:shd w:fill="F2F2F2"/>
      </w:pPr>
      <w:r>
        <w:t xml:space="preserve">  Inspect columns, types, missingness, duplicates, and summaries</w:t>
      </w:r>
    </w:p>
    <w:p>
      <w:pPr>
        <w:pStyle w:val="CodeBlock"/>
        <w:keepLines/>
        <w:shd w:fill="F2F2F2"/>
      </w:pPr>
      <w:r>
        <w:t xml:space="preserve">  Validate the expected schema</w:t>
      </w:r>
    </w:p>
    <w:p>
      <w:pPr>
        <w:pStyle w:val="CodeBlock"/>
        <w:keepLines/>
        <w:shd w:fill="F2F2F2"/>
      </w:pPr>
      <w:r>
        <w:t xml:space="preserve">  Handle missing values using documented rules</w:t>
      </w:r>
    </w:p>
    <w:p>
      <w:pPr>
        <w:pStyle w:val="CodeBlock"/>
        <w:keepLines/>
        <w:shd w:fill="F2F2F2"/>
      </w:pPr>
      <w:r>
        <w:t xml:space="preserve">  Identify and investigate duplicate records</w:t>
      </w:r>
    </w:p>
    <w:p>
      <w:pPr>
        <w:pStyle w:val="CodeBlock"/>
        <w:keepLines/>
        <w:shd w:fill="F2F2F2"/>
      </w:pPr>
      <w:r>
        <w:t xml:space="preserve">  Convert numerical fields and dates to appropriate types</w:t>
      </w:r>
    </w:p>
    <w:p>
      <w:pPr>
        <w:pStyle w:val="CodeBlock"/>
        <w:keepLines/>
        <w:shd w:fill="F2F2F2"/>
      </w:pPr>
      <w:r>
        <w:t xml:space="preserve">  Standardize product names, categories, units, and currency</w:t>
      </w:r>
    </w:p>
    <w:p>
      <w:pPr>
        <w:pStyle w:val="CodeBlock"/>
        <w:keepLines/>
        <w:shd w:fill="F2F2F2"/>
      </w:pPr>
      <w:r>
        <w:t xml:space="preserve">  Detect outliers and investigate source context</w:t>
      </w:r>
    </w:p>
    <w:p>
      <w:pPr>
        <w:pStyle w:val="CodeBlock"/>
        <w:keepLines/>
        <w:shd w:fill="F2F2F2"/>
      </w:pPr>
      <w:r>
        <w:t xml:space="preserve">  Apply scaling only if required for the model</w:t>
      </w:r>
    </w:p>
    <w:p>
      <w:pPr>
        <w:pStyle w:val="CodeBlock"/>
        <w:keepLines/>
        <w:shd w:fill="F2F2F2"/>
      </w:pPr>
      <w:r>
        <w:t xml:space="preserve">  Run final data-quality checks</w:t>
      </w:r>
    </w:p>
    <w:p>
      <w:pPr>
        <w:pStyle w:val="CodeBlock"/>
        <w:keepLines/>
        <w:shd w:fill="F2F2F2"/>
      </w:pPr>
      <w:r>
        <w:t xml:space="preserve">  Export the cleaned dataset and cleaning log</w:t>
      </w:r>
    </w:p>
    <w:p>
      <w:pPr>
        <w:pStyle w:val="CodeBlock"/>
        <w:keepLines/>
        <w:shd w:fill="F2F2F2"/>
      </w:pPr>
      <w:r>
        <w:t>END</w:t>
      </w:r>
    </w:p>
    <w:p>
      <w:pPr>
        <w:pStyle w:val="Heading2"/>
      </w:pPr>
      <w:r>
        <w:t>6.2 Flowchart</w:t>
      </w:r>
    </w:p>
    <w:tbl>
      <w:tblPr>
        <w:tblStyle w:val="TableGrid"/>
        <w:tblW w:type="auto" w:w="0"/>
        <w:jc w:val="center"/>
        <w:tblLook w:firstColumn="1" w:firstRow="1" w:lastColumn="0" w:lastRow="0" w:noHBand="0" w:noVBand="1" w:val="04A0"/>
      </w:tblPr>
      <w:tblGrid>
        <w:gridCol w:w="9936"/>
      </w:tblGrid>
      <w:tr>
        <w:tc>
          <w:tcPr>
            <w:tcW w:type="dxa" w:w="9936"/>
            <w:shd w:fill="DDEBF7"/>
          </w:tcPr>
          <w:p>
            <w:pPr>
              <w:spacing w:after="40" w:before="40"/>
              <w:jc w:val="center"/>
            </w:pPr>
            <w:r/>
            <w:r>
              <w:rPr>
                <w:b/>
                <w:color w:val="17365D"/>
                <w:sz w:val="18"/>
              </w:rPr>
              <w:t>RAW PUBLIC DATA</w:t>
            </w:r>
          </w:p>
        </w:tc>
      </w:tr>
      <w:tr>
        <w:tc>
          <w:tcPr>
            <w:tcW w:type="dxa" w:w="9936"/>
            <w:shd w:fill="FFFFFF"/>
          </w:tcPr>
          <w:p>
            <w:pPr>
              <w:spacing w:after="40" w:before="40"/>
              <w:jc w:val="center"/>
            </w:pPr>
            <w:r/>
            <w:r>
              <w:rPr>
                <w:b w:val="0"/>
                <w:color w:val="17365D"/>
                <w:sz w:val="22"/>
              </w:rPr>
              <w:t>↓</w:t>
            </w:r>
          </w:p>
        </w:tc>
      </w:tr>
      <w:tr>
        <w:tc>
          <w:tcPr>
            <w:tcW w:type="dxa" w:w="9936"/>
            <w:shd w:fill="EAF2F8"/>
          </w:tcPr>
          <w:p>
            <w:pPr>
              <w:spacing w:after="40" w:before="40"/>
              <w:jc w:val="center"/>
            </w:pPr>
            <w:r/>
            <w:r>
              <w:rPr>
                <w:b/>
                <w:color w:val="17365D"/>
                <w:sz w:val="18"/>
              </w:rPr>
              <w:t>INITIAL INSPECTION &amp; SCHEMA VALIDATION</w:t>
            </w:r>
          </w:p>
        </w:tc>
      </w:tr>
      <w:tr>
        <w:tc>
          <w:tcPr>
            <w:tcW w:type="dxa" w:w="9936"/>
            <w:shd w:fill="FFFFFF"/>
          </w:tcPr>
          <w:p>
            <w:pPr>
              <w:spacing w:after="40" w:before="40"/>
              <w:jc w:val="center"/>
            </w:pPr>
            <w:r/>
            <w:r>
              <w:rPr>
                <w:b w:val="0"/>
                <w:color w:val="17365D"/>
                <w:sz w:val="22"/>
              </w:rPr>
              <w:t>↓</w:t>
            </w:r>
          </w:p>
        </w:tc>
      </w:tr>
      <w:tr>
        <w:tc>
          <w:tcPr>
            <w:tcW w:type="dxa" w:w="9936"/>
            <w:shd w:fill="EAF2F8"/>
          </w:tcPr>
          <w:p>
            <w:pPr>
              <w:spacing w:after="40" w:before="40"/>
              <w:jc w:val="center"/>
            </w:pPr>
            <w:r/>
            <w:r>
              <w:rPr>
                <w:b/>
                <w:color w:val="17365D"/>
                <w:sz w:val="18"/>
              </w:rPr>
              <w:t>MISSING VALUES &amp; DUPLICATE ANALYSIS</w:t>
            </w:r>
          </w:p>
        </w:tc>
      </w:tr>
      <w:tr>
        <w:tc>
          <w:tcPr>
            <w:tcW w:type="dxa" w:w="9936"/>
            <w:shd w:fill="FFFFFF"/>
          </w:tcPr>
          <w:p>
            <w:pPr>
              <w:spacing w:after="40" w:before="40"/>
              <w:jc w:val="center"/>
            </w:pPr>
            <w:r/>
            <w:r>
              <w:rPr>
                <w:b w:val="0"/>
                <w:color w:val="17365D"/>
                <w:sz w:val="22"/>
              </w:rPr>
              <w:t>↓</w:t>
            </w:r>
          </w:p>
        </w:tc>
      </w:tr>
      <w:tr>
        <w:tc>
          <w:tcPr>
            <w:tcW w:type="dxa" w:w="9936"/>
            <w:shd w:fill="EAF2F8"/>
          </w:tcPr>
          <w:p>
            <w:pPr>
              <w:spacing w:after="40" w:before="40"/>
              <w:jc w:val="center"/>
            </w:pPr>
            <w:r/>
            <w:r>
              <w:rPr>
                <w:b/>
                <w:color w:val="17365D"/>
                <w:sz w:val="18"/>
              </w:rPr>
              <w:t>DATA TYPES, LABELS, UNITS &amp; CURRENCY</w:t>
            </w:r>
          </w:p>
        </w:tc>
      </w:tr>
      <w:tr>
        <w:tc>
          <w:tcPr>
            <w:tcW w:type="dxa" w:w="9936"/>
            <w:shd w:fill="FFFFFF"/>
          </w:tcPr>
          <w:p>
            <w:pPr>
              <w:spacing w:after="40" w:before="40"/>
              <w:jc w:val="center"/>
            </w:pPr>
            <w:r/>
            <w:r>
              <w:rPr>
                <w:b w:val="0"/>
                <w:color w:val="17365D"/>
                <w:sz w:val="22"/>
              </w:rPr>
              <w:t>↓</w:t>
            </w:r>
          </w:p>
        </w:tc>
      </w:tr>
      <w:tr>
        <w:tc>
          <w:tcPr>
            <w:tcW w:type="dxa" w:w="9936"/>
            <w:shd w:fill="EAF2F8"/>
          </w:tcPr>
          <w:p>
            <w:pPr>
              <w:spacing w:after="40" w:before="40"/>
              <w:jc w:val="center"/>
            </w:pPr>
            <w:r/>
            <w:r>
              <w:rPr>
                <w:b/>
                <w:color w:val="17365D"/>
                <w:sz w:val="18"/>
              </w:rPr>
              <w:t>OUTLIER DETECTION AND INVESTIGATION</w:t>
            </w:r>
          </w:p>
        </w:tc>
      </w:tr>
      <w:tr>
        <w:tc>
          <w:tcPr>
            <w:tcW w:type="dxa" w:w="9936"/>
            <w:shd w:fill="FFFFFF"/>
          </w:tcPr>
          <w:p>
            <w:pPr>
              <w:spacing w:after="40" w:before="40"/>
              <w:jc w:val="center"/>
            </w:pPr>
            <w:r/>
            <w:r>
              <w:rPr>
                <w:b w:val="0"/>
                <w:color w:val="17365D"/>
                <w:sz w:val="22"/>
              </w:rPr>
              <w:t>↓</w:t>
            </w:r>
          </w:p>
        </w:tc>
      </w:tr>
      <w:tr>
        <w:tc>
          <w:tcPr>
            <w:tcW w:type="dxa" w:w="9936"/>
            <w:shd w:fill="EAF2F8"/>
          </w:tcPr>
          <w:p>
            <w:pPr>
              <w:spacing w:after="40" w:before="40"/>
              <w:jc w:val="center"/>
            </w:pPr>
            <w:r/>
            <w:r>
              <w:rPr>
                <w:b/>
                <w:color w:val="17365D"/>
                <w:sz w:val="18"/>
              </w:rPr>
              <w:t>NORMALIZATION / FEATURE PREPARATION</w:t>
            </w:r>
          </w:p>
        </w:tc>
      </w:tr>
      <w:tr>
        <w:tc>
          <w:tcPr>
            <w:tcW w:type="dxa" w:w="9936"/>
            <w:shd w:fill="FFFFFF"/>
          </w:tcPr>
          <w:p>
            <w:pPr>
              <w:spacing w:after="40" w:before="40"/>
              <w:jc w:val="center"/>
            </w:pPr>
            <w:r/>
            <w:r>
              <w:rPr>
                <w:b w:val="0"/>
                <w:color w:val="17365D"/>
                <w:sz w:val="22"/>
              </w:rPr>
              <w:t>↓</w:t>
            </w:r>
          </w:p>
        </w:tc>
      </w:tr>
      <w:tr>
        <w:tc>
          <w:tcPr>
            <w:tcW w:type="dxa" w:w="9936"/>
            <w:shd w:fill="D9EAD3"/>
          </w:tcPr>
          <w:p>
            <w:pPr>
              <w:spacing w:after="40" w:before="40"/>
              <w:jc w:val="center"/>
            </w:pPr>
            <w:r/>
            <w:r>
              <w:rPr>
                <w:b/>
                <w:color w:val="17365D"/>
                <w:sz w:val="18"/>
              </w:rPr>
              <w:t>FINAL QUALITY CHECKS</w:t>
            </w:r>
          </w:p>
        </w:tc>
      </w:tr>
      <w:tr>
        <w:tc>
          <w:tcPr>
            <w:tcW w:type="dxa" w:w="9936"/>
            <w:shd w:fill="FFFFFF"/>
          </w:tcPr>
          <w:p>
            <w:pPr>
              <w:spacing w:after="40" w:before="40"/>
              <w:jc w:val="center"/>
            </w:pPr>
            <w:r/>
            <w:r>
              <w:rPr>
                <w:b w:val="0"/>
                <w:color w:val="17365D"/>
                <w:sz w:val="22"/>
              </w:rPr>
              <w:t>↓</w:t>
            </w:r>
          </w:p>
        </w:tc>
      </w:tr>
      <w:tr>
        <w:tc>
          <w:tcPr>
            <w:tcW w:type="dxa" w:w="9936"/>
            <w:shd w:fill="D9EAD3"/>
          </w:tcPr>
          <w:p>
            <w:pPr>
              <w:spacing w:after="40" w:before="40"/>
              <w:jc w:val="center"/>
            </w:pPr>
            <w:r/>
            <w:r>
              <w:rPr>
                <w:b/>
                <w:color w:val="17365D"/>
                <w:sz w:val="18"/>
              </w:rPr>
              <w:t>CLEAN DATASET + DOCUMENTATION</w:t>
            </w:r>
          </w:p>
        </w:tc>
      </w:tr>
      <w:tr>
        <w:tc>
          <w:tcPr>
            <w:tcW w:type="dxa" w:w="9936"/>
            <w:shd w:fill="FFFFFF"/>
          </w:tcPr>
          <w:p>
            <w:pPr>
              <w:spacing w:after="40" w:before="40"/>
              <w:jc w:val="center"/>
            </w:pPr>
            <w:r/>
            <w:r>
              <w:rPr>
                <w:b w:val="0"/>
                <w:color w:val="17365D"/>
                <w:sz w:val="22"/>
              </w:rPr>
              <w:t>↓</w:t>
            </w:r>
          </w:p>
        </w:tc>
      </w:tr>
      <w:tr>
        <w:tc>
          <w:tcPr>
            <w:tcW w:type="dxa" w:w="9936"/>
            <w:shd w:fill="DDEBF7"/>
          </w:tcPr>
          <w:p>
            <w:pPr>
              <w:spacing w:after="40" w:before="40"/>
              <w:jc w:val="center"/>
            </w:pPr>
            <w:r/>
            <w:r>
              <w:rPr>
                <w:b/>
                <w:color w:val="17365D"/>
                <w:sz w:val="18"/>
              </w:rPr>
              <w:t>VISUALIZATION, ANALYSIS &amp; MODELING</w:t>
            </w:r>
          </w:p>
        </w:tc>
      </w:tr>
    </w:tbl>
    <w:p/>
    <w:p>
      <w:r>
        <w:t>Rationale: each stage identifies a class of data-quality problem, applies controlled transformations, or verifies the output. The final dataset should be accompanied by a record of the rules and decisions used.</w:t>
      </w:r>
    </w:p>
    <w:p>
      <w:pPr>
        <w:pStyle w:val="Heading1"/>
      </w:pPr>
      <w:r>
        <w:t>7. Documentation and Reproducibility</w:t>
      </w:r>
    </w:p>
    <w:p>
      <w:r>
        <w:t>A reproducible workflow allows another analyst to understand what changed, why it changed, and how the cleaned dataset was generated. The following practices are recommended:</w:t>
      </w:r>
    </w:p>
    <w:p>
      <w:pPr>
        <w:pStyle w:val="ListBullet"/>
        <w:spacing w:after="40"/>
      </w:pPr>
      <w:r>
        <w:t>Preserve the raw dataset as an unchanged reference.</w:t>
      </w:r>
    </w:p>
    <w:p>
      <w:pPr>
        <w:pStyle w:val="ListBullet"/>
        <w:spacing w:after="40"/>
      </w:pPr>
      <w:r>
        <w:t>Record the original source, retrieval date, license, and version.</w:t>
      </w:r>
    </w:p>
    <w:p>
      <w:pPr>
        <w:pStyle w:val="ListBullet"/>
        <w:spacing w:after="40"/>
      </w:pPr>
      <w:r>
        <w:t>Maintain a data dictionary describing columns, data types, and units.</w:t>
      </w:r>
    </w:p>
    <w:p>
      <w:pPr>
        <w:pStyle w:val="ListBullet"/>
        <w:spacing w:after="40"/>
      </w:pPr>
      <w:r>
        <w:t>Document every cleaning rule and its rationale.</w:t>
      </w:r>
    </w:p>
    <w:p>
      <w:pPr>
        <w:pStyle w:val="ListBullet"/>
        <w:spacing w:after="40"/>
      </w:pPr>
      <w:r>
        <w:t>Record row counts before and after major transformations.</w:t>
      </w:r>
    </w:p>
    <w:p>
      <w:pPr>
        <w:pStyle w:val="ListBullet"/>
        <w:spacing w:after="40"/>
      </w:pPr>
      <w:r>
        <w:t>Log invalid records, outliers, and excluded observations.</w:t>
      </w:r>
    </w:p>
    <w:p>
      <w:pPr>
        <w:pStyle w:val="ListBullet"/>
        <w:spacing w:after="40"/>
      </w:pPr>
      <w:r>
        <w:t>Use version control for scripts and documentation.</w:t>
      </w:r>
    </w:p>
    <w:p>
      <w:pPr>
        <w:pStyle w:val="ListBullet"/>
        <w:spacing w:after="40"/>
      </w:pPr>
      <w:r>
        <w:t>Record library versions and relevant configuration settings.</w:t>
      </w:r>
    </w:p>
    <w:p>
      <w:pPr>
        <w:pStyle w:val="ListBullet"/>
        <w:spacing w:after="40"/>
      </w:pPr>
      <w:r>
        <w:t>Fix random seeds when randomized operations are used.</w:t>
      </w:r>
    </w:p>
    <w:p>
      <w:pPr>
        <w:pStyle w:val="ListBullet"/>
        <w:spacing w:after="40"/>
      </w:pPr>
      <w:r>
        <w:t>Run final validation checks and save a summary of their results.</w:t>
      </w:r>
    </w:p>
    <w:p>
      <w:r>
        <w:t>A useful cleaning log can include: timestamp, operation, column affected, number of rows changed, reason, and validation outcome. Store logs separately from the dataset so that the original values remain traceable.</w:t>
      </w:r>
    </w:p>
    <w:p>
      <w:pPr>
        <w:pStyle w:val="Heading1"/>
      </w:pPr>
      <w:r>
        <w:t>8. Beauty &amp; Wellness-Specific Improvements</w:t>
      </w:r>
    </w:p>
    <w:p>
      <w:pPr>
        <w:pStyle w:val="Heading2"/>
      </w:pPr>
      <w:r>
        <w:t>Product variants</w:t>
      </w:r>
    </w:p>
    <w:p>
      <w:r>
        <w:t>Products with different sizes, formulations, or packaging should not be merged incorrectly. A robust matching rule should consider identifiers, brand, product name, size, and source.</w:t>
      </w:r>
    </w:p>
    <w:p>
      <w:pPr>
        <w:pStyle w:val="Heading2"/>
      </w:pPr>
      <w:r>
        <w:t>Ingredient information</w:t>
      </w:r>
    </w:p>
    <w:p>
      <w:r>
        <w:t>Preserve original ingredient text and create a separate standardized representation if required. Ingredient names should not be treated as equivalent without an appropriate mapping or reliable source.</w:t>
      </w:r>
    </w:p>
    <w:p>
      <w:pPr>
        <w:pStyle w:val="Heading2"/>
      </w:pPr>
      <w:r>
        <w:t>Ratings and review counts</w:t>
      </w:r>
    </w:p>
    <w:p>
      <w:r>
        <w:t>Ratings can be affected by review-selection bias. Review counts provide useful context, but a high count does not prove that a product is better. Comparisons should disclose limitations and use appropriate methods.</w:t>
      </w:r>
    </w:p>
    <w:p>
      <w:pPr>
        <w:pStyle w:val="Heading2"/>
      </w:pPr>
      <w:r>
        <w:t>Skin-type labels and product claims</w:t>
      </w:r>
    </w:p>
    <w:p>
      <w:r>
        <w:t>Skin-type labels may be marketing-based or source-defined. Do not present them as independently verified clinical claims. Preserve provenance and clearly distinguish missing data from a negative or absent claim.</w:t>
      </w:r>
    </w:p>
    <w:p>
      <w:pPr>
        <w:pStyle w:val="Heading2"/>
      </w:pPr>
      <w:r>
        <w:t>Changing prices and conflicting sources</w:t>
      </w:r>
    </w:p>
    <w:p>
      <w:r>
        <w:t>Keep the collection date and source with each price record. When sources conflict, use a transparent resolution rule or retain source-specific records instead of arbitrarily choosing a value.</w:t>
      </w:r>
    </w:p>
    <w:p>
      <w:pPr>
        <w:pStyle w:val="Heading1"/>
      </w:pPr>
      <w:r>
        <w:t>9. Benefits for Analysis and Modeling</w:t>
      </w:r>
    </w:p>
    <w:p>
      <w:pPr>
        <w:pStyle w:val="ListBullet"/>
        <w:spacing w:after="60"/>
      </w:pPr>
      <w:r>
        <w:rPr>
          <w:b/>
        </w:rPr>
        <w:t xml:space="preserve">More accurate reporting: </w:t>
      </w:r>
      <w:r>
        <w:t>consistent categories and valid numerical types improve product counts and summaries.</w:t>
      </w:r>
    </w:p>
    <w:p>
      <w:pPr>
        <w:pStyle w:val="ListBullet"/>
        <w:spacing w:after="60"/>
      </w:pPr>
      <w:r>
        <w:rPr>
          <w:b/>
        </w:rPr>
        <w:t xml:space="preserve">Clearer visualizations: </w:t>
      </w:r>
      <w:r>
        <w:t>standardized labels prevent duplicate-looking categories and confusing legends.</w:t>
      </w:r>
    </w:p>
    <w:p>
      <w:pPr>
        <w:pStyle w:val="ListBullet"/>
        <w:spacing w:after="60"/>
      </w:pPr>
      <w:r>
        <w:rPr>
          <w:b/>
        </w:rPr>
        <w:t xml:space="preserve">More reliable modeling: </w:t>
      </w:r>
      <w:r>
        <w:t>appropriate imputation, validation, and scaling reduce avoidable technical problems.</w:t>
      </w:r>
    </w:p>
    <w:p>
      <w:pPr>
        <w:pStyle w:val="ListBullet"/>
        <w:spacing w:after="60"/>
      </w:pPr>
      <w:r>
        <w:rPr>
          <w:b/>
        </w:rPr>
        <w:t xml:space="preserve">Meaningful comparisons: </w:t>
      </w:r>
      <w:r>
        <w:t>harmonized units and documented currency conversion improve comparability.</w:t>
      </w:r>
    </w:p>
    <w:p>
      <w:pPr>
        <w:pStyle w:val="ListBullet"/>
        <w:spacing w:after="60"/>
      </w:pPr>
      <w:r>
        <w:rPr>
          <w:b/>
        </w:rPr>
        <w:t xml:space="preserve">Better error control: </w:t>
      </w:r>
      <w:r>
        <w:t>duplicate checks and validation rules reduce distortions caused by data-entry problems.</w:t>
      </w:r>
    </w:p>
    <w:p>
      <w:pPr>
        <w:pStyle w:val="ListBullet"/>
        <w:spacing w:after="60"/>
      </w:pPr>
      <w:r>
        <w:rPr>
          <w:b/>
        </w:rPr>
        <w:t xml:space="preserve">Transparency: </w:t>
      </w:r>
      <w:r>
        <w:t>documented transformations make the work easier to audit, reproduce, and explain.</w:t>
      </w:r>
    </w:p>
    <w:p>
      <w:r>
        <w:t>Cleaning alone cannot remove all sampling bias or guarantee accurate predictions. It provides a stronger foundation for product-category analysis, pricing studies, review analysis, and carefully designed predictive modeling.</w:t>
      </w:r>
    </w:p>
    <w:p>
      <w:pPr>
        <w:pStyle w:val="Heading1"/>
      </w:pPr>
      <w:r>
        <w:t>10. Proposed 33-Hour Work Plan</w:t>
      </w:r>
    </w:p>
    <w:tbl>
      <w:tblPr>
        <w:tblStyle w:val="TableGrid"/>
        <w:tblW w:type="auto" w:w="0"/>
        <w:jc w:val="center"/>
        <w:tblLook w:firstColumn="1" w:firstRow="1" w:lastColumn="0" w:lastRow="0" w:noHBand="0" w:noVBand="1" w:val="04A0"/>
      </w:tblPr>
      <w:tblGrid>
        <w:gridCol w:w="4968"/>
        <w:gridCol w:w="4968"/>
      </w:tblGrid>
      <w:tr>
        <w:tc>
          <w:tcPr>
            <w:tcW w:type="dxa" w:w="7920"/>
            <w:vAlign w:val="center"/>
            <w:shd w:fill="17365D"/>
          </w:tcPr>
          <w:p>
            <w:pPr>
              <w:spacing w:after="20"/>
            </w:pPr>
            <w:r/>
            <w:r>
              <w:rPr>
                <w:rFonts w:ascii="Calibri" w:hAnsi="Calibri"/>
                <w:b/>
                <w:color w:val="FFFFFF"/>
                <w:sz w:val="18"/>
              </w:rPr>
              <w:t>Activity</w:t>
            </w:r>
          </w:p>
        </w:tc>
        <w:tc>
          <w:tcPr>
            <w:tcW w:type="dxa" w:w="1872"/>
            <w:vAlign w:val="center"/>
            <w:shd w:fill="17365D"/>
          </w:tcPr>
          <w:p>
            <w:pPr>
              <w:spacing w:after="20"/>
            </w:pPr>
            <w:r/>
            <w:r>
              <w:rPr>
                <w:rFonts w:ascii="Calibri" w:hAnsi="Calibri"/>
                <w:b/>
                <w:color w:val="FFFFFF"/>
                <w:sz w:val="18"/>
              </w:rPr>
              <w:t>Estimated hours</w:t>
            </w:r>
          </w:p>
        </w:tc>
      </w:tr>
      <w:tr>
        <w:tc>
          <w:tcPr>
            <w:tcW w:type="dxa" w:w="7920"/>
            <w:vAlign w:val="center"/>
            <w:shd w:fill="F2F6FC"/>
          </w:tcPr>
          <w:p>
            <w:pPr>
              <w:spacing w:after="20"/>
            </w:pPr>
            <w:r/>
            <w:r>
              <w:rPr>
                <w:rFonts w:ascii="Calibri" w:hAnsi="Calibri"/>
                <w:b w:val="0"/>
                <w:sz w:val="17"/>
              </w:rPr>
              <w:t>Define requirements and inspect public data sources</w:t>
            </w:r>
          </w:p>
        </w:tc>
        <w:tc>
          <w:tcPr>
            <w:tcW w:type="dxa" w:w="1872"/>
            <w:vAlign w:val="center"/>
            <w:shd w:fill="F2F6FC"/>
          </w:tcPr>
          <w:p>
            <w:pPr>
              <w:spacing w:after="20"/>
            </w:pPr>
            <w:r/>
            <w:r>
              <w:rPr>
                <w:rFonts w:ascii="Calibri" w:hAnsi="Calibri"/>
                <w:b w:val="0"/>
                <w:sz w:val="17"/>
              </w:rPr>
              <w:t>4</w:t>
            </w:r>
          </w:p>
        </w:tc>
      </w:tr>
      <w:tr>
        <w:tc>
          <w:tcPr>
            <w:tcW w:type="dxa" w:w="7920"/>
            <w:vAlign w:val="center"/>
          </w:tcPr>
          <w:p>
            <w:pPr>
              <w:spacing w:after="20"/>
            </w:pPr>
            <w:r/>
            <w:r>
              <w:rPr>
                <w:rFonts w:ascii="Calibri" w:hAnsi="Calibri"/>
                <w:b w:val="0"/>
                <w:sz w:val="17"/>
              </w:rPr>
              <w:t>Understand the schema and create a data dictionary</w:t>
            </w:r>
          </w:p>
        </w:tc>
        <w:tc>
          <w:tcPr>
            <w:tcW w:type="dxa" w:w="1872"/>
            <w:vAlign w:val="center"/>
          </w:tcPr>
          <w:p>
            <w:pPr>
              <w:spacing w:after="20"/>
            </w:pPr>
            <w:r/>
            <w:r>
              <w:rPr>
                <w:rFonts w:ascii="Calibri" w:hAnsi="Calibri"/>
                <w:b w:val="0"/>
                <w:sz w:val="17"/>
              </w:rPr>
              <w:t>3</w:t>
            </w:r>
          </w:p>
        </w:tc>
      </w:tr>
      <w:tr>
        <w:tc>
          <w:tcPr>
            <w:tcW w:type="dxa" w:w="7920"/>
            <w:vAlign w:val="center"/>
            <w:shd w:fill="F2F6FC"/>
          </w:tcPr>
          <w:p>
            <w:pPr>
              <w:spacing w:after="20"/>
            </w:pPr>
            <w:r/>
            <w:r>
              <w:rPr>
                <w:rFonts w:ascii="Calibri" w:hAnsi="Calibri"/>
                <w:b w:val="0"/>
                <w:sz w:val="17"/>
              </w:rPr>
              <w:t>Analyze missing values and duplicates</w:t>
            </w:r>
          </w:p>
        </w:tc>
        <w:tc>
          <w:tcPr>
            <w:tcW w:type="dxa" w:w="1872"/>
            <w:vAlign w:val="center"/>
            <w:shd w:fill="F2F6FC"/>
          </w:tcPr>
          <w:p>
            <w:pPr>
              <w:spacing w:after="20"/>
            </w:pPr>
            <w:r/>
            <w:r>
              <w:rPr>
                <w:rFonts w:ascii="Calibri" w:hAnsi="Calibri"/>
                <w:b w:val="0"/>
                <w:sz w:val="17"/>
              </w:rPr>
              <w:t>5</w:t>
            </w:r>
          </w:p>
        </w:tc>
      </w:tr>
      <w:tr>
        <w:tc>
          <w:tcPr>
            <w:tcW w:type="dxa" w:w="7920"/>
            <w:vAlign w:val="center"/>
          </w:tcPr>
          <w:p>
            <w:pPr>
              <w:spacing w:after="20"/>
            </w:pPr>
            <w:r/>
            <w:r>
              <w:rPr>
                <w:rFonts w:ascii="Calibri" w:hAnsi="Calibri"/>
                <w:b w:val="0"/>
                <w:sz w:val="17"/>
              </w:rPr>
              <w:t>Clean text, types, categories, and formats</w:t>
            </w:r>
          </w:p>
        </w:tc>
        <w:tc>
          <w:tcPr>
            <w:tcW w:type="dxa" w:w="1872"/>
            <w:vAlign w:val="center"/>
          </w:tcPr>
          <w:p>
            <w:pPr>
              <w:spacing w:after="20"/>
            </w:pPr>
            <w:r/>
            <w:r>
              <w:rPr>
                <w:rFonts w:ascii="Calibri" w:hAnsi="Calibri"/>
                <w:b w:val="0"/>
                <w:sz w:val="17"/>
              </w:rPr>
              <w:t>5</w:t>
            </w:r>
          </w:p>
        </w:tc>
      </w:tr>
      <w:tr>
        <w:tc>
          <w:tcPr>
            <w:tcW w:type="dxa" w:w="7920"/>
            <w:vAlign w:val="center"/>
            <w:shd w:fill="F2F6FC"/>
          </w:tcPr>
          <w:p>
            <w:pPr>
              <w:spacing w:after="20"/>
            </w:pPr>
            <w:r/>
            <w:r>
              <w:rPr>
                <w:rFonts w:ascii="Calibri" w:hAnsi="Calibri"/>
                <w:b w:val="0"/>
                <w:sz w:val="17"/>
              </w:rPr>
              <w:t>Detect and investigate outliers</w:t>
            </w:r>
          </w:p>
        </w:tc>
        <w:tc>
          <w:tcPr>
            <w:tcW w:type="dxa" w:w="1872"/>
            <w:vAlign w:val="center"/>
            <w:shd w:fill="F2F6FC"/>
          </w:tcPr>
          <w:p>
            <w:pPr>
              <w:spacing w:after="20"/>
            </w:pPr>
            <w:r/>
            <w:r>
              <w:rPr>
                <w:rFonts w:ascii="Calibri" w:hAnsi="Calibri"/>
                <w:b w:val="0"/>
                <w:sz w:val="17"/>
              </w:rPr>
              <w:t>4</w:t>
            </w:r>
          </w:p>
        </w:tc>
      </w:tr>
      <w:tr>
        <w:tc>
          <w:tcPr>
            <w:tcW w:type="dxa" w:w="7920"/>
            <w:vAlign w:val="center"/>
          </w:tcPr>
          <w:p>
            <w:pPr>
              <w:spacing w:after="20"/>
            </w:pPr>
            <w:r/>
            <w:r>
              <w:rPr>
                <w:rFonts w:ascii="Calibri" w:hAnsi="Calibri"/>
                <w:b w:val="0"/>
                <w:sz w:val="17"/>
              </w:rPr>
              <w:t>Apply appropriate scaling and preprocessing</w:t>
            </w:r>
          </w:p>
        </w:tc>
        <w:tc>
          <w:tcPr>
            <w:tcW w:type="dxa" w:w="1872"/>
            <w:vAlign w:val="center"/>
          </w:tcPr>
          <w:p>
            <w:pPr>
              <w:spacing w:after="20"/>
            </w:pPr>
            <w:r/>
            <w:r>
              <w:rPr>
                <w:rFonts w:ascii="Calibri" w:hAnsi="Calibri"/>
                <w:b w:val="0"/>
                <w:sz w:val="17"/>
              </w:rPr>
              <w:t>3</w:t>
            </w:r>
          </w:p>
        </w:tc>
      </w:tr>
      <w:tr>
        <w:tc>
          <w:tcPr>
            <w:tcW w:type="dxa" w:w="7920"/>
            <w:vAlign w:val="center"/>
            <w:shd w:fill="F2F6FC"/>
          </w:tcPr>
          <w:p>
            <w:pPr>
              <w:spacing w:after="20"/>
            </w:pPr>
            <w:r/>
            <w:r>
              <w:rPr>
                <w:rFonts w:ascii="Calibri" w:hAnsi="Calibri"/>
                <w:b w:val="0"/>
                <w:sz w:val="17"/>
              </w:rPr>
              <w:t>Perform validation and quality checks</w:t>
            </w:r>
          </w:p>
        </w:tc>
        <w:tc>
          <w:tcPr>
            <w:tcW w:type="dxa" w:w="1872"/>
            <w:vAlign w:val="center"/>
            <w:shd w:fill="F2F6FC"/>
          </w:tcPr>
          <w:p>
            <w:pPr>
              <w:spacing w:after="20"/>
            </w:pPr>
            <w:r/>
            <w:r>
              <w:rPr>
                <w:rFonts w:ascii="Calibri" w:hAnsi="Calibri"/>
                <w:b w:val="0"/>
                <w:sz w:val="17"/>
              </w:rPr>
              <w:t>3</w:t>
            </w:r>
          </w:p>
        </w:tc>
      </w:tr>
      <w:tr>
        <w:tc>
          <w:tcPr>
            <w:tcW w:type="dxa" w:w="7920"/>
            <w:vAlign w:val="center"/>
          </w:tcPr>
          <w:p>
            <w:pPr>
              <w:spacing w:after="20"/>
            </w:pPr>
            <w:r/>
            <w:r>
              <w:rPr>
                <w:rFonts w:ascii="Calibri" w:hAnsi="Calibri"/>
                <w:b w:val="0"/>
                <w:sz w:val="17"/>
              </w:rPr>
              <w:t>Document the workflow and flowchart</w:t>
            </w:r>
          </w:p>
        </w:tc>
        <w:tc>
          <w:tcPr>
            <w:tcW w:type="dxa" w:w="1872"/>
            <w:vAlign w:val="center"/>
          </w:tcPr>
          <w:p>
            <w:pPr>
              <w:spacing w:after="20"/>
            </w:pPr>
            <w:r/>
            <w:r>
              <w:rPr>
                <w:rFonts w:ascii="Calibri" w:hAnsi="Calibri"/>
                <w:b w:val="0"/>
                <w:sz w:val="17"/>
              </w:rPr>
              <w:t>4</w:t>
            </w:r>
          </w:p>
        </w:tc>
      </w:tr>
      <w:tr>
        <w:tc>
          <w:tcPr>
            <w:tcW w:type="dxa" w:w="7920"/>
            <w:vAlign w:val="center"/>
            <w:shd w:fill="F2F6FC"/>
          </w:tcPr>
          <w:p>
            <w:pPr>
              <w:spacing w:after="20"/>
            </w:pPr>
            <w:r/>
            <w:r>
              <w:rPr>
                <w:rFonts w:ascii="Calibri" w:hAnsi="Calibri"/>
                <w:b w:val="0"/>
                <w:sz w:val="17"/>
              </w:rPr>
              <w:t>Final review and report preparation</w:t>
            </w:r>
          </w:p>
        </w:tc>
        <w:tc>
          <w:tcPr>
            <w:tcW w:type="dxa" w:w="1872"/>
            <w:vAlign w:val="center"/>
            <w:shd w:fill="F2F6FC"/>
          </w:tcPr>
          <w:p>
            <w:pPr>
              <w:spacing w:after="20"/>
            </w:pPr>
            <w:r/>
            <w:r>
              <w:rPr>
                <w:rFonts w:ascii="Calibri" w:hAnsi="Calibri"/>
                <w:b w:val="0"/>
                <w:sz w:val="17"/>
              </w:rPr>
              <w:t>2</w:t>
            </w:r>
          </w:p>
        </w:tc>
      </w:tr>
      <w:tr>
        <w:tc>
          <w:tcPr>
            <w:tcW w:type="dxa" w:w="7920"/>
            <w:vAlign w:val="center"/>
          </w:tcPr>
          <w:p>
            <w:pPr>
              <w:spacing w:after="20"/>
            </w:pPr>
            <w:r/>
            <w:r>
              <w:rPr>
                <w:rFonts w:ascii="Calibri" w:hAnsi="Calibri"/>
                <w:b w:val="0"/>
                <w:sz w:val="17"/>
              </w:rPr>
              <w:t>TOTAL</w:t>
            </w:r>
          </w:p>
        </w:tc>
        <w:tc>
          <w:tcPr>
            <w:tcW w:type="dxa" w:w="1872"/>
            <w:vAlign w:val="center"/>
          </w:tcPr>
          <w:p>
            <w:pPr>
              <w:spacing w:after="20"/>
            </w:pPr>
            <w:r/>
            <w:r>
              <w:rPr>
                <w:rFonts w:ascii="Calibri" w:hAnsi="Calibri"/>
                <w:b w:val="0"/>
                <w:sz w:val="17"/>
              </w:rPr>
              <w:t>33</w:t>
            </w:r>
          </w:p>
        </w:tc>
      </w:tr>
    </w:tbl>
    <w:p/>
    <w:p>
      <w:r>
        <w:t>This is a proposed planning estimate within the assignment's 30–35 hour expectation. Actual hours and completed tasks should be recorded honestly after work is performed.</w:t>
      </w:r>
    </w:p>
    <w:p>
      <w:pPr>
        <w:pStyle w:val="Heading1"/>
      </w:pPr>
      <w:r>
        <w:t>11. Expected Deliverables</w:t>
      </w:r>
    </w:p>
    <w:p>
      <w:pPr>
        <w:pStyle w:val="ListBullet"/>
        <w:spacing w:after="40"/>
      </w:pPr>
      <w:r>
        <w:t>A data cleaning and preprocessing report.</w:t>
      </w:r>
    </w:p>
    <w:p>
      <w:pPr>
        <w:pStyle w:val="ListBullet"/>
        <w:spacing w:after="40"/>
      </w:pPr>
      <w:r>
        <w:t>A data dictionary and list of quality rules.</w:t>
      </w:r>
    </w:p>
    <w:p>
      <w:pPr>
        <w:pStyle w:val="ListBullet"/>
        <w:spacing w:after="40"/>
      </w:pPr>
      <w:r>
        <w:t>A reproducible Python script or notebook.</w:t>
      </w:r>
    </w:p>
    <w:p>
      <w:pPr>
        <w:pStyle w:val="ListBullet"/>
        <w:spacing w:after="40"/>
      </w:pPr>
      <w:r>
        <w:t>A cleaning log describing important transformations.</w:t>
      </w:r>
    </w:p>
    <w:p>
      <w:pPr>
        <w:pStyle w:val="ListBullet"/>
        <w:spacing w:after="40"/>
      </w:pPr>
      <w:r>
        <w:t>A cleaned dataset, where permitted by the source license.</w:t>
      </w:r>
    </w:p>
    <w:p>
      <w:pPr>
        <w:pStyle w:val="ListBullet"/>
        <w:spacing w:after="40"/>
      </w:pPr>
      <w:r>
        <w:t>A preprocessing flowchart.</w:t>
      </w:r>
    </w:p>
    <w:p>
      <w:pPr>
        <w:pStyle w:val="ListBullet"/>
        <w:spacing w:after="40"/>
      </w:pPr>
      <w:r>
        <w:t>A final validation summary covering row counts, missing values, duplicates, and rule violations.</w:t>
      </w:r>
    </w:p>
    <w:tbl>
      <w:tblPr>
        <w:tblStyle w:val="TableGrid"/>
        <w:tblW w:type="auto" w:w="0"/>
        <w:tblLook w:firstColumn="1" w:firstRow="1" w:lastColumn="0" w:lastRow="0" w:noHBand="0" w:noVBand="1" w:val="04A0"/>
      </w:tblPr>
      <w:tblGrid>
        <w:gridCol w:w="9936"/>
      </w:tblGrid>
      <w:tr>
        <w:tc>
          <w:tcPr>
            <w:tcW w:type="dxa" w:w="9936"/>
            <w:shd w:fill="EAF2F8"/>
          </w:tcPr>
          <w:p>
            <w:pPr>
              <w:spacing w:after="60"/>
            </w:pPr>
            <w:r/>
            <w:r>
              <w:rPr>
                <w:i/>
                <w:color w:val="17365D"/>
                <w:sz w:val="18"/>
              </w:rPr>
              <w:t>These are proposed deliverables. Mark an item as completed only after it has actually been produced and verified.</w:t>
            </w:r>
          </w:p>
        </w:tc>
      </w:tr>
    </w:tbl>
    <w:p/>
    <w:p>
      <w:pPr>
        <w:pStyle w:val="Heading1"/>
      </w:pPr>
      <w:r>
        <w:t>12. Conclusion</w:t>
      </w:r>
    </w:p>
    <w:p>
      <w:r>
        <w:t>Data cleaning and preprocessing form the foundation of dependable beauty and wellness analytics. Public datasets may contain missing values, duplicated products, inconsistent categories, invalid numerical fields, conflicting prices, and unusual observations. A systematic pipeline using Pandas, NumPy, visualization tools, and Scikit-learn can identify and address these problems through controlled transformations and validation.</w:t>
      </w:r>
    </w:p>
    <w:p>
      <w:r>
        <w:t>Special attention to product variants, ingredient records, units, currencies, review bias, and source provenance makes the process more appropriate for this domain. Preserving raw data, documenting decisions, recording software versions, and separating training data from evaluation data makes the workflow reproducible. The resulting dataset will be better suited for reliable reporting, visualization, and future modeling.</w:t>
      </w:r>
    </w:p>
    <w:p>
      <w:pPr>
        <w:pStyle w:val="Heading1"/>
      </w:pPr>
      <w:r>
        <w:t>13. References</w:t>
      </w:r>
    </w:p>
    <w:p>
      <w:pPr>
        <w:pStyle w:val="ListNumber"/>
        <w:spacing w:after="60"/>
      </w:pPr>
      <w:r>
        <w:t xml:space="preserve">Pandas Documentation — </w:t>
      </w:r>
      <w:r>
        <w:t>https://pandas.pydata.org/docs/</w:t>
      </w:r>
    </w:p>
    <w:p>
      <w:pPr>
        <w:pStyle w:val="ListNumber"/>
        <w:spacing w:after="60"/>
      </w:pPr>
      <w:r>
        <w:t xml:space="preserve">NumPy Documentation — </w:t>
      </w:r>
      <w:r>
        <w:t>https://numpy.org/doc/</w:t>
      </w:r>
    </w:p>
    <w:p>
      <w:pPr>
        <w:pStyle w:val="ListNumber"/>
        <w:spacing w:after="60"/>
      </w:pPr>
      <w:r>
        <w:t xml:space="preserve">Scikit-learn Preprocessing Guide — </w:t>
      </w:r>
      <w:r>
        <w:t>https://scikit-learn.org/stable/modules/preprocessing.html</w:t>
      </w:r>
    </w:p>
    <w:p>
      <w:pPr>
        <w:pStyle w:val="ListNumber"/>
        <w:spacing w:after="60"/>
      </w:pPr>
      <w:r>
        <w:t xml:space="preserve">Matplotlib Documentation — </w:t>
      </w:r>
      <w:r>
        <w:t>https://matplotlib.org/stable/</w:t>
      </w:r>
    </w:p>
    <w:p>
      <w:pPr>
        <w:pStyle w:val="ListNumber"/>
        <w:spacing w:after="60"/>
      </w:pPr>
      <w:r>
        <w:t xml:space="preserve">Seaborn Documentation — </w:t>
      </w:r>
      <w:r>
        <w:t>https://seaborn.pydata.org/</w:t>
      </w:r>
    </w:p>
    <w:p>
      <w:pPr>
        <w:pStyle w:val="ListNumber"/>
        <w:spacing w:after="60"/>
      </w:pPr>
      <w:r>
        <w:t xml:space="preserve">UCI Machine Learning Repository — </w:t>
      </w:r>
      <w:r>
        <w:t>https://archive.ics.uci.edu/</w:t>
      </w:r>
    </w:p>
    <w:p>
      <w:pPr>
        <w:spacing w:before="200"/>
      </w:pPr>
      <w:r>
        <w:rPr>
          <w:b/>
        </w:rPr>
        <w:t xml:space="preserve">Report status: </w:t>
      </w:r>
      <w:r>
        <w:t>Proposed methodology with illustrative code. Dataset-specific results should be added after running the workflow on an actual, documented dataset.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Data Cleaning and Preprocessing Pipeline Development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3 ASSIGNMENT  |  BEAUTY &amp; WELLNESS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pPr>
    <w:rPr>
      <w:rFonts w:ascii="Consolas" w:hAnsi="Consolas"/>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