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7F86"/>
          <w:sz w:val="28"/>
        </w:rPr>
        <w:t>WEEK 6 TASK</w:t>
      </w:r>
    </w:p>
    <w:p>
      <w:pPr>
        <w:pStyle w:val="Title"/>
        <w:jc w:val="center"/>
      </w:pPr>
      <w:r>
        <w:t>Model Evaluation, Reporting</w:t>
        <w:br/>
        <w:t>&amp; Business Impact Communication</w:t>
      </w:r>
    </w:p>
    <w:p>
      <w:pPr>
        <w:jc w:val="center"/>
      </w:pPr>
      <w:r>
        <w:rPr>
          <w:color w:val="5B6573"/>
          <w:sz w:val="26"/>
        </w:rPr>
        <w:t>Beauty &amp; Wellness Market | Predictive Analytics Report</w:t>
      </w:r>
    </w:p>
    <w:p/>
    <w:tbl>
      <w:tblPr>
        <w:tblStyle w:val="TableGrid"/>
        <w:tblW w:type="auto" w:w="0"/>
        <w:tblLook w:firstColumn="1" w:firstRow="1" w:lastColumn="0" w:lastRow="0" w:noHBand="0" w:noVBand="1" w:val="04A0"/>
      </w:tblPr>
      <w:tblGrid>
        <w:gridCol w:w="10080"/>
      </w:tblGrid>
      <w:tr>
        <w:tc>
          <w:tcPr>
            <w:tcW w:type="dxa" w:w="10080"/>
            <w:shd w:fill="FFF2CC"/>
            <w:vAlign w:val="center"/>
          </w:tcPr>
          <w:p>
            <w:pPr>
              <w:spacing w:after="20"/>
            </w:pPr>
            <w:r/>
            <w:r>
              <w:rPr>
                <w:rFonts w:ascii="Aptos" w:hAnsi="Aptos"/>
                <w:b/>
                <w:color w:val="17365D"/>
                <w:sz w:val="18"/>
              </w:rPr>
              <w:t>Report note: No actual dataset or trained model results were supplied. All performance values shown in this report are illustrative examples for demonstrating reporting methods, not measured outcomes.</w:t>
            </w:r>
          </w:p>
        </w:tc>
      </w:tr>
    </w:tbl>
    <w:p/>
    <w:p>
      <w:pPr>
        <w:spacing w:before="1600"/>
        <w:jc w:val="center"/>
      </w:pPr>
      <w:r>
        <w:rPr>
          <w:i/>
          <w:color w:val="5B6573"/>
          <w:sz w:val="20"/>
        </w:rPr>
        <w:t>Prepared as an evaluation framework and business communication report</w:t>
      </w:r>
    </w:p>
    <w:p>
      <w:r>
        <w:br w:type="page"/>
      </w:r>
    </w:p>
    <w:p>
      <w:pPr>
        <w:pStyle w:val="Heading1"/>
      </w:pPr>
      <w:r>
        <w:t>Report Contents</w:t>
      </w:r>
    </w:p>
    <w:p>
      <w:pPr>
        <w:pStyle w:val="ListBullet"/>
        <w:spacing w:after="40"/>
      </w:pPr>
      <w:r>
        <w:t>1. Executive Summary</w:t>
      </w:r>
    </w:p>
    <w:p>
      <w:pPr>
        <w:pStyle w:val="ListBullet"/>
        <w:spacing w:after="40"/>
      </w:pPr>
      <w:r>
        <w:t>2. Introduction and Objectives</w:t>
      </w:r>
    </w:p>
    <w:p>
      <w:pPr>
        <w:pStyle w:val="ListBullet"/>
        <w:spacing w:after="40"/>
      </w:pPr>
      <w:r>
        <w:t>3. Predictive Modeling Problem</w:t>
      </w:r>
    </w:p>
    <w:p>
      <w:pPr>
        <w:pStyle w:val="ListBullet"/>
        <w:spacing w:after="40"/>
      </w:pPr>
      <w:r>
        <w:t>4. Model Evaluation Metrics</w:t>
      </w:r>
    </w:p>
    <w:p>
      <w:pPr>
        <w:pStyle w:val="ListBullet"/>
        <w:spacing w:after="40"/>
      </w:pPr>
      <w:r>
        <w:t>5. Candidate Models and Selection Rationale</w:t>
      </w:r>
    </w:p>
    <w:p>
      <w:pPr>
        <w:pStyle w:val="ListBullet"/>
        <w:spacing w:after="40"/>
      </w:pPr>
      <w:r>
        <w:t>6. Validation and Testing Plan</w:t>
      </w:r>
    </w:p>
    <w:p>
      <w:pPr>
        <w:pStyle w:val="ListBullet"/>
        <w:spacing w:after="40"/>
      </w:pPr>
      <w:r>
        <w:t>7. Illustrative Results and Performance Interpretation</w:t>
      </w:r>
    </w:p>
    <w:p>
      <w:pPr>
        <w:pStyle w:val="ListBullet"/>
        <w:spacing w:after="40"/>
      </w:pPr>
      <w:r>
        <w:t>8. Visual Reporting Plan</w:t>
      </w:r>
    </w:p>
    <w:p>
      <w:pPr>
        <w:pStyle w:val="ListBullet"/>
        <w:spacing w:after="40"/>
      </w:pPr>
      <w:r>
        <w:t>9. Business Impact</w:t>
      </w:r>
    </w:p>
    <w:p>
      <w:pPr>
        <w:pStyle w:val="ListBullet"/>
        <w:spacing w:after="40"/>
      </w:pPr>
      <w:r>
        <w:t>10. Actionable Recommendations</w:t>
      </w:r>
    </w:p>
    <w:p>
      <w:pPr>
        <w:pStyle w:val="ListBullet"/>
        <w:spacing w:after="40"/>
      </w:pPr>
      <w:r>
        <w:t>11. Limitations, Ethics and Risk Management</w:t>
      </w:r>
    </w:p>
    <w:p>
      <w:pPr>
        <w:pStyle w:val="ListBullet"/>
        <w:spacing w:after="40"/>
      </w:pPr>
      <w:r>
        <w:t>12. Final Summary</w:t>
      </w:r>
    </w:p>
    <w:p>
      <w:pPr>
        <w:pStyle w:val="ListBullet"/>
        <w:spacing w:after="40"/>
      </w:pPr>
      <w:r>
        <w:t>Appendix A. Reporting Checklist</w:t>
      </w:r>
    </w:p>
    <w:p>
      <w:r>
        <w:br w:type="page"/>
      </w:r>
    </w:p>
    <w:p>
      <w:pPr>
        <w:pStyle w:val="Heading1"/>
      </w:pPr>
      <w:r>
        <w:t>1. Executive Summary</w:t>
      </w:r>
    </w:p>
    <w:p>
      <w:r>
        <w:t>This report proposes a practical framework for evaluating a predictive model in the beauty and wellness industry. The example use case is predicting whether a customer will make a repeat purchase within the next 30 days. A dependable prediction can help brands prioritize customer engagement, personalize product recommendations, and evaluate marketing campaigns.</w:t>
      </w:r>
    </w:p>
    <w:p>
      <w:r>
        <w:t>The framework compares candidate classification models using accuracy, precision, recall, F1-score, ROC-AUC, and a confusion matrix. It recommends separating training, validation, and test data; preventing data leakage; comparing models against a simple baseline; and checking business value before deployment. The report also describes visualizations and a monitoring process.</w:t>
      </w:r>
    </w:p>
    <w:p>
      <w:r>
        <w:t>The sample performance table is included only to demonstrate how results can be communicated. It must be replaced with results from a real dataset before any business decision is made.</w:t>
      </w:r>
    </w:p>
    <w:p>
      <w:pPr>
        <w:pStyle w:val="Heading1"/>
      </w:pPr>
      <w:r>
        <w:t>2. Introduction and Objectives</w:t>
      </w:r>
    </w:p>
    <w:p>
      <w:r>
        <w:t>Beauty and wellness businesses collect data from e-commerce purchases, loyalty programs, salon appointments, product reviews, customer support, and digital marketing. When handled responsibly, these data can reveal purchasing patterns and help organizations make more informed decisions.</w:t>
      </w:r>
    </w:p>
    <w:p>
      <w:r>
        <w:t>The objectives of this evaluation are to:</w:t>
      </w:r>
    </w:p>
    <w:p>
      <w:pPr>
        <w:pStyle w:val="ListBullet"/>
        <w:spacing w:after="40"/>
      </w:pPr>
      <w:r>
        <w:t>Measure predictive performance with metrics suited to the business problem.</w:t>
      </w:r>
    </w:p>
    <w:p>
      <w:pPr>
        <w:pStyle w:val="ListBullet"/>
        <w:spacing w:after="40"/>
      </w:pPr>
      <w:r>
        <w:t>Compare candidate models using the same data and evaluation rules.</w:t>
      </w:r>
    </w:p>
    <w:p>
      <w:pPr>
        <w:pStyle w:val="ListBullet"/>
        <w:spacing w:after="40"/>
      </w:pPr>
      <w:r>
        <w:t>Validate that performance generalizes to customers not used during training.</w:t>
      </w:r>
    </w:p>
    <w:p>
      <w:pPr>
        <w:pStyle w:val="ListBullet"/>
        <w:spacing w:after="40"/>
      </w:pPr>
      <w:r>
        <w:t>Explain technical findings in language that marketing and management teams can understand.</w:t>
      </w:r>
    </w:p>
    <w:p>
      <w:pPr>
        <w:pStyle w:val="ListBullet"/>
        <w:spacing w:after="40"/>
      </w:pPr>
      <w:r>
        <w:t>Translate predictions into testable actions and measurable business outcomes.</w:t>
      </w:r>
    </w:p>
    <w:p>
      <w:pPr>
        <w:pStyle w:val="Heading1"/>
      </w:pPr>
      <w:r>
        <w:t>3. Predictive Modeling Problem</w:t>
      </w:r>
    </w:p>
    <w:p>
      <w:pPr>
        <w:pStyle w:val="Heading2"/>
      </w:pPr>
      <w:r>
        <w:t>3.1 Business question</w:t>
      </w:r>
    </w:p>
    <w:p>
      <w:r>
        <w:t>Can available customer and transaction information help predict whether a customer will make another purchase within the next 30 days?</w:t>
      </w:r>
    </w:p>
    <w:p>
      <w:pPr>
        <w:pStyle w:val="Heading2"/>
      </w:pPr>
      <w:r>
        <w:t>3.2 Target variable</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365D"/>
          </w:tcPr>
          <w:p>
            <w:pPr>
              <w:spacing w:after="20"/>
            </w:pPr>
            <w:r/>
            <w:r>
              <w:rPr>
                <w:rFonts w:ascii="Aptos" w:hAnsi="Aptos"/>
                <w:b/>
                <w:color w:val="FFFFFF"/>
                <w:sz w:val="18"/>
              </w:rPr>
              <w:t>Target value</w:t>
            </w:r>
          </w:p>
        </w:tc>
        <w:tc>
          <w:tcPr>
            <w:tcW w:type="dxa" w:w="4464"/>
            <w:vAlign w:val="center"/>
            <w:shd w:fill="17365D"/>
          </w:tcPr>
          <w:p>
            <w:pPr>
              <w:spacing w:after="20"/>
            </w:pPr>
            <w:r/>
            <w:r>
              <w:rPr>
                <w:rFonts w:ascii="Aptos" w:hAnsi="Aptos"/>
                <w:b/>
                <w:color w:val="FFFFFF"/>
                <w:sz w:val="18"/>
              </w:rPr>
              <w:t>Definition</w:t>
            </w:r>
          </w:p>
        </w:tc>
        <w:tc>
          <w:tcPr>
            <w:tcW w:type="dxa" w:w="3600"/>
            <w:vAlign w:val="center"/>
            <w:shd w:fill="17365D"/>
          </w:tcPr>
          <w:p>
            <w:pPr>
              <w:spacing w:after="20"/>
            </w:pPr>
            <w:r/>
            <w:r>
              <w:rPr>
                <w:rFonts w:ascii="Aptos" w:hAnsi="Aptos"/>
                <w:b/>
                <w:color w:val="FFFFFF"/>
                <w:sz w:val="18"/>
              </w:rPr>
              <w:t>Business interpretation</w:t>
            </w:r>
          </w:p>
        </w:tc>
      </w:tr>
      <w:tr>
        <w:tc>
          <w:tcPr>
            <w:tcW w:type="dxa" w:w="1728"/>
            <w:vAlign w:val="center"/>
          </w:tcPr>
          <w:p>
            <w:pPr>
              <w:spacing w:after="20"/>
            </w:pPr>
            <w:r/>
            <w:r>
              <w:rPr>
                <w:rFonts w:ascii="Aptos" w:hAnsi="Aptos"/>
                <w:b w:val="0"/>
                <w:sz w:val="17"/>
              </w:rPr>
              <w:t>1 — Repeat purchase</w:t>
            </w:r>
          </w:p>
        </w:tc>
        <w:tc>
          <w:tcPr>
            <w:tcW w:type="dxa" w:w="4464"/>
            <w:vAlign w:val="center"/>
          </w:tcPr>
          <w:p>
            <w:pPr>
              <w:spacing w:after="20"/>
            </w:pPr>
            <w:r/>
            <w:r>
              <w:rPr>
                <w:rFonts w:ascii="Aptos" w:hAnsi="Aptos"/>
                <w:b w:val="0"/>
                <w:sz w:val="17"/>
              </w:rPr>
              <w:t>Customer makes at least one qualifying purchase in the 30-day outcome window.</w:t>
            </w:r>
          </w:p>
        </w:tc>
        <w:tc>
          <w:tcPr>
            <w:tcW w:type="dxa" w:w="3600"/>
            <w:vAlign w:val="center"/>
          </w:tcPr>
          <w:p>
            <w:pPr>
              <w:spacing w:after="20"/>
            </w:pPr>
            <w:r/>
            <w:r>
              <w:rPr>
                <w:rFonts w:ascii="Aptos" w:hAnsi="Aptos"/>
                <w:b w:val="0"/>
                <w:sz w:val="17"/>
              </w:rPr>
              <w:t>Potential repeat buyer.</w:t>
            </w:r>
          </w:p>
        </w:tc>
      </w:tr>
      <w:tr>
        <w:tc>
          <w:tcPr>
            <w:tcW w:type="dxa" w:w="1728"/>
            <w:vAlign w:val="center"/>
            <w:shd w:fill="EAF2F8"/>
          </w:tcPr>
          <w:p>
            <w:pPr>
              <w:spacing w:after="20"/>
            </w:pPr>
            <w:r/>
            <w:r>
              <w:rPr>
                <w:rFonts w:ascii="Aptos" w:hAnsi="Aptos"/>
                <w:b w:val="0"/>
                <w:sz w:val="17"/>
              </w:rPr>
              <w:t>0 — No repeat purchase</w:t>
            </w:r>
          </w:p>
        </w:tc>
        <w:tc>
          <w:tcPr>
            <w:tcW w:type="dxa" w:w="4464"/>
            <w:vAlign w:val="center"/>
            <w:shd w:fill="EAF2F8"/>
          </w:tcPr>
          <w:p>
            <w:pPr>
              <w:spacing w:after="20"/>
            </w:pPr>
            <w:r/>
            <w:r>
              <w:rPr>
                <w:rFonts w:ascii="Aptos" w:hAnsi="Aptos"/>
                <w:b w:val="0"/>
                <w:sz w:val="17"/>
              </w:rPr>
              <w:t>Customer makes no qualifying purchase in the 30-day outcome window.</w:t>
            </w:r>
          </w:p>
        </w:tc>
        <w:tc>
          <w:tcPr>
            <w:tcW w:type="dxa" w:w="3600"/>
            <w:vAlign w:val="center"/>
            <w:shd w:fill="EAF2F8"/>
          </w:tcPr>
          <w:p>
            <w:pPr>
              <w:spacing w:after="20"/>
            </w:pPr>
            <w:r/>
            <w:r>
              <w:rPr>
                <w:rFonts w:ascii="Aptos" w:hAnsi="Aptos"/>
                <w:b w:val="0"/>
                <w:sz w:val="17"/>
              </w:rPr>
              <w:t>May need different engagement or may not be ready to buy.</w:t>
            </w:r>
          </w:p>
        </w:tc>
      </w:tr>
    </w:tbl>
    <w:p/>
    <w:p>
      <w:pPr>
        <w:pStyle w:val="Heading2"/>
      </w:pPr>
      <w:r>
        <w:t>3.3 Candidate input features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65D"/>
          </w:tcPr>
          <w:p>
            <w:pPr>
              <w:spacing w:after="20"/>
            </w:pPr>
            <w:r/>
            <w:r>
              <w:rPr>
                <w:rFonts w:ascii="Aptos" w:hAnsi="Aptos"/>
                <w:b/>
                <w:color w:val="FFFFFF"/>
                <w:sz w:val="18"/>
              </w:rPr>
              <w:t>Feature group</w:t>
            </w:r>
          </w:p>
        </w:tc>
        <w:tc>
          <w:tcPr>
            <w:tcW w:type="dxa" w:w="3888"/>
            <w:vAlign w:val="center"/>
            <w:shd w:fill="17365D"/>
          </w:tcPr>
          <w:p>
            <w:pPr>
              <w:spacing w:after="20"/>
            </w:pPr>
            <w:r/>
            <w:r>
              <w:rPr>
                <w:rFonts w:ascii="Aptos" w:hAnsi="Aptos"/>
                <w:b/>
                <w:color w:val="FFFFFF"/>
                <w:sz w:val="18"/>
              </w:rPr>
              <w:t>Examples</w:t>
            </w:r>
          </w:p>
        </w:tc>
        <w:tc>
          <w:tcPr>
            <w:tcW w:type="dxa" w:w="3960"/>
            <w:vAlign w:val="center"/>
            <w:shd w:fill="17365D"/>
          </w:tcPr>
          <w:p>
            <w:pPr>
              <w:spacing w:after="20"/>
            </w:pPr>
            <w:r/>
            <w:r>
              <w:rPr>
                <w:rFonts w:ascii="Aptos" w:hAnsi="Aptos"/>
                <w:b/>
                <w:color w:val="FFFFFF"/>
                <w:sz w:val="18"/>
              </w:rPr>
              <w:t>Potential relevance</w:t>
            </w:r>
          </w:p>
        </w:tc>
      </w:tr>
      <w:tr>
        <w:tc>
          <w:tcPr>
            <w:tcW w:type="dxa" w:w="1944"/>
            <w:vAlign w:val="center"/>
          </w:tcPr>
          <w:p>
            <w:pPr>
              <w:spacing w:after="20"/>
            </w:pPr>
            <w:r/>
            <w:r>
              <w:rPr>
                <w:rFonts w:ascii="Aptos" w:hAnsi="Aptos"/>
                <w:b w:val="0"/>
                <w:sz w:val="17"/>
              </w:rPr>
              <w:t>Purchase behavior</w:t>
            </w:r>
          </w:p>
        </w:tc>
        <w:tc>
          <w:tcPr>
            <w:tcW w:type="dxa" w:w="3888"/>
            <w:vAlign w:val="center"/>
          </w:tcPr>
          <w:p>
            <w:pPr>
              <w:spacing w:after="20"/>
            </w:pPr>
            <w:r/>
            <w:r>
              <w:rPr>
                <w:rFonts w:ascii="Aptos" w:hAnsi="Aptos"/>
                <w:b w:val="0"/>
                <w:sz w:val="17"/>
              </w:rPr>
              <w:t>Purchase frequency, average order value, days since last purchase</w:t>
            </w:r>
          </w:p>
        </w:tc>
        <w:tc>
          <w:tcPr>
            <w:tcW w:type="dxa" w:w="3960"/>
            <w:vAlign w:val="center"/>
          </w:tcPr>
          <w:p>
            <w:pPr>
              <w:spacing w:after="20"/>
            </w:pPr>
            <w:r/>
            <w:r>
              <w:rPr>
                <w:rFonts w:ascii="Aptos" w:hAnsi="Aptos"/>
                <w:b w:val="0"/>
                <w:sz w:val="17"/>
              </w:rPr>
              <w:t>Summarizes buying patterns.</w:t>
            </w:r>
          </w:p>
        </w:tc>
      </w:tr>
      <w:tr>
        <w:tc>
          <w:tcPr>
            <w:tcW w:type="dxa" w:w="1944"/>
            <w:vAlign w:val="center"/>
            <w:shd w:fill="EAF2F8"/>
          </w:tcPr>
          <w:p>
            <w:pPr>
              <w:spacing w:after="20"/>
            </w:pPr>
            <w:r/>
            <w:r>
              <w:rPr>
                <w:rFonts w:ascii="Aptos" w:hAnsi="Aptos"/>
                <w:b w:val="0"/>
                <w:sz w:val="17"/>
              </w:rPr>
              <w:t>Product interest</w:t>
            </w:r>
          </w:p>
        </w:tc>
        <w:tc>
          <w:tcPr>
            <w:tcW w:type="dxa" w:w="3888"/>
            <w:vAlign w:val="center"/>
            <w:shd w:fill="EAF2F8"/>
          </w:tcPr>
          <w:p>
            <w:pPr>
              <w:spacing w:after="20"/>
            </w:pPr>
            <w:r/>
            <w:r>
              <w:rPr>
                <w:rFonts w:ascii="Aptos" w:hAnsi="Aptos"/>
                <w:b w:val="0"/>
                <w:sz w:val="17"/>
              </w:rPr>
              <w:t>Skincare, haircare, cosmetics, wellness categories</w:t>
            </w:r>
          </w:p>
        </w:tc>
        <w:tc>
          <w:tcPr>
            <w:tcW w:type="dxa" w:w="3960"/>
            <w:vAlign w:val="center"/>
            <w:shd w:fill="EAF2F8"/>
          </w:tcPr>
          <w:p>
            <w:pPr>
              <w:spacing w:after="20"/>
            </w:pPr>
            <w:r/>
            <w:r>
              <w:rPr>
                <w:rFonts w:ascii="Aptos" w:hAnsi="Aptos"/>
                <w:b w:val="0"/>
                <w:sz w:val="17"/>
              </w:rPr>
              <w:t>May reflect product needs and preferences.</w:t>
            </w:r>
          </w:p>
        </w:tc>
      </w:tr>
      <w:tr>
        <w:tc>
          <w:tcPr>
            <w:tcW w:type="dxa" w:w="1944"/>
            <w:vAlign w:val="center"/>
          </w:tcPr>
          <w:p>
            <w:pPr>
              <w:spacing w:after="20"/>
            </w:pPr>
            <w:r/>
            <w:r>
              <w:rPr>
                <w:rFonts w:ascii="Aptos" w:hAnsi="Aptos"/>
                <w:b w:val="0"/>
                <w:sz w:val="17"/>
              </w:rPr>
              <w:t>Engagement</w:t>
            </w:r>
          </w:p>
        </w:tc>
        <w:tc>
          <w:tcPr>
            <w:tcW w:type="dxa" w:w="3888"/>
            <w:vAlign w:val="center"/>
          </w:tcPr>
          <w:p>
            <w:pPr>
              <w:spacing w:after="20"/>
            </w:pPr>
            <w:r/>
            <w:r>
              <w:rPr>
                <w:rFonts w:ascii="Aptos" w:hAnsi="Aptos"/>
                <w:b w:val="0"/>
                <w:sz w:val="17"/>
              </w:rPr>
              <w:t>Email clicks, app sessions, product-page views</w:t>
            </w:r>
          </w:p>
        </w:tc>
        <w:tc>
          <w:tcPr>
            <w:tcW w:type="dxa" w:w="3960"/>
            <w:vAlign w:val="center"/>
          </w:tcPr>
          <w:p>
            <w:pPr>
              <w:spacing w:after="20"/>
            </w:pPr>
            <w:r/>
            <w:r>
              <w:rPr>
                <w:rFonts w:ascii="Aptos" w:hAnsi="Aptos"/>
                <w:b w:val="0"/>
                <w:sz w:val="17"/>
              </w:rPr>
              <w:t>May indicate current interest.</w:t>
            </w:r>
          </w:p>
        </w:tc>
      </w:tr>
      <w:tr>
        <w:tc>
          <w:tcPr>
            <w:tcW w:type="dxa" w:w="1944"/>
            <w:vAlign w:val="center"/>
            <w:shd w:fill="EAF2F8"/>
          </w:tcPr>
          <w:p>
            <w:pPr>
              <w:spacing w:after="20"/>
            </w:pPr>
            <w:r/>
            <w:r>
              <w:rPr>
                <w:rFonts w:ascii="Aptos" w:hAnsi="Aptos"/>
                <w:b w:val="0"/>
                <w:sz w:val="17"/>
              </w:rPr>
              <w:t>Promotion history</w:t>
            </w:r>
          </w:p>
        </w:tc>
        <w:tc>
          <w:tcPr>
            <w:tcW w:type="dxa" w:w="3888"/>
            <w:vAlign w:val="center"/>
            <w:shd w:fill="EAF2F8"/>
          </w:tcPr>
          <w:p>
            <w:pPr>
              <w:spacing w:after="20"/>
            </w:pPr>
            <w:r/>
            <w:r>
              <w:rPr>
                <w:rFonts w:ascii="Aptos" w:hAnsi="Aptos"/>
                <w:b w:val="0"/>
                <w:sz w:val="17"/>
              </w:rPr>
              <w:t>Discount usage, previous campaign response</w:t>
            </w:r>
          </w:p>
        </w:tc>
        <w:tc>
          <w:tcPr>
            <w:tcW w:type="dxa" w:w="3960"/>
            <w:vAlign w:val="center"/>
            <w:shd w:fill="EAF2F8"/>
          </w:tcPr>
          <w:p>
            <w:pPr>
              <w:spacing w:after="20"/>
            </w:pPr>
            <w:r/>
            <w:r>
              <w:rPr>
                <w:rFonts w:ascii="Aptos" w:hAnsi="Aptos"/>
                <w:b w:val="0"/>
                <w:sz w:val="17"/>
              </w:rPr>
              <w:t>Helps assess response patterns.</w:t>
            </w:r>
          </w:p>
        </w:tc>
      </w:tr>
      <w:tr>
        <w:tc>
          <w:tcPr>
            <w:tcW w:type="dxa" w:w="1944"/>
            <w:vAlign w:val="center"/>
          </w:tcPr>
          <w:p>
            <w:pPr>
              <w:spacing w:after="20"/>
            </w:pPr>
            <w:r/>
            <w:r>
              <w:rPr>
                <w:rFonts w:ascii="Aptos" w:hAnsi="Aptos"/>
                <w:b w:val="0"/>
                <w:sz w:val="17"/>
              </w:rPr>
              <w:t>Customer feedback</w:t>
            </w:r>
          </w:p>
        </w:tc>
        <w:tc>
          <w:tcPr>
            <w:tcW w:type="dxa" w:w="3888"/>
            <w:vAlign w:val="center"/>
          </w:tcPr>
          <w:p>
            <w:pPr>
              <w:spacing w:after="20"/>
            </w:pPr>
            <w:r/>
            <w:r>
              <w:rPr>
                <w:rFonts w:ascii="Aptos" w:hAnsi="Aptos"/>
                <w:b w:val="0"/>
                <w:sz w:val="17"/>
              </w:rPr>
              <w:t>Review rating, return or complaint history</w:t>
            </w:r>
          </w:p>
        </w:tc>
        <w:tc>
          <w:tcPr>
            <w:tcW w:type="dxa" w:w="3960"/>
            <w:vAlign w:val="center"/>
          </w:tcPr>
          <w:p>
            <w:pPr>
              <w:spacing w:after="20"/>
            </w:pPr>
            <w:r/>
            <w:r>
              <w:rPr>
                <w:rFonts w:ascii="Aptos" w:hAnsi="Aptos"/>
                <w:b w:val="0"/>
                <w:sz w:val="17"/>
              </w:rPr>
              <w:t>May provide context about experience.</w:t>
            </w:r>
          </w:p>
        </w:tc>
      </w:tr>
    </w:tbl>
    <w:p/>
    <w:p>
      <w:r>
        <w:t>All features must be available at the prediction date. Information recorded after the 30-day outcome window begins must not be used as an input, because it would leak information from the future into model training.</w:t>
      </w:r>
    </w:p>
    <w:p>
      <w:pPr>
        <w:pStyle w:val="Heading1"/>
      </w:pPr>
      <w:r>
        <w:t>4. Model Evaluation Metrics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12"/>
            <w:vAlign w:val="center"/>
            <w:shd w:fill="17365D"/>
          </w:tcPr>
          <w:p>
            <w:pPr>
              <w:spacing w:after="20"/>
            </w:pPr>
            <w:r/>
            <w:r>
              <w:rPr>
                <w:rFonts w:ascii="Aptos" w:hAnsi="Aptos"/>
                <w:b/>
                <w:color w:val="FFFFFF"/>
                <w:sz w:val="18"/>
              </w:rPr>
              <w:t>Metric</w:t>
            </w:r>
          </w:p>
        </w:tc>
        <w:tc>
          <w:tcPr>
            <w:tcW w:type="dxa" w:w="2664"/>
            <w:vAlign w:val="center"/>
            <w:shd w:fill="17365D"/>
          </w:tcPr>
          <w:p>
            <w:pPr>
              <w:spacing w:after="20"/>
            </w:pPr>
            <w:r/>
            <w:r>
              <w:rPr>
                <w:rFonts w:ascii="Aptos" w:hAnsi="Aptos"/>
                <w:b/>
                <w:color w:val="FFFFFF"/>
                <w:sz w:val="18"/>
              </w:rPr>
              <w:t>What it measures</w:t>
            </w:r>
          </w:p>
        </w:tc>
        <w:tc>
          <w:tcPr>
            <w:tcW w:type="dxa" w:w="3240"/>
            <w:vAlign w:val="center"/>
            <w:shd w:fill="17365D"/>
          </w:tcPr>
          <w:p>
            <w:pPr>
              <w:spacing w:after="20"/>
            </w:pPr>
            <w:r/>
            <w:r>
              <w:rPr>
                <w:rFonts w:ascii="Aptos" w:hAnsi="Aptos"/>
                <w:b/>
                <w:color w:val="FFFFFF"/>
                <w:sz w:val="18"/>
              </w:rPr>
              <w:t>Why it matters to the business</w:t>
            </w:r>
          </w:p>
        </w:tc>
        <w:tc>
          <w:tcPr>
            <w:tcW w:type="dxa" w:w="2376"/>
            <w:vAlign w:val="center"/>
            <w:shd w:fill="17365D"/>
          </w:tcPr>
          <w:p>
            <w:pPr>
              <w:spacing w:after="20"/>
            </w:pPr>
            <w:r/>
            <w:r>
              <w:rPr>
                <w:rFonts w:ascii="Aptos" w:hAnsi="Aptos"/>
                <w:b/>
                <w:color w:val="FFFFFF"/>
                <w:sz w:val="18"/>
              </w:rPr>
              <w:t>Caution</w:t>
            </w:r>
          </w:p>
        </w:tc>
      </w:tr>
      <w:tr>
        <w:tc>
          <w:tcPr>
            <w:tcW w:type="dxa" w:w="1512"/>
            <w:vAlign w:val="center"/>
          </w:tcPr>
          <w:p>
            <w:pPr>
              <w:spacing w:after="20"/>
            </w:pPr>
            <w:r/>
            <w:r>
              <w:rPr>
                <w:rFonts w:ascii="Aptos" w:hAnsi="Aptos"/>
                <w:b w:val="0"/>
                <w:sz w:val="17"/>
              </w:rPr>
              <w:t>Accuracy</w:t>
            </w:r>
          </w:p>
        </w:tc>
        <w:tc>
          <w:tcPr>
            <w:tcW w:type="dxa" w:w="2664"/>
            <w:vAlign w:val="center"/>
          </w:tcPr>
          <w:p>
            <w:pPr>
              <w:spacing w:after="20"/>
            </w:pPr>
            <w:r/>
            <w:r>
              <w:rPr>
                <w:rFonts w:ascii="Aptos" w:hAnsi="Aptos"/>
                <w:b w:val="0"/>
                <w:sz w:val="17"/>
              </w:rPr>
              <w:t>Share of all predictions that are correct.</w:t>
            </w:r>
          </w:p>
        </w:tc>
        <w:tc>
          <w:tcPr>
            <w:tcW w:type="dxa" w:w="3240"/>
            <w:vAlign w:val="center"/>
          </w:tcPr>
          <w:p>
            <w:pPr>
              <w:spacing w:after="20"/>
            </w:pPr>
            <w:r/>
            <w:r>
              <w:rPr>
                <w:rFonts w:ascii="Aptos" w:hAnsi="Aptos"/>
                <w:b w:val="0"/>
                <w:sz w:val="17"/>
              </w:rPr>
              <w:t>Gives a broad overview of correctness.</w:t>
            </w:r>
          </w:p>
        </w:tc>
        <w:tc>
          <w:tcPr>
            <w:tcW w:type="dxa" w:w="2376"/>
            <w:vAlign w:val="center"/>
          </w:tcPr>
          <w:p>
            <w:pPr>
              <w:spacing w:after="20"/>
            </w:pPr>
            <w:r/>
            <w:r>
              <w:rPr>
                <w:rFonts w:ascii="Aptos" w:hAnsi="Aptos"/>
                <w:b w:val="0"/>
                <w:sz w:val="17"/>
              </w:rPr>
              <w:t>Can look high when one class is much more common.</w:t>
            </w:r>
          </w:p>
        </w:tc>
      </w:tr>
      <w:tr>
        <w:tc>
          <w:tcPr>
            <w:tcW w:type="dxa" w:w="1512"/>
            <w:vAlign w:val="center"/>
            <w:shd w:fill="EAF2F8"/>
          </w:tcPr>
          <w:p>
            <w:pPr>
              <w:spacing w:after="20"/>
            </w:pPr>
            <w:r/>
            <w:r>
              <w:rPr>
                <w:rFonts w:ascii="Aptos" w:hAnsi="Aptos"/>
                <w:b w:val="0"/>
                <w:sz w:val="17"/>
              </w:rPr>
              <w:t>Precision</w:t>
            </w:r>
          </w:p>
        </w:tc>
        <w:tc>
          <w:tcPr>
            <w:tcW w:type="dxa" w:w="2664"/>
            <w:vAlign w:val="center"/>
            <w:shd w:fill="EAF2F8"/>
          </w:tcPr>
          <w:p>
            <w:pPr>
              <w:spacing w:after="20"/>
            </w:pPr>
            <w:r/>
            <w:r>
              <w:rPr>
                <w:rFonts w:ascii="Aptos" w:hAnsi="Aptos"/>
                <w:b w:val="0"/>
                <w:sz w:val="17"/>
              </w:rPr>
              <w:t>Of customers predicted to repeat-purchase, the share who actually do.</w:t>
            </w:r>
          </w:p>
        </w:tc>
        <w:tc>
          <w:tcPr>
            <w:tcW w:type="dxa" w:w="3240"/>
            <w:vAlign w:val="center"/>
            <w:shd w:fill="EAF2F8"/>
          </w:tcPr>
          <w:p>
            <w:pPr>
              <w:spacing w:after="20"/>
            </w:pPr>
            <w:r/>
            <w:r>
              <w:rPr>
                <w:rFonts w:ascii="Aptos" w:hAnsi="Aptos"/>
                <w:b w:val="0"/>
                <w:sz w:val="17"/>
              </w:rPr>
              <w:t>Helps limit wasted outreach and unnecessary incentives.</w:t>
            </w:r>
          </w:p>
        </w:tc>
        <w:tc>
          <w:tcPr>
            <w:tcW w:type="dxa" w:w="2376"/>
            <w:vAlign w:val="center"/>
            <w:shd w:fill="EAF2F8"/>
          </w:tcPr>
          <w:p>
            <w:pPr>
              <w:spacing w:after="20"/>
            </w:pPr>
            <w:r/>
            <w:r>
              <w:rPr>
                <w:rFonts w:ascii="Aptos" w:hAnsi="Aptos"/>
                <w:b w:val="0"/>
                <w:sz w:val="17"/>
              </w:rPr>
              <w:t>High precision can come at the cost of missing many buyers.</w:t>
            </w:r>
          </w:p>
        </w:tc>
      </w:tr>
      <w:tr>
        <w:tc>
          <w:tcPr>
            <w:tcW w:type="dxa" w:w="1512"/>
            <w:vAlign w:val="center"/>
          </w:tcPr>
          <w:p>
            <w:pPr>
              <w:spacing w:after="20"/>
            </w:pPr>
            <w:r/>
            <w:r>
              <w:rPr>
                <w:rFonts w:ascii="Aptos" w:hAnsi="Aptos"/>
                <w:b w:val="0"/>
                <w:sz w:val="17"/>
              </w:rPr>
              <w:t>Recall</w:t>
            </w:r>
          </w:p>
        </w:tc>
        <w:tc>
          <w:tcPr>
            <w:tcW w:type="dxa" w:w="2664"/>
            <w:vAlign w:val="center"/>
          </w:tcPr>
          <w:p>
            <w:pPr>
              <w:spacing w:after="20"/>
            </w:pPr>
            <w:r/>
            <w:r>
              <w:rPr>
                <w:rFonts w:ascii="Aptos" w:hAnsi="Aptos"/>
                <w:b w:val="0"/>
                <w:sz w:val="17"/>
              </w:rPr>
              <w:t>Of all actual repeat buyers, the share correctly identified.</w:t>
            </w:r>
          </w:p>
        </w:tc>
        <w:tc>
          <w:tcPr>
            <w:tcW w:type="dxa" w:w="3240"/>
            <w:vAlign w:val="center"/>
          </w:tcPr>
          <w:p>
            <w:pPr>
              <w:spacing w:after="20"/>
            </w:pPr>
            <w:r/>
            <w:r>
              <w:rPr>
                <w:rFonts w:ascii="Aptos" w:hAnsi="Aptos"/>
                <w:b w:val="0"/>
                <w:sz w:val="17"/>
              </w:rPr>
              <w:t>Shows how many potential repeat buyers the campaign can reach.</w:t>
            </w:r>
          </w:p>
        </w:tc>
        <w:tc>
          <w:tcPr>
            <w:tcW w:type="dxa" w:w="2376"/>
            <w:vAlign w:val="center"/>
          </w:tcPr>
          <w:p>
            <w:pPr>
              <w:spacing w:after="20"/>
            </w:pPr>
            <w:r/>
            <w:r>
              <w:rPr>
                <w:rFonts w:ascii="Aptos" w:hAnsi="Aptos"/>
                <w:b w:val="0"/>
                <w:sz w:val="17"/>
              </w:rPr>
              <w:t>High recall may create more false positives.</w:t>
            </w:r>
          </w:p>
        </w:tc>
      </w:tr>
      <w:tr>
        <w:tc>
          <w:tcPr>
            <w:tcW w:type="dxa" w:w="1512"/>
            <w:vAlign w:val="center"/>
            <w:shd w:fill="EAF2F8"/>
          </w:tcPr>
          <w:p>
            <w:pPr>
              <w:spacing w:after="20"/>
            </w:pPr>
            <w:r/>
            <w:r>
              <w:rPr>
                <w:rFonts w:ascii="Aptos" w:hAnsi="Aptos"/>
                <w:b w:val="0"/>
                <w:sz w:val="17"/>
              </w:rPr>
              <w:t>F1-score</w:t>
            </w:r>
          </w:p>
        </w:tc>
        <w:tc>
          <w:tcPr>
            <w:tcW w:type="dxa" w:w="2664"/>
            <w:vAlign w:val="center"/>
            <w:shd w:fill="EAF2F8"/>
          </w:tcPr>
          <w:p>
            <w:pPr>
              <w:spacing w:after="20"/>
            </w:pPr>
            <w:r/>
            <w:r>
              <w:rPr>
                <w:rFonts w:ascii="Aptos" w:hAnsi="Aptos"/>
                <w:b w:val="0"/>
                <w:sz w:val="17"/>
              </w:rPr>
              <w:t>Harmonic mean of precision and recall.</w:t>
            </w:r>
          </w:p>
        </w:tc>
        <w:tc>
          <w:tcPr>
            <w:tcW w:type="dxa" w:w="3240"/>
            <w:vAlign w:val="center"/>
            <w:shd w:fill="EAF2F8"/>
          </w:tcPr>
          <w:p>
            <w:pPr>
              <w:spacing w:after="20"/>
            </w:pPr>
            <w:r/>
            <w:r>
              <w:rPr>
                <w:rFonts w:ascii="Aptos" w:hAnsi="Aptos"/>
                <w:b w:val="0"/>
                <w:sz w:val="17"/>
              </w:rPr>
              <w:t>Balances the two when both types of error matter.</w:t>
            </w:r>
          </w:p>
        </w:tc>
        <w:tc>
          <w:tcPr>
            <w:tcW w:type="dxa" w:w="2376"/>
            <w:vAlign w:val="center"/>
            <w:shd w:fill="EAF2F8"/>
          </w:tcPr>
          <w:p>
            <w:pPr>
              <w:spacing w:after="20"/>
            </w:pPr>
            <w:r/>
            <w:r>
              <w:rPr>
                <w:rFonts w:ascii="Aptos" w:hAnsi="Aptos"/>
                <w:b w:val="0"/>
                <w:sz w:val="17"/>
              </w:rPr>
              <w:t>Does not directly represent profit or campaign cost.</w:t>
            </w:r>
          </w:p>
        </w:tc>
      </w:tr>
      <w:tr>
        <w:tc>
          <w:tcPr>
            <w:tcW w:type="dxa" w:w="1512"/>
            <w:vAlign w:val="center"/>
          </w:tcPr>
          <w:p>
            <w:pPr>
              <w:spacing w:after="20"/>
            </w:pPr>
            <w:r/>
            <w:r>
              <w:rPr>
                <w:rFonts w:ascii="Aptos" w:hAnsi="Aptos"/>
                <w:b w:val="0"/>
                <w:sz w:val="17"/>
              </w:rPr>
              <w:t>ROC-AUC</w:t>
            </w:r>
          </w:p>
        </w:tc>
        <w:tc>
          <w:tcPr>
            <w:tcW w:type="dxa" w:w="2664"/>
            <w:vAlign w:val="center"/>
          </w:tcPr>
          <w:p>
            <w:pPr>
              <w:spacing w:after="20"/>
            </w:pPr>
            <w:r/>
            <w:r>
              <w:rPr>
                <w:rFonts w:ascii="Aptos" w:hAnsi="Aptos"/>
                <w:b w:val="0"/>
                <w:sz w:val="17"/>
              </w:rPr>
              <w:t>How well scores rank positive cases above negative cases across thresholds.</w:t>
            </w:r>
          </w:p>
        </w:tc>
        <w:tc>
          <w:tcPr>
            <w:tcW w:type="dxa" w:w="3240"/>
            <w:vAlign w:val="center"/>
          </w:tcPr>
          <w:p>
            <w:pPr>
              <w:spacing w:after="20"/>
            </w:pPr>
            <w:r/>
            <w:r>
              <w:rPr>
                <w:rFonts w:ascii="Aptos" w:hAnsi="Aptos"/>
                <w:b w:val="0"/>
                <w:sz w:val="17"/>
              </w:rPr>
              <w:t>Assesses ranking quality without choosing one threshold.</w:t>
            </w:r>
          </w:p>
        </w:tc>
        <w:tc>
          <w:tcPr>
            <w:tcW w:type="dxa" w:w="2376"/>
            <w:vAlign w:val="center"/>
          </w:tcPr>
          <w:p>
            <w:pPr>
              <w:spacing w:after="20"/>
            </w:pPr>
            <w:r/>
            <w:r>
              <w:rPr>
                <w:rFonts w:ascii="Aptos" w:hAnsi="Aptos"/>
                <w:b w:val="0"/>
                <w:sz w:val="17"/>
              </w:rPr>
              <w:t>Does not guarantee good calibration or profitable actions.</w:t>
            </w:r>
          </w:p>
        </w:tc>
      </w:tr>
      <w:tr>
        <w:tc>
          <w:tcPr>
            <w:tcW w:type="dxa" w:w="1512"/>
            <w:vAlign w:val="center"/>
            <w:shd w:fill="EAF2F8"/>
          </w:tcPr>
          <w:p>
            <w:pPr>
              <w:spacing w:after="20"/>
            </w:pPr>
            <w:r/>
            <w:r>
              <w:rPr>
                <w:rFonts w:ascii="Aptos" w:hAnsi="Aptos"/>
                <w:b w:val="0"/>
                <w:sz w:val="17"/>
              </w:rPr>
              <w:t>Confusion matrix</w:t>
            </w:r>
          </w:p>
        </w:tc>
        <w:tc>
          <w:tcPr>
            <w:tcW w:type="dxa" w:w="2664"/>
            <w:vAlign w:val="center"/>
            <w:shd w:fill="EAF2F8"/>
          </w:tcPr>
          <w:p>
            <w:pPr>
              <w:spacing w:after="20"/>
            </w:pPr>
            <w:r/>
            <w:r>
              <w:rPr>
                <w:rFonts w:ascii="Aptos" w:hAnsi="Aptos"/>
                <w:b w:val="0"/>
                <w:sz w:val="17"/>
              </w:rPr>
              <w:t>Counts true positives, true negatives, false positives, and false negatives.</w:t>
            </w:r>
          </w:p>
        </w:tc>
        <w:tc>
          <w:tcPr>
            <w:tcW w:type="dxa" w:w="3240"/>
            <w:vAlign w:val="center"/>
            <w:shd w:fill="EAF2F8"/>
          </w:tcPr>
          <w:p>
            <w:pPr>
              <w:spacing w:after="20"/>
            </w:pPr>
            <w:r/>
            <w:r>
              <w:rPr>
                <w:rFonts w:ascii="Aptos" w:hAnsi="Aptos"/>
                <w:b w:val="0"/>
                <w:sz w:val="17"/>
              </w:rPr>
              <w:t>Makes error types visible to decision-makers.</w:t>
            </w:r>
          </w:p>
        </w:tc>
        <w:tc>
          <w:tcPr>
            <w:tcW w:type="dxa" w:w="2376"/>
            <w:vAlign w:val="center"/>
            <w:shd w:fill="EAF2F8"/>
          </w:tcPr>
          <w:p>
            <w:pPr>
              <w:spacing w:after="20"/>
            </w:pPr>
            <w:r/>
            <w:r>
              <w:rPr>
                <w:rFonts w:ascii="Aptos" w:hAnsi="Aptos"/>
                <w:b w:val="0"/>
                <w:sz w:val="17"/>
              </w:rPr>
              <w:t>Must be interpreted alongside class prevalence and costs.</w:t>
            </w:r>
          </w:p>
        </w:tc>
      </w:tr>
    </w:tbl>
    <w:p/>
    <w:p>
      <w:pPr>
        <w:pStyle w:val="Heading2"/>
      </w:pPr>
      <w:r>
        <w:t>4.1 Confusion matrix terms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7365D"/>
          </w:tcPr>
          <w:p>
            <w:pPr>
              <w:spacing w:after="20"/>
            </w:pPr>
            <w:r/>
            <w:r>
              <w:rPr>
                <w:rFonts w:ascii="Aptos" w:hAnsi="Aptos"/>
                <w:b/>
                <w:color w:val="FFFFFF"/>
                <w:sz w:val="18"/>
              </w:rPr>
            </w:r>
          </w:p>
        </w:tc>
        <w:tc>
          <w:tcPr>
            <w:tcW w:type="dxa" w:w="3600"/>
            <w:vAlign w:val="center"/>
            <w:shd w:fill="17365D"/>
          </w:tcPr>
          <w:p>
            <w:pPr>
              <w:spacing w:after="20"/>
            </w:pPr>
            <w:r/>
            <w:r>
              <w:rPr>
                <w:rFonts w:ascii="Aptos" w:hAnsi="Aptos"/>
                <w:b/>
                <w:color w:val="FFFFFF"/>
                <w:sz w:val="18"/>
              </w:rPr>
              <w:t>Predicted repeat</w:t>
            </w:r>
          </w:p>
        </w:tc>
        <w:tc>
          <w:tcPr>
            <w:tcW w:type="dxa" w:w="3600"/>
            <w:vAlign w:val="center"/>
            <w:shd w:fill="17365D"/>
          </w:tcPr>
          <w:p>
            <w:pPr>
              <w:spacing w:after="20"/>
            </w:pPr>
            <w:r/>
            <w:r>
              <w:rPr>
                <w:rFonts w:ascii="Aptos" w:hAnsi="Aptos"/>
                <w:b/>
                <w:color w:val="FFFFFF"/>
                <w:sz w:val="18"/>
              </w:rPr>
              <w:t>Predicted no repeat</w:t>
            </w:r>
          </w:p>
        </w:tc>
      </w:tr>
      <w:tr>
        <w:tc>
          <w:tcPr>
            <w:tcW w:type="dxa" w:w="2448"/>
            <w:vAlign w:val="center"/>
          </w:tcPr>
          <w:p>
            <w:pPr>
              <w:spacing w:after="20"/>
            </w:pPr>
            <w:r/>
            <w:r>
              <w:rPr>
                <w:rFonts w:ascii="Aptos" w:hAnsi="Aptos"/>
                <w:b w:val="0"/>
                <w:sz w:val="17"/>
              </w:rPr>
              <w:t>Actually repeat</w:t>
            </w:r>
          </w:p>
        </w:tc>
        <w:tc>
          <w:tcPr>
            <w:tcW w:type="dxa" w:w="3600"/>
            <w:vAlign w:val="center"/>
          </w:tcPr>
          <w:p>
            <w:pPr>
              <w:spacing w:after="20"/>
            </w:pPr>
            <w:r/>
            <w:r>
              <w:rPr>
                <w:rFonts w:ascii="Aptos" w:hAnsi="Aptos"/>
                <w:b w:val="0"/>
                <w:sz w:val="17"/>
              </w:rPr>
              <w:t>True positive (TP)</w:t>
            </w:r>
          </w:p>
        </w:tc>
        <w:tc>
          <w:tcPr>
            <w:tcW w:type="dxa" w:w="3600"/>
            <w:vAlign w:val="center"/>
          </w:tcPr>
          <w:p>
            <w:pPr>
              <w:spacing w:after="20"/>
            </w:pPr>
            <w:r/>
            <w:r>
              <w:rPr>
                <w:rFonts w:ascii="Aptos" w:hAnsi="Aptos"/>
                <w:b w:val="0"/>
                <w:sz w:val="17"/>
              </w:rPr>
              <w:t>False negative (FN)</w:t>
            </w:r>
          </w:p>
        </w:tc>
      </w:tr>
      <w:tr>
        <w:tc>
          <w:tcPr>
            <w:tcW w:type="dxa" w:w="2448"/>
            <w:vAlign w:val="center"/>
            <w:shd w:fill="EAF2F8"/>
          </w:tcPr>
          <w:p>
            <w:pPr>
              <w:spacing w:after="20"/>
            </w:pPr>
            <w:r/>
            <w:r>
              <w:rPr>
                <w:rFonts w:ascii="Aptos" w:hAnsi="Aptos"/>
                <w:b w:val="0"/>
                <w:sz w:val="17"/>
              </w:rPr>
              <w:t>Actually no repeat</w:t>
            </w:r>
          </w:p>
        </w:tc>
        <w:tc>
          <w:tcPr>
            <w:tcW w:type="dxa" w:w="3600"/>
            <w:vAlign w:val="center"/>
            <w:shd w:fill="EAF2F8"/>
          </w:tcPr>
          <w:p>
            <w:pPr>
              <w:spacing w:after="20"/>
            </w:pPr>
            <w:r/>
            <w:r>
              <w:rPr>
                <w:rFonts w:ascii="Aptos" w:hAnsi="Aptos"/>
                <w:b w:val="0"/>
                <w:sz w:val="17"/>
              </w:rPr>
              <w:t>False positive (FP)</w:t>
            </w:r>
          </w:p>
        </w:tc>
        <w:tc>
          <w:tcPr>
            <w:tcW w:type="dxa" w:w="3600"/>
            <w:vAlign w:val="center"/>
            <w:shd w:fill="EAF2F8"/>
          </w:tcPr>
          <w:p>
            <w:pPr>
              <w:spacing w:after="20"/>
            </w:pPr>
            <w:r/>
            <w:r>
              <w:rPr>
                <w:rFonts w:ascii="Aptos" w:hAnsi="Aptos"/>
                <w:b w:val="0"/>
                <w:sz w:val="17"/>
              </w:rPr>
              <w:t>True negative (TN)</w:t>
            </w:r>
          </w:p>
        </w:tc>
      </w:tr>
    </w:tbl>
    <w:p/>
    <w:p>
      <w:r>
        <w:t>A false positive means the model targets someone who does not repeat-purchase during the defined period. A false negative means the model misses a customer who does repeat-purchase. The relative cost of these errors should guide the chosen decision threshold.</w:t>
      </w:r>
    </w:p>
    <w:p>
      <w:pPr>
        <w:pStyle w:val="Heading1"/>
      </w:pPr>
      <w:r>
        <w:t>5. Candidate Models and Selection Rationale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365D"/>
          </w:tcPr>
          <w:p>
            <w:pPr>
              <w:spacing w:after="20"/>
            </w:pPr>
            <w:r/>
            <w:r>
              <w:rPr>
                <w:rFonts w:ascii="Aptos" w:hAnsi="Aptos"/>
                <w:b/>
                <w:color w:val="FFFFFF"/>
                <w:sz w:val="18"/>
              </w:rPr>
              <w:t>Model</w:t>
            </w:r>
          </w:p>
        </w:tc>
        <w:tc>
          <w:tcPr>
            <w:tcW w:type="dxa" w:w="3960"/>
            <w:vAlign w:val="center"/>
            <w:shd w:fill="17365D"/>
          </w:tcPr>
          <w:p>
            <w:pPr>
              <w:spacing w:after="20"/>
            </w:pPr>
            <w:r/>
            <w:r>
              <w:rPr>
                <w:rFonts w:ascii="Aptos" w:hAnsi="Aptos"/>
                <w:b/>
                <w:color w:val="FFFFFF"/>
                <w:sz w:val="18"/>
              </w:rPr>
              <w:t>Strengths</w:t>
            </w:r>
          </w:p>
        </w:tc>
        <w:tc>
          <w:tcPr>
            <w:tcW w:type="dxa" w:w="3528"/>
            <w:vAlign w:val="center"/>
            <w:shd w:fill="17365D"/>
          </w:tcPr>
          <w:p>
            <w:pPr>
              <w:spacing w:after="20"/>
            </w:pPr>
            <w:r/>
            <w:r>
              <w:rPr>
                <w:rFonts w:ascii="Aptos" w:hAnsi="Aptos"/>
                <w:b/>
                <w:color w:val="FFFFFF"/>
                <w:sz w:val="18"/>
              </w:rPr>
              <w:t>Considerations</w:t>
            </w:r>
          </w:p>
        </w:tc>
      </w:tr>
      <w:tr>
        <w:tc>
          <w:tcPr>
            <w:tcW w:type="dxa" w:w="2160"/>
            <w:vAlign w:val="center"/>
          </w:tcPr>
          <w:p>
            <w:pPr>
              <w:spacing w:after="20"/>
            </w:pPr>
            <w:r/>
            <w:r>
              <w:rPr>
                <w:rFonts w:ascii="Aptos" w:hAnsi="Aptos"/>
                <w:b w:val="0"/>
                <w:sz w:val="17"/>
              </w:rPr>
              <w:t>Logistic Regression</w:t>
            </w:r>
          </w:p>
        </w:tc>
        <w:tc>
          <w:tcPr>
            <w:tcW w:type="dxa" w:w="3960"/>
            <w:vAlign w:val="center"/>
          </w:tcPr>
          <w:p>
            <w:pPr>
              <w:spacing w:after="20"/>
            </w:pPr>
            <w:r/>
            <w:r>
              <w:rPr>
                <w:rFonts w:ascii="Aptos" w:hAnsi="Aptos"/>
                <w:b w:val="0"/>
                <w:sz w:val="17"/>
              </w:rPr>
              <w:t>Useful baseline; relatively interpretable; efficient to train.</w:t>
            </w:r>
          </w:p>
        </w:tc>
        <w:tc>
          <w:tcPr>
            <w:tcW w:type="dxa" w:w="3528"/>
            <w:vAlign w:val="center"/>
          </w:tcPr>
          <w:p>
            <w:pPr>
              <w:spacing w:after="20"/>
            </w:pPr>
            <w:r/>
            <w:r>
              <w:rPr>
                <w:rFonts w:ascii="Aptos" w:hAnsi="Aptos"/>
                <w:b w:val="0"/>
                <w:sz w:val="17"/>
              </w:rPr>
              <w:t>May not capture complex nonlinear patterns without feature engineering.</w:t>
            </w:r>
          </w:p>
        </w:tc>
      </w:tr>
      <w:tr>
        <w:tc>
          <w:tcPr>
            <w:tcW w:type="dxa" w:w="2160"/>
            <w:vAlign w:val="center"/>
            <w:shd w:fill="EAF2F8"/>
          </w:tcPr>
          <w:p>
            <w:pPr>
              <w:spacing w:after="20"/>
            </w:pPr>
            <w:r/>
            <w:r>
              <w:rPr>
                <w:rFonts w:ascii="Aptos" w:hAnsi="Aptos"/>
                <w:b w:val="0"/>
                <w:sz w:val="17"/>
              </w:rPr>
              <w:t>Decision Tree</w:t>
            </w:r>
          </w:p>
        </w:tc>
        <w:tc>
          <w:tcPr>
            <w:tcW w:type="dxa" w:w="3960"/>
            <w:vAlign w:val="center"/>
            <w:shd w:fill="EAF2F8"/>
          </w:tcPr>
          <w:p>
            <w:pPr>
              <w:spacing w:after="20"/>
            </w:pPr>
            <w:r/>
            <w:r>
              <w:rPr>
                <w:rFonts w:ascii="Aptos" w:hAnsi="Aptos"/>
                <w:b w:val="0"/>
                <w:sz w:val="17"/>
              </w:rPr>
              <w:t>Rules can be explained to stakeholders; handles nonlinear relationships.</w:t>
            </w:r>
          </w:p>
        </w:tc>
        <w:tc>
          <w:tcPr>
            <w:tcW w:type="dxa" w:w="3528"/>
            <w:vAlign w:val="center"/>
            <w:shd w:fill="EAF2F8"/>
          </w:tcPr>
          <w:p>
            <w:pPr>
              <w:spacing w:after="20"/>
            </w:pPr>
            <w:r/>
            <w:r>
              <w:rPr>
                <w:rFonts w:ascii="Aptos" w:hAnsi="Aptos"/>
                <w:b w:val="0"/>
                <w:sz w:val="17"/>
              </w:rPr>
              <w:t>Can overfit if tree depth and other settings are not controlled.</w:t>
            </w:r>
          </w:p>
        </w:tc>
      </w:tr>
      <w:tr>
        <w:tc>
          <w:tcPr>
            <w:tcW w:type="dxa" w:w="2160"/>
            <w:vAlign w:val="center"/>
          </w:tcPr>
          <w:p>
            <w:pPr>
              <w:spacing w:after="20"/>
            </w:pPr>
            <w:r/>
            <w:r>
              <w:rPr>
                <w:rFonts w:ascii="Aptos" w:hAnsi="Aptos"/>
                <w:b w:val="0"/>
                <w:sz w:val="17"/>
              </w:rPr>
              <w:t>Random Forest</w:t>
            </w:r>
          </w:p>
        </w:tc>
        <w:tc>
          <w:tcPr>
            <w:tcW w:type="dxa" w:w="3960"/>
            <w:vAlign w:val="center"/>
          </w:tcPr>
          <w:p>
            <w:pPr>
              <w:spacing w:after="20"/>
            </w:pPr>
            <w:r/>
            <w:r>
              <w:rPr>
                <w:rFonts w:ascii="Aptos" w:hAnsi="Aptos"/>
                <w:b w:val="0"/>
                <w:sz w:val="17"/>
              </w:rPr>
              <w:t>Combines many trees; can model interactions and nonlinear patterns.</w:t>
            </w:r>
          </w:p>
        </w:tc>
        <w:tc>
          <w:tcPr>
            <w:tcW w:type="dxa" w:w="3528"/>
            <w:vAlign w:val="center"/>
          </w:tcPr>
          <w:p>
            <w:pPr>
              <w:spacing w:after="20"/>
            </w:pPr>
            <w:r/>
            <w:r>
              <w:rPr>
                <w:rFonts w:ascii="Aptos" w:hAnsi="Aptos"/>
                <w:b w:val="0"/>
                <w:sz w:val="17"/>
              </w:rPr>
              <w:t>Less directly interpretable; may require more compute.</w:t>
            </w:r>
          </w:p>
        </w:tc>
      </w:tr>
      <w:tr>
        <w:tc>
          <w:tcPr>
            <w:tcW w:type="dxa" w:w="2160"/>
            <w:vAlign w:val="center"/>
            <w:shd w:fill="EAF2F8"/>
          </w:tcPr>
          <w:p>
            <w:pPr>
              <w:spacing w:after="20"/>
            </w:pPr>
            <w:r/>
            <w:r>
              <w:rPr>
                <w:rFonts w:ascii="Aptos" w:hAnsi="Aptos"/>
                <w:b w:val="0"/>
                <w:sz w:val="17"/>
              </w:rPr>
              <w:t>Gradient Boosting</w:t>
            </w:r>
          </w:p>
        </w:tc>
        <w:tc>
          <w:tcPr>
            <w:tcW w:type="dxa" w:w="3960"/>
            <w:vAlign w:val="center"/>
            <w:shd w:fill="EAF2F8"/>
          </w:tcPr>
          <w:p>
            <w:pPr>
              <w:spacing w:after="20"/>
            </w:pPr>
            <w:r/>
            <w:r>
              <w:rPr>
                <w:rFonts w:ascii="Aptos" w:hAnsi="Aptos"/>
                <w:b w:val="0"/>
                <w:sz w:val="17"/>
              </w:rPr>
              <w:t>Often effective for structured/tabular data; captures complex patterns.</w:t>
            </w:r>
          </w:p>
        </w:tc>
        <w:tc>
          <w:tcPr>
            <w:tcW w:type="dxa" w:w="3528"/>
            <w:vAlign w:val="center"/>
            <w:shd w:fill="EAF2F8"/>
          </w:tcPr>
          <w:p>
            <w:pPr>
              <w:spacing w:after="20"/>
            </w:pPr>
            <w:r/>
            <w:r>
              <w:rPr>
                <w:rFonts w:ascii="Aptos" w:hAnsi="Aptos"/>
                <w:b w:val="0"/>
                <w:sz w:val="17"/>
              </w:rPr>
              <w:t>Requires careful tuning and monitoring for overfitting.</w:t>
            </w:r>
          </w:p>
        </w:tc>
      </w:tr>
    </w:tbl>
    <w:p/>
    <w:p>
      <w:r>
        <w:t>The recommended process is to start with a simple baseline, then compare more complex models. Selection should consider test-set performance, calibration, explainability, operating cost, and whether the predictions improve a real business decision. The model with the highest accuracy is not automatically the best choice.</w:t>
      </w:r>
    </w:p>
    <w:p>
      <w:pPr>
        <w:pStyle w:val="Heading1"/>
      </w:pPr>
      <w:r>
        <w:t>6. Validation and Testing Plan</w:t>
      </w:r>
    </w:p>
    <w:p>
      <w:pPr>
        <w:spacing w:after="60"/>
      </w:pPr>
      <w:r>
        <w:rPr>
          <w:b/>
          <w:color w:val="007F86"/>
        </w:rPr>
        <w:t xml:space="preserve">Stage 1 — Data quality audit: </w:t>
      </w:r>
      <w:r>
        <w:t>Check missing values, duplicates, invalid records, outliers, class balance, and consistent definitions.</w:t>
      </w:r>
    </w:p>
    <w:p>
      <w:pPr>
        <w:spacing w:after="60"/>
      </w:pPr>
      <w:r>
        <w:rPr>
          <w:b/>
          <w:color w:val="007F86"/>
        </w:rPr>
        <w:t xml:space="preserve">Stage 2 — Define the prediction timeline: </w:t>
      </w:r>
      <w:r>
        <w:t>Set a clear prediction date and a 30-day outcome window. Ensure every feature is available before the prediction date.</w:t>
      </w:r>
    </w:p>
    <w:p>
      <w:pPr>
        <w:spacing w:after="60"/>
      </w:pPr>
      <w:r>
        <w:rPr>
          <w:b/>
          <w:color w:val="007F86"/>
        </w:rPr>
        <w:t xml:space="preserve">Stage 3 — Split the data: </w:t>
      </w:r>
      <w:r>
        <w:t>Separate training, validation, and final test data. Use a chronological split when predicting future behavior; use stratification where appropriate for independent data.</w:t>
      </w:r>
    </w:p>
    <w:p>
      <w:pPr>
        <w:spacing w:after="60"/>
      </w:pPr>
      <w:r>
        <w:rPr>
          <w:b/>
          <w:color w:val="007F86"/>
        </w:rPr>
        <w:t xml:space="preserve">Stage 4 — Establish a baseline: </w:t>
      </w:r>
      <w:r>
        <w:t>Compare against a simple majority-class or rule-based baseline so that model complexity is justified.</w:t>
      </w:r>
    </w:p>
    <w:p>
      <w:pPr>
        <w:spacing w:after="60"/>
      </w:pPr>
      <w:r>
        <w:rPr>
          <w:b/>
          <w:color w:val="007F86"/>
        </w:rPr>
        <w:t xml:space="preserve">Stage 5 — Train candidate models: </w:t>
      </w:r>
      <w:r>
        <w:t>Train each model on the same training data and document features, parameters, and software versions.</w:t>
      </w:r>
    </w:p>
    <w:p>
      <w:pPr>
        <w:spacing w:after="60"/>
      </w:pPr>
      <w:r>
        <w:rPr>
          <w:b/>
          <w:color w:val="007F86"/>
        </w:rPr>
        <w:t xml:space="preserve">Stage 6 — Tune and compare: </w:t>
      </w:r>
      <w:r>
        <w:t>Use cross-validation or a validation set for tuning. Compare precision, recall, F1, ROC-AUC, and error patterns.</w:t>
      </w:r>
    </w:p>
    <w:p>
      <w:pPr>
        <w:spacing w:after="60"/>
      </w:pPr>
      <w:r>
        <w:rPr>
          <w:b/>
          <w:color w:val="007F86"/>
        </w:rPr>
        <w:t xml:space="preserve">Stage 7 — Select a threshold: </w:t>
      </w:r>
      <w:r>
        <w:t>Choose the operating threshold using business costs, campaign capacity, and validation results—not the final test set.</w:t>
      </w:r>
    </w:p>
    <w:p>
      <w:pPr>
        <w:spacing w:after="60"/>
      </w:pPr>
      <w:r>
        <w:rPr>
          <w:b/>
          <w:color w:val="007F86"/>
        </w:rPr>
        <w:t xml:space="preserve">Stage 8 — Final test: </w:t>
      </w:r>
      <w:r>
        <w:t>Evaluate the selected model once on untouched test data. Report metrics, confusion matrix, and uncertainty where possible.</w:t>
      </w:r>
    </w:p>
    <w:p>
      <w:pPr>
        <w:spacing w:after="60"/>
      </w:pPr>
      <w:r>
        <w:rPr>
          <w:b/>
          <w:color w:val="007F86"/>
        </w:rPr>
        <w:t xml:space="preserve">Stage 9 — Pilot and monitor: </w:t>
      </w:r>
      <w:r>
        <w:t>Run a controlled campaign pilot, track incremental outcomes, and monitor for data or performance drift.</w:t>
      </w:r>
    </w:p>
    <w:p>
      <w:pPr>
        <w:pStyle w:val="Heading2"/>
      </w:pPr>
      <w:r>
        <w:t>6.1 Validation flow diagram</w:t>
      </w:r>
    </w:p>
    <w:tbl>
      <w:tblPr>
        <w:tblStyle w:val="TableGrid"/>
        <w:tblW w:type="auto" w:w="0"/>
        <w:tblLook w:firstColumn="1" w:firstRow="1" w:lastColumn="0" w:lastRow="0" w:noHBand="0" w:noVBand="1" w:val="04A0"/>
      </w:tblPr>
      <w:tblGrid>
        <w:gridCol w:w="10080"/>
      </w:tblGrid>
      <w:tr>
        <w:tc>
          <w:tcPr>
            <w:tcW w:type="dxa" w:w="10080"/>
            <w:shd w:fill="17365D"/>
            <w:vAlign w:val="center"/>
          </w:tcPr>
          <w:p>
            <w:pPr>
              <w:spacing w:after="20"/>
            </w:pPr>
            <w:r/>
            <w:r>
              <w:rPr>
                <w:rFonts w:ascii="Aptos" w:hAnsi="Aptos"/>
                <w:b/>
                <w:color w:val="FFFFFF"/>
                <w:sz w:val="18"/>
              </w:rPr>
              <w:t>DATA QUALITY CHECKS</w:t>
            </w:r>
          </w:p>
        </w:tc>
      </w:tr>
      <w:tr>
        <w:tc>
          <w:tcPr>
            <w:tcW w:type="dxa" w:w="10080"/>
            <w:shd w:fill="E2F0D9"/>
            <w:vAlign w:val="center"/>
          </w:tcPr>
          <w:p>
            <w:pPr>
              <w:spacing w:after="20"/>
            </w:pPr>
            <w:r/>
            <w:r>
              <w:rPr>
                <w:rFonts w:ascii="Aptos" w:hAnsi="Aptos"/>
                <w:b/>
                <w:color w:val="17365D"/>
                <w:sz w:val="18"/>
              </w:rPr>
              <w:t>DEFINE TARGET AND PREDICTION DATE</w:t>
            </w:r>
          </w:p>
        </w:tc>
      </w:tr>
      <w:tr>
        <w:tc>
          <w:tcPr>
            <w:tcW w:type="dxa" w:w="10080"/>
            <w:shd w:fill="DDEBF7"/>
            <w:vAlign w:val="center"/>
          </w:tcPr>
          <w:p>
            <w:pPr>
              <w:spacing w:after="20"/>
            </w:pPr>
            <w:r/>
            <w:r>
              <w:rPr>
                <w:rFonts w:ascii="Aptos" w:hAnsi="Aptos"/>
                <w:b/>
                <w:color w:val="17365D"/>
                <w:sz w:val="18"/>
              </w:rPr>
              <w:t>TRAIN / VALIDATION / TEST SPLIT</w:t>
            </w:r>
          </w:p>
        </w:tc>
      </w:tr>
      <w:tr>
        <w:tc>
          <w:tcPr>
            <w:tcW w:type="dxa" w:w="10080"/>
            <w:shd w:fill="E2F0D9"/>
            <w:vAlign w:val="center"/>
          </w:tcPr>
          <w:p>
            <w:pPr>
              <w:spacing w:after="20"/>
            </w:pPr>
            <w:r/>
            <w:r>
              <w:rPr>
                <w:rFonts w:ascii="Aptos" w:hAnsi="Aptos"/>
                <w:b/>
                <w:color w:val="17365D"/>
                <w:sz w:val="18"/>
              </w:rPr>
              <w:t>TRAIN BASELINE AND CANDIDATE MODELS</w:t>
            </w:r>
          </w:p>
        </w:tc>
      </w:tr>
      <w:tr>
        <w:tc>
          <w:tcPr>
            <w:tcW w:type="dxa" w:w="10080"/>
            <w:shd w:fill="DDEBF7"/>
            <w:vAlign w:val="center"/>
          </w:tcPr>
          <w:p>
            <w:pPr>
              <w:spacing w:after="20"/>
            </w:pPr>
            <w:r/>
            <w:r>
              <w:rPr>
                <w:rFonts w:ascii="Aptos" w:hAnsi="Aptos"/>
                <w:b/>
                <w:color w:val="17365D"/>
                <w:sz w:val="18"/>
              </w:rPr>
              <w:t>TUNE USING TRAINING / VALIDATION DATA</w:t>
            </w:r>
          </w:p>
        </w:tc>
      </w:tr>
      <w:tr>
        <w:tc>
          <w:tcPr>
            <w:tcW w:type="dxa" w:w="10080"/>
            <w:shd w:fill="E2F0D9"/>
            <w:vAlign w:val="center"/>
          </w:tcPr>
          <w:p>
            <w:pPr>
              <w:spacing w:after="20"/>
            </w:pPr>
            <w:r/>
            <w:r>
              <w:rPr>
                <w:rFonts w:ascii="Aptos" w:hAnsi="Aptos"/>
                <w:b/>
                <w:color w:val="17365D"/>
                <w:sz w:val="18"/>
              </w:rPr>
              <w:t>FINAL EVALUATION ON UNSEEN TEST DATA</w:t>
            </w:r>
          </w:p>
        </w:tc>
      </w:tr>
      <w:tr>
        <w:tc>
          <w:tcPr>
            <w:tcW w:type="dxa" w:w="10080"/>
            <w:shd w:fill="17365D"/>
            <w:vAlign w:val="center"/>
          </w:tcPr>
          <w:p>
            <w:pPr>
              <w:spacing w:after="20"/>
            </w:pPr>
            <w:r/>
            <w:r>
              <w:rPr>
                <w:rFonts w:ascii="Aptos" w:hAnsi="Aptos"/>
                <w:b/>
                <w:color w:val="FFFFFF"/>
                <w:sz w:val="18"/>
              </w:rPr>
              <w:t>BUSINESS PILOT, MONITORING AND REVIEW</w:t>
            </w:r>
          </w:p>
        </w:tc>
      </w:tr>
    </w:tbl>
    <w:p>
      <w:pPr>
        <w:spacing w:after="0"/>
        <w:jc w:val="center"/>
      </w:pPr>
      <w:r>
        <w:rPr>
          <w:b/>
          <w:color w:val="007F86"/>
          <w:sz w:val="26"/>
        </w:rPr>
        <w:t>↓</w:t>
      </w:r>
    </w:p>
    <w:p>
      <w:pPr>
        <w:spacing w:after="0"/>
        <w:jc w:val="center"/>
      </w:pPr>
      <w:r>
        <w:rPr>
          <w:b/>
          <w:color w:val="007F86"/>
          <w:sz w:val="26"/>
        </w:rPr>
        <w:t>↓</w:t>
      </w:r>
    </w:p>
    <w:p>
      <w:pPr>
        <w:spacing w:after="0"/>
        <w:jc w:val="center"/>
      </w:pPr>
      <w:r>
        <w:rPr>
          <w:b/>
          <w:color w:val="007F86"/>
          <w:sz w:val="26"/>
        </w:rPr>
        <w:t>↓</w:t>
      </w:r>
    </w:p>
    <w:p>
      <w:pPr>
        <w:spacing w:after="0"/>
        <w:jc w:val="center"/>
      </w:pPr>
      <w:r>
        <w:rPr>
          <w:b/>
          <w:color w:val="007F86"/>
          <w:sz w:val="26"/>
        </w:rPr>
        <w:t>↓</w:t>
      </w:r>
    </w:p>
    <w:p>
      <w:pPr>
        <w:spacing w:after="0"/>
        <w:jc w:val="center"/>
      </w:pPr>
      <w:r>
        <w:rPr>
          <w:b/>
          <w:color w:val="007F86"/>
          <w:sz w:val="26"/>
        </w:rPr>
        <w:t>↓</w:t>
      </w:r>
    </w:p>
    <w:p>
      <w:pPr>
        <w:spacing w:after="0"/>
        <w:jc w:val="center"/>
      </w:pPr>
      <w:r>
        <w:rPr>
          <w:b/>
          <w:color w:val="007F86"/>
          <w:sz w:val="26"/>
        </w:rPr>
        <w:t>↓</w:t>
      </w:r>
    </w:p>
    <w:p/>
    <w:p>
      <w:r>
        <w:t>Important validation safeguards: keep the final test set untouched until model selection is complete; fit preprocessing steps only on training folds; avoid using future information; and use a time-aware split if customer records are time-dependent.</w:t>
      </w:r>
    </w:p>
    <w:p>
      <w:pPr>
        <w:pStyle w:val="Heading1"/>
      </w:pPr>
      <w:r>
        <w:t>7. Illustrative Results and Performance Interpretation</w:t>
      </w:r>
    </w:p>
    <w:tbl>
      <w:tblPr>
        <w:tblStyle w:val="TableGrid"/>
        <w:tblW w:type="auto" w:w="0"/>
        <w:tblLook w:firstColumn="1" w:firstRow="1" w:lastColumn="0" w:lastRow="0" w:noHBand="0" w:noVBand="1" w:val="04A0"/>
      </w:tblPr>
      <w:tblGrid>
        <w:gridCol w:w="10080"/>
      </w:tblGrid>
      <w:tr>
        <w:tc>
          <w:tcPr>
            <w:tcW w:type="dxa" w:w="10080"/>
            <w:shd w:fill="FFF2CC"/>
            <w:vAlign w:val="center"/>
          </w:tcPr>
          <w:p>
            <w:pPr>
              <w:spacing w:after="20"/>
            </w:pPr>
            <w:r/>
            <w:r>
              <w:rPr>
                <w:rFonts w:ascii="Aptos" w:hAnsi="Aptos"/>
                <w:b/>
                <w:color w:val="17365D"/>
                <w:sz w:val="18"/>
              </w:rPr>
              <w:t>ILLUSTRATIVE EXAMPLE ONLY — These numbers are fictional placeholders to demonstrate report structure. They are not results from a trained model or real beauty &amp; wellness dataset.</w:t>
            </w:r>
          </w:p>
        </w:tc>
      </w:tr>
    </w:tbl>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232"/>
            <w:vAlign w:val="center"/>
            <w:shd w:fill="17365D"/>
          </w:tcPr>
          <w:p>
            <w:pPr>
              <w:spacing w:after="20"/>
            </w:pPr>
            <w:r/>
            <w:r>
              <w:rPr>
                <w:rFonts w:ascii="Aptos" w:hAnsi="Aptos"/>
                <w:b/>
                <w:color w:val="FFFFFF"/>
                <w:sz w:val="18"/>
              </w:rPr>
              <w:t>Candidate model</w:t>
            </w:r>
          </w:p>
        </w:tc>
        <w:tc>
          <w:tcPr>
            <w:tcW w:type="dxa" w:w="1296"/>
            <w:vAlign w:val="center"/>
            <w:shd w:fill="17365D"/>
          </w:tcPr>
          <w:p>
            <w:pPr>
              <w:spacing w:after="20"/>
            </w:pPr>
            <w:r/>
            <w:r>
              <w:rPr>
                <w:rFonts w:ascii="Aptos" w:hAnsi="Aptos"/>
                <w:b/>
                <w:color w:val="FFFFFF"/>
                <w:sz w:val="18"/>
              </w:rPr>
              <w:t>Accuracy</w:t>
            </w:r>
          </w:p>
        </w:tc>
        <w:tc>
          <w:tcPr>
            <w:tcW w:type="dxa" w:w="1296"/>
            <w:vAlign w:val="center"/>
            <w:shd w:fill="17365D"/>
          </w:tcPr>
          <w:p>
            <w:pPr>
              <w:spacing w:after="20"/>
            </w:pPr>
            <w:r/>
            <w:r>
              <w:rPr>
                <w:rFonts w:ascii="Aptos" w:hAnsi="Aptos"/>
                <w:b/>
                <w:color w:val="FFFFFF"/>
                <w:sz w:val="18"/>
              </w:rPr>
              <w:t>Precision</w:t>
            </w:r>
          </w:p>
        </w:tc>
        <w:tc>
          <w:tcPr>
            <w:tcW w:type="dxa" w:w="1152"/>
            <w:vAlign w:val="center"/>
            <w:shd w:fill="17365D"/>
          </w:tcPr>
          <w:p>
            <w:pPr>
              <w:spacing w:after="20"/>
            </w:pPr>
            <w:r/>
            <w:r>
              <w:rPr>
                <w:rFonts w:ascii="Aptos" w:hAnsi="Aptos"/>
                <w:b/>
                <w:color w:val="FFFFFF"/>
                <w:sz w:val="18"/>
              </w:rPr>
              <w:t>Recall</w:t>
            </w:r>
          </w:p>
        </w:tc>
        <w:tc>
          <w:tcPr>
            <w:tcW w:type="dxa" w:w="1224"/>
            <w:vAlign w:val="center"/>
            <w:shd w:fill="17365D"/>
          </w:tcPr>
          <w:p>
            <w:pPr>
              <w:spacing w:after="20"/>
            </w:pPr>
            <w:r/>
            <w:r>
              <w:rPr>
                <w:rFonts w:ascii="Aptos" w:hAnsi="Aptos"/>
                <w:b/>
                <w:color w:val="FFFFFF"/>
                <w:sz w:val="18"/>
              </w:rPr>
              <w:t>F1-score</w:t>
            </w:r>
          </w:p>
        </w:tc>
        <w:tc>
          <w:tcPr>
            <w:tcW w:type="dxa" w:w="1296"/>
            <w:vAlign w:val="center"/>
            <w:shd w:fill="17365D"/>
          </w:tcPr>
          <w:p>
            <w:pPr>
              <w:spacing w:after="20"/>
            </w:pPr>
            <w:r/>
            <w:r>
              <w:rPr>
                <w:rFonts w:ascii="Aptos" w:hAnsi="Aptos"/>
                <w:b/>
                <w:color w:val="FFFFFF"/>
                <w:sz w:val="18"/>
              </w:rPr>
              <w:t>ROC-AUC</w:t>
            </w:r>
          </w:p>
        </w:tc>
      </w:tr>
      <w:tr>
        <w:tc>
          <w:tcPr>
            <w:tcW w:type="dxa" w:w="2232"/>
            <w:vAlign w:val="center"/>
          </w:tcPr>
          <w:p>
            <w:pPr>
              <w:spacing w:after="20"/>
            </w:pPr>
            <w:r/>
            <w:r>
              <w:rPr>
                <w:rFonts w:ascii="Aptos" w:hAnsi="Aptos"/>
                <w:b w:val="0"/>
                <w:sz w:val="17"/>
              </w:rPr>
              <w:t>Logistic Regression</w:t>
            </w:r>
          </w:p>
        </w:tc>
        <w:tc>
          <w:tcPr>
            <w:tcW w:type="dxa" w:w="1296"/>
            <w:vAlign w:val="center"/>
          </w:tcPr>
          <w:p>
            <w:pPr>
              <w:spacing w:after="20"/>
            </w:pPr>
            <w:r/>
            <w:r>
              <w:rPr>
                <w:rFonts w:ascii="Aptos" w:hAnsi="Aptos"/>
                <w:b w:val="0"/>
                <w:sz w:val="17"/>
              </w:rPr>
              <w:t>0.78</w:t>
            </w:r>
          </w:p>
        </w:tc>
        <w:tc>
          <w:tcPr>
            <w:tcW w:type="dxa" w:w="1296"/>
            <w:vAlign w:val="center"/>
          </w:tcPr>
          <w:p>
            <w:pPr>
              <w:spacing w:after="20"/>
            </w:pPr>
            <w:r/>
            <w:r>
              <w:rPr>
                <w:rFonts w:ascii="Aptos" w:hAnsi="Aptos"/>
                <w:b w:val="0"/>
                <w:sz w:val="17"/>
              </w:rPr>
              <w:t>0.70</w:t>
            </w:r>
          </w:p>
        </w:tc>
        <w:tc>
          <w:tcPr>
            <w:tcW w:type="dxa" w:w="1152"/>
            <w:vAlign w:val="center"/>
          </w:tcPr>
          <w:p>
            <w:pPr>
              <w:spacing w:after="20"/>
            </w:pPr>
            <w:r/>
            <w:r>
              <w:rPr>
                <w:rFonts w:ascii="Aptos" w:hAnsi="Aptos"/>
                <w:b w:val="0"/>
                <w:sz w:val="17"/>
              </w:rPr>
              <w:t>0.62</w:t>
            </w:r>
          </w:p>
        </w:tc>
        <w:tc>
          <w:tcPr>
            <w:tcW w:type="dxa" w:w="1224"/>
            <w:vAlign w:val="center"/>
          </w:tcPr>
          <w:p>
            <w:pPr>
              <w:spacing w:after="20"/>
            </w:pPr>
            <w:r/>
            <w:r>
              <w:rPr>
                <w:rFonts w:ascii="Aptos" w:hAnsi="Aptos"/>
                <w:b w:val="0"/>
                <w:sz w:val="17"/>
              </w:rPr>
              <w:t>0.66</w:t>
            </w:r>
          </w:p>
        </w:tc>
        <w:tc>
          <w:tcPr>
            <w:tcW w:type="dxa" w:w="1296"/>
            <w:vAlign w:val="center"/>
          </w:tcPr>
          <w:p>
            <w:pPr>
              <w:spacing w:after="20"/>
            </w:pPr>
            <w:r/>
            <w:r>
              <w:rPr>
                <w:rFonts w:ascii="Aptos" w:hAnsi="Aptos"/>
                <w:b w:val="0"/>
                <w:sz w:val="17"/>
              </w:rPr>
              <w:t>0.81</w:t>
            </w:r>
          </w:p>
        </w:tc>
      </w:tr>
      <w:tr>
        <w:tc>
          <w:tcPr>
            <w:tcW w:type="dxa" w:w="2232"/>
            <w:vAlign w:val="center"/>
            <w:shd w:fill="EAF2F8"/>
          </w:tcPr>
          <w:p>
            <w:pPr>
              <w:spacing w:after="20"/>
            </w:pPr>
            <w:r/>
            <w:r>
              <w:rPr>
                <w:rFonts w:ascii="Aptos" w:hAnsi="Aptos"/>
                <w:b w:val="0"/>
                <w:sz w:val="17"/>
              </w:rPr>
              <w:t>Decision Tree</w:t>
            </w:r>
          </w:p>
        </w:tc>
        <w:tc>
          <w:tcPr>
            <w:tcW w:type="dxa" w:w="1296"/>
            <w:vAlign w:val="center"/>
            <w:shd w:fill="EAF2F8"/>
          </w:tcPr>
          <w:p>
            <w:pPr>
              <w:spacing w:after="20"/>
            </w:pPr>
            <w:r/>
            <w:r>
              <w:rPr>
                <w:rFonts w:ascii="Aptos" w:hAnsi="Aptos"/>
                <w:b w:val="0"/>
                <w:sz w:val="17"/>
              </w:rPr>
              <w:t>0.75</w:t>
            </w:r>
          </w:p>
        </w:tc>
        <w:tc>
          <w:tcPr>
            <w:tcW w:type="dxa" w:w="1296"/>
            <w:vAlign w:val="center"/>
            <w:shd w:fill="EAF2F8"/>
          </w:tcPr>
          <w:p>
            <w:pPr>
              <w:spacing w:after="20"/>
            </w:pPr>
            <w:r/>
            <w:r>
              <w:rPr>
                <w:rFonts w:ascii="Aptos" w:hAnsi="Aptos"/>
                <w:b w:val="0"/>
                <w:sz w:val="17"/>
              </w:rPr>
              <w:t>0.64</w:t>
            </w:r>
          </w:p>
        </w:tc>
        <w:tc>
          <w:tcPr>
            <w:tcW w:type="dxa" w:w="1152"/>
            <w:vAlign w:val="center"/>
            <w:shd w:fill="EAF2F8"/>
          </w:tcPr>
          <w:p>
            <w:pPr>
              <w:spacing w:after="20"/>
            </w:pPr>
            <w:r/>
            <w:r>
              <w:rPr>
                <w:rFonts w:ascii="Aptos" w:hAnsi="Aptos"/>
                <w:b w:val="0"/>
                <w:sz w:val="17"/>
              </w:rPr>
              <w:t>0.67</w:t>
            </w:r>
          </w:p>
        </w:tc>
        <w:tc>
          <w:tcPr>
            <w:tcW w:type="dxa" w:w="1224"/>
            <w:vAlign w:val="center"/>
            <w:shd w:fill="EAF2F8"/>
          </w:tcPr>
          <w:p>
            <w:pPr>
              <w:spacing w:after="20"/>
            </w:pPr>
            <w:r/>
            <w:r>
              <w:rPr>
                <w:rFonts w:ascii="Aptos" w:hAnsi="Aptos"/>
                <w:b w:val="0"/>
                <w:sz w:val="17"/>
              </w:rPr>
              <w:t>0.65</w:t>
            </w:r>
          </w:p>
        </w:tc>
        <w:tc>
          <w:tcPr>
            <w:tcW w:type="dxa" w:w="1296"/>
            <w:vAlign w:val="center"/>
            <w:shd w:fill="EAF2F8"/>
          </w:tcPr>
          <w:p>
            <w:pPr>
              <w:spacing w:after="20"/>
            </w:pPr>
            <w:r/>
            <w:r>
              <w:rPr>
                <w:rFonts w:ascii="Aptos" w:hAnsi="Aptos"/>
                <w:b w:val="0"/>
                <w:sz w:val="17"/>
              </w:rPr>
              <w:t>0.73</w:t>
            </w:r>
          </w:p>
        </w:tc>
      </w:tr>
      <w:tr>
        <w:tc>
          <w:tcPr>
            <w:tcW w:type="dxa" w:w="2232"/>
            <w:vAlign w:val="center"/>
          </w:tcPr>
          <w:p>
            <w:pPr>
              <w:spacing w:after="20"/>
            </w:pPr>
            <w:r/>
            <w:r>
              <w:rPr>
                <w:rFonts w:ascii="Aptos" w:hAnsi="Aptos"/>
                <w:b w:val="0"/>
                <w:sz w:val="17"/>
              </w:rPr>
              <w:t>Random Forest</w:t>
            </w:r>
          </w:p>
        </w:tc>
        <w:tc>
          <w:tcPr>
            <w:tcW w:type="dxa" w:w="1296"/>
            <w:vAlign w:val="center"/>
          </w:tcPr>
          <w:p>
            <w:pPr>
              <w:spacing w:after="20"/>
            </w:pPr>
            <w:r/>
            <w:r>
              <w:rPr>
                <w:rFonts w:ascii="Aptos" w:hAnsi="Aptos"/>
                <w:b w:val="0"/>
                <w:sz w:val="17"/>
              </w:rPr>
              <w:t>0.83</w:t>
            </w:r>
          </w:p>
        </w:tc>
        <w:tc>
          <w:tcPr>
            <w:tcW w:type="dxa" w:w="1296"/>
            <w:vAlign w:val="center"/>
          </w:tcPr>
          <w:p>
            <w:pPr>
              <w:spacing w:after="20"/>
            </w:pPr>
            <w:r/>
            <w:r>
              <w:rPr>
                <w:rFonts w:ascii="Aptos" w:hAnsi="Aptos"/>
                <w:b w:val="0"/>
                <w:sz w:val="17"/>
              </w:rPr>
              <w:t>0.77</w:t>
            </w:r>
          </w:p>
        </w:tc>
        <w:tc>
          <w:tcPr>
            <w:tcW w:type="dxa" w:w="1152"/>
            <w:vAlign w:val="center"/>
          </w:tcPr>
          <w:p>
            <w:pPr>
              <w:spacing w:after="20"/>
            </w:pPr>
            <w:r/>
            <w:r>
              <w:rPr>
                <w:rFonts w:ascii="Aptos" w:hAnsi="Aptos"/>
                <w:b w:val="0"/>
                <w:sz w:val="17"/>
              </w:rPr>
              <w:t>0.72</w:t>
            </w:r>
          </w:p>
        </w:tc>
        <w:tc>
          <w:tcPr>
            <w:tcW w:type="dxa" w:w="1224"/>
            <w:vAlign w:val="center"/>
          </w:tcPr>
          <w:p>
            <w:pPr>
              <w:spacing w:after="20"/>
            </w:pPr>
            <w:r/>
            <w:r>
              <w:rPr>
                <w:rFonts w:ascii="Aptos" w:hAnsi="Aptos"/>
                <w:b w:val="0"/>
                <w:sz w:val="17"/>
              </w:rPr>
              <w:t>0.74</w:t>
            </w:r>
          </w:p>
        </w:tc>
        <w:tc>
          <w:tcPr>
            <w:tcW w:type="dxa" w:w="1296"/>
            <w:vAlign w:val="center"/>
          </w:tcPr>
          <w:p>
            <w:pPr>
              <w:spacing w:after="20"/>
            </w:pPr>
            <w:r/>
            <w:r>
              <w:rPr>
                <w:rFonts w:ascii="Aptos" w:hAnsi="Aptos"/>
                <w:b w:val="0"/>
                <w:sz w:val="17"/>
              </w:rPr>
              <w:t>0.87</w:t>
            </w:r>
          </w:p>
        </w:tc>
      </w:tr>
      <w:tr>
        <w:tc>
          <w:tcPr>
            <w:tcW w:type="dxa" w:w="2232"/>
            <w:vAlign w:val="center"/>
            <w:shd w:fill="EAF2F8"/>
          </w:tcPr>
          <w:p>
            <w:pPr>
              <w:spacing w:after="20"/>
            </w:pPr>
            <w:r/>
            <w:r>
              <w:rPr>
                <w:rFonts w:ascii="Aptos" w:hAnsi="Aptos"/>
                <w:b w:val="0"/>
                <w:sz w:val="17"/>
              </w:rPr>
              <w:t>Gradient Boosting</w:t>
            </w:r>
          </w:p>
        </w:tc>
        <w:tc>
          <w:tcPr>
            <w:tcW w:type="dxa" w:w="1296"/>
            <w:vAlign w:val="center"/>
            <w:shd w:fill="EAF2F8"/>
          </w:tcPr>
          <w:p>
            <w:pPr>
              <w:spacing w:after="20"/>
            </w:pPr>
            <w:r/>
            <w:r>
              <w:rPr>
                <w:rFonts w:ascii="Aptos" w:hAnsi="Aptos"/>
                <w:b w:val="0"/>
                <w:sz w:val="17"/>
              </w:rPr>
              <w:t>0.85</w:t>
            </w:r>
          </w:p>
        </w:tc>
        <w:tc>
          <w:tcPr>
            <w:tcW w:type="dxa" w:w="1296"/>
            <w:vAlign w:val="center"/>
            <w:shd w:fill="EAF2F8"/>
          </w:tcPr>
          <w:p>
            <w:pPr>
              <w:spacing w:after="20"/>
            </w:pPr>
            <w:r/>
            <w:r>
              <w:rPr>
                <w:rFonts w:ascii="Aptos" w:hAnsi="Aptos"/>
                <w:b w:val="0"/>
                <w:sz w:val="17"/>
              </w:rPr>
              <w:t>0.79</w:t>
            </w:r>
          </w:p>
        </w:tc>
        <w:tc>
          <w:tcPr>
            <w:tcW w:type="dxa" w:w="1152"/>
            <w:vAlign w:val="center"/>
            <w:shd w:fill="EAF2F8"/>
          </w:tcPr>
          <w:p>
            <w:pPr>
              <w:spacing w:after="20"/>
            </w:pPr>
            <w:r/>
            <w:r>
              <w:rPr>
                <w:rFonts w:ascii="Aptos" w:hAnsi="Aptos"/>
                <w:b w:val="0"/>
                <w:sz w:val="17"/>
              </w:rPr>
              <w:t>0.76</w:t>
            </w:r>
          </w:p>
        </w:tc>
        <w:tc>
          <w:tcPr>
            <w:tcW w:type="dxa" w:w="1224"/>
            <w:vAlign w:val="center"/>
            <w:shd w:fill="EAF2F8"/>
          </w:tcPr>
          <w:p>
            <w:pPr>
              <w:spacing w:after="20"/>
            </w:pPr>
            <w:r/>
            <w:r>
              <w:rPr>
                <w:rFonts w:ascii="Aptos" w:hAnsi="Aptos"/>
                <w:b w:val="0"/>
                <w:sz w:val="17"/>
              </w:rPr>
              <w:t>0.77</w:t>
            </w:r>
          </w:p>
        </w:tc>
        <w:tc>
          <w:tcPr>
            <w:tcW w:type="dxa" w:w="1296"/>
            <w:vAlign w:val="center"/>
            <w:shd w:fill="EAF2F8"/>
          </w:tcPr>
          <w:p>
            <w:pPr>
              <w:spacing w:after="20"/>
            </w:pPr>
            <w:r/>
            <w:r>
              <w:rPr>
                <w:rFonts w:ascii="Aptos" w:hAnsi="Aptos"/>
                <w:b w:val="0"/>
                <w:sz w:val="17"/>
              </w:rPr>
              <w:t>0.89</w:t>
            </w:r>
          </w:p>
        </w:tc>
      </w:tr>
    </w:tbl>
    <w:p/>
    <w:p>
      <w:pPr>
        <w:pStyle w:val="Heading2"/>
      </w:pPr>
      <w:r>
        <w:t>7.1 Example interpretation</w:t>
      </w:r>
    </w:p>
    <w:p>
      <w:r>
        <w:t>In this hypothetical table, Gradient Boosting has the highest displayed values across the listed metrics. If these were genuine test results, it would be a candidate for further review. Before selecting it, the team would confirm that the comparison is fair, examine calibration and error costs, test stability across customer segments, and measure business impact in a pilot.</w:t>
      </w:r>
    </w:p>
    <w:p>
      <w:pPr>
        <w:pStyle w:val="Heading2"/>
      </w:pPr>
      <w:r>
        <w:t>7.2 Example confusion matrix mock-up</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7365D"/>
          </w:tcPr>
          <w:p>
            <w:pPr>
              <w:spacing w:after="20"/>
            </w:pPr>
            <w:r/>
            <w:r>
              <w:rPr>
                <w:rFonts w:ascii="Aptos" w:hAnsi="Aptos"/>
                <w:b/>
                <w:color w:val="FFFFFF"/>
                <w:sz w:val="18"/>
              </w:rPr>
              <w:t>Actual / Predicted</w:t>
            </w:r>
          </w:p>
        </w:tc>
        <w:tc>
          <w:tcPr>
            <w:tcW w:type="dxa" w:w="3600"/>
            <w:vAlign w:val="center"/>
            <w:shd w:fill="17365D"/>
          </w:tcPr>
          <w:p>
            <w:pPr>
              <w:spacing w:after="20"/>
            </w:pPr>
            <w:r/>
            <w:r>
              <w:rPr>
                <w:rFonts w:ascii="Aptos" w:hAnsi="Aptos"/>
                <w:b/>
                <w:color w:val="FFFFFF"/>
                <w:sz w:val="18"/>
              </w:rPr>
              <w:t>Predicted repeat</w:t>
            </w:r>
          </w:p>
        </w:tc>
        <w:tc>
          <w:tcPr>
            <w:tcW w:type="dxa" w:w="3600"/>
            <w:vAlign w:val="center"/>
            <w:shd w:fill="17365D"/>
          </w:tcPr>
          <w:p>
            <w:pPr>
              <w:spacing w:after="20"/>
            </w:pPr>
            <w:r/>
            <w:r>
              <w:rPr>
                <w:rFonts w:ascii="Aptos" w:hAnsi="Aptos"/>
                <w:b/>
                <w:color w:val="FFFFFF"/>
                <w:sz w:val="18"/>
              </w:rPr>
              <w:t>Predicted no repeat</w:t>
            </w:r>
          </w:p>
        </w:tc>
      </w:tr>
      <w:tr>
        <w:tc>
          <w:tcPr>
            <w:tcW w:type="dxa" w:w="2448"/>
            <w:vAlign w:val="center"/>
          </w:tcPr>
          <w:p>
            <w:pPr>
              <w:spacing w:after="20"/>
            </w:pPr>
            <w:r/>
            <w:r>
              <w:rPr>
                <w:rFonts w:ascii="Aptos" w:hAnsi="Aptos"/>
                <w:b w:val="0"/>
                <w:sz w:val="17"/>
              </w:rPr>
              <w:t>Actually repeat</w:t>
            </w:r>
          </w:p>
        </w:tc>
        <w:tc>
          <w:tcPr>
            <w:tcW w:type="dxa" w:w="3600"/>
            <w:vAlign w:val="center"/>
          </w:tcPr>
          <w:p>
            <w:pPr>
              <w:spacing w:after="20"/>
            </w:pPr>
            <w:r/>
            <w:r>
              <w:rPr>
                <w:rFonts w:ascii="Aptos" w:hAnsi="Aptos"/>
                <w:b w:val="0"/>
                <w:sz w:val="17"/>
              </w:rPr>
              <w:t>TP — correctly identified</w:t>
            </w:r>
          </w:p>
        </w:tc>
        <w:tc>
          <w:tcPr>
            <w:tcW w:type="dxa" w:w="3600"/>
            <w:vAlign w:val="center"/>
          </w:tcPr>
          <w:p>
            <w:pPr>
              <w:spacing w:after="20"/>
            </w:pPr>
            <w:r/>
            <w:r>
              <w:rPr>
                <w:rFonts w:ascii="Aptos" w:hAnsi="Aptos"/>
                <w:b w:val="0"/>
                <w:sz w:val="17"/>
              </w:rPr>
              <w:t>FN — missed repeat buyer</w:t>
            </w:r>
          </w:p>
        </w:tc>
      </w:tr>
      <w:tr>
        <w:tc>
          <w:tcPr>
            <w:tcW w:type="dxa" w:w="2448"/>
            <w:vAlign w:val="center"/>
            <w:shd w:fill="EAF2F8"/>
          </w:tcPr>
          <w:p>
            <w:pPr>
              <w:spacing w:after="20"/>
            </w:pPr>
            <w:r/>
            <w:r>
              <w:rPr>
                <w:rFonts w:ascii="Aptos" w:hAnsi="Aptos"/>
                <w:b w:val="0"/>
                <w:sz w:val="17"/>
              </w:rPr>
              <w:t>Actually no repeat</w:t>
            </w:r>
          </w:p>
        </w:tc>
        <w:tc>
          <w:tcPr>
            <w:tcW w:type="dxa" w:w="3600"/>
            <w:vAlign w:val="center"/>
            <w:shd w:fill="EAF2F8"/>
          </w:tcPr>
          <w:p>
            <w:pPr>
              <w:spacing w:after="20"/>
            </w:pPr>
            <w:r/>
            <w:r>
              <w:rPr>
                <w:rFonts w:ascii="Aptos" w:hAnsi="Aptos"/>
                <w:b w:val="0"/>
                <w:sz w:val="17"/>
              </w:rPr>
              <w:t>FP — unnecessary target</w:t>
            </w:r>
          </w:p>
        </w:tc>
        <w:tc>
          <w:tcPr>
            <w:tcW w:type="dxa" w:w="3600"/>
            <w:vAlign w:val="center"/>
            <w:shd w:fill="EAF2F8"/>
          </w:tcPr>
          <w:p>
            <w:pPr>
              <w:spacing w:after="20"/>
            </w:pPr>
            <w:r/>
            <w:r>
              <w:rPr>
                <w:rFonts w:ascii="Aptos" w:hAnsi="Aptos"/>
                <w:b w:val="0"/>
                <w:sz w:val="17"/>
              </w:rPr>
              <w:t>TN — correctly not targeted</w:t>
            </w:r>
          </w:p>
        </w:tc>
      </w:tr>
    </w:tbl>
    <w:p/>
    <w:p>
      <w:r>
        <w:t>Once real predictions are available, replace the labels above with the observed counts. A normalized confusion matrix can also show percentages, which helps compare datasets of different sizes.</w:t>
      </w:r>
    </w:p>
    <w:p>
      <w:pPr>
        <w:pStyle w:val="Heading1"/>
      </w:pPr>
      <w:r>
        <w:t>8. Visual Reporting Plan</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7365D"/>
          </w:tcPr>
          <w:p>
            <w:pPr>
              <w:spacing w:after="20"/>
            </w:pPr>
            <w:r/>
            <w:r>
              <w:rPr>
                <w:rFonts w:ascii="Aptos" w:hAnsi="Aptos"/>
                <w:b/>
                <w:color w:val="FFFFFF"/>
                <w:sz w:val="18"/>
              </w:rPr>
              <w:t>Visual</w:t>
            </w:r>
          </w:p>
        </w:tc>
        <w:tc>
          <w:tcPr>
            <w:tcW w:type="dxa" w:w="4104"/>
            <w:vAlign w:val="center"/>
            <w:shd w:fill="17365D"/>
          </w:tcPr>
          <w:p>
            <w:pPr>
              <w:spacing w:after="20"/>
            </w:pPr>
            <w:r/>
            <w:r>
              <w:rPr>
                <w:rFonts w:ascii="Aptos" w:hAnsi="Aptos"/>
                <w:b/>
                <w:color w:val="FFFFFF"/>
                <w:sz w:val="18"/>
              </w:rPr>
              <w:t>What to show</w:t>
            </w:r>
          </w:p>
        </w:tc>
        <w:tc>
          <w:tcPr>
            <w:tcW w:type="dxa" w:w="3312"/>
            <w:vAlign w:val="center"/>
            <w:shd w:fill="17365D"/>
          </w:tcPr>
          <w:p>
            <w:pPr>
              <w:spacing w:after="20"/>
            </w:pPr>
            <w:r/>
            <w:r>
              <w:rPr>
                <w:rFonts w:ascii="Aptos" w:hAnsi="Aptos"/>
                <w:b/>
                <w:color w:val="FFFFFF"/>
                <w:sz w:val="18"/>
              </w:rPr>
              <w:t>Question it answers</w:t>
            </w:r>
          </w:p>
        </w:tc>
      </w:tr>
      <w:tr>
        <w:tc>
          <w:tcPr>
            <w:tcW w:type="dxa" w:w="2232"/>
            <w:vAlign w:val="center"/>
          </w:tcPr>
          <w:p>
            <w:pPr>
              <w:spacing w:after="20"/>
            </w:pPr>
            <w:r/>
            <w:r>
              <w:rPr>
                <w:rFonts w:ascii="Aptos" w:hAnsi="Aptos"/>
                <w:b w:val="0"/>
                <w:sz w:val="17"/>
              </w:rPr>
              <w:t>Metric comparison bar chart</w:t>
            </w:r>
          </w:p>
        </w:tc>
        <w:tc>
          <w:tcPr>
            <w:tcW w:type="dxa" w:w="4104"/>
            <w:vAlign w:val="center"/>
          </w:tcPr>
          <w:p>
            <w:pPr>
              <w:spacing w:after="20"/>
            </w:pPr>
            <w:r/>
            <w:r>
              <w:rPr>
                <w:rFonts w:ascii="Aptos" w:hAnsi="Aptos"/>
                <w:b w:val="0"/>
                <w:sz w:val="17"/>
              </w:rPr>
              <w:t>Accuracy, precision, recall and F1-score by model.</w:t>
            </w:r>
          </w:p>
        </w:tc>
        <w:tc>
          <w:tcPr>
            <w:tcW w:type="dxa" w:w="3312"/>
            <w:vAlign w:val="center"/>
          </w:tcPr>
          <w:p>
            <w:pPr>
              <w:spacing w:after="20"/>
            </w:pPr>
            <w:r/>
            <w:r>
              <w:rPr>
                <w:rFonts w:ascii="Aptos" w:hAnsi="Aptos"/>
                <w:b w:val="0"/>
                <w:sz w:val="17"/>
              </w:rPr>
              <w:t>Which models perform best on the selected metrics?</w:t>
            </w:r>
          </w:p>
        </w:tc>
      </w:tr>
      <w:tr>
        <w:tc>
          <w:tcPr>
            <w:tcW w:type="dxa" w:w="2232"/>
            <w:vAlign w:val="center"/>
            <w:shd w:fill="EAF2F8"/>
          </w:tcPr>
          <w:p>
            <w:pPr>
              <w:spacing w:after="20"/>
            </w:pPr>
            <w:r/>
            <w:r>
              <w:rPr>
                <w:rFonts w:ascii="Aptos" w:hAnsi="Aptos"/>
                <w:b w:val="0"/>
                <w:sz w:val="17"/>
              </w:rPr>
              <w:t>ROC curve</w:t>
            </w:r>
          </w:p>
        </w:tc>
        <w:tc>
          <w:tcPr>
            <w:tcW w:type="dxa" w:w="4104"/>
            <w:vAlign w:val="center"/>
            <w:shd w:fill="EAF2F8"/>
          </w:tcPr>
          <w:p>
            <w:pPr>
              <w:spacing w:after="20"/>
            </w:pPr>
            <w:r/>
            <w:r>
              <w:rPr>
                <w:rFonts w:ascii="Aptos" w:hAnsi="Aptos"/>
                <w:b w:val="0"/>
                <w:sz w:val="17"/>
              </w:rPr>
              <w:t>True-positive rate versus false-positive rate at different thresholds.</w:t>
            </w:r>
          </w:p>
        </w:tc>
        <w:tc>
          <w:tcPr>
            <w:tcW w:type="dxa" w:w="3312"/>
            <w:vAlign w:val="center"/>
            <w:shd w:fill="EAF2F8"/>
          </w:tcPr>
          <w:p>
            <w:pPr>
              <w:spacing w:after="20"/>
            </w:pPr>
            <w:r/>
            <w:r>
              <w:rPr>
                <w:rFonts w:ascii="Aptos" w:hAnsi="Aptos"/>
                <w:b w:val="0"/>
                <w:sz w:val="17"/>
              </w:rPr>
              <w:t>How well does the model distinguish the two groups?</w:t>
            </w:r>
          </w:p>
        </w:tc>
      </w:tr>
      <w:tr>
        <w:tc>
          <w:tcPr>
            <w:tcW w:type="dxa" w:w="2232"/>
            <w:vAlign w:val="center"/>
          </w:tcPr>
          <w:p>
            <w:pPr>
              <w:spacing w:after="20"/>
            </w:pPr>
            <w:r/>
            <w:r>
              <w:rPr>
                <w:rFonts w:ascii="Aptos" w:hAnsi="Aptos"/>
                <w:b w:val="0"/>
                <w:sz w:val="17"/>
              </w:rPr>
              <w:t>Confusion matrix heatmap</w:t>
            </w:r>
          </w:p>
        </w:tc>
        <w:tc>
          <w:tcPr>
            <w:tcW w:type="dxa" w:w="4104"/>
            <w:vAlign w:val="center"/>
          </w:tcPr>
          <w:p>
            <w:pPr>
              <w:spacing w:after="20"/>
            </w:pPr>
            <w:r/>
            <w:r>
              <w:rPr>
                <w:rFonts w:ascii="Aptos" w:hAnsi="Aptos"/>
                <w:b w:val="0"/>
                <w:sz w:val="17"/>
              </w:rPr>
              <w:t>Counts or percentages for TP, TN, FP and FN.</w:t>
            </w:r>
          </w:p>
        </w:tc>
        <w:tc>
          <w:tcPr>
            <w:tcW w:type="dxa" w:w="3312"/>
            <w:vAlign w:val="center"/>
          </w:tcPr>
          <w:p>
            <w:pPr>
              <w:spacing w:after="20"/>
            </w:pPr>
            <w:r/>
            <w:r>
              <w:rPr>
                <w:rFonts w:ascii="Aptos" w:hAnsi="Aptos"/>
                <w:b w:val="0"/>
                <w:sz w:val="17"/>
              </w:rPr>
              <w:t>What kinds of mistakes does the model make?</w:t>
            </w:r>
          </w:p>
        </w:tc>
      </w:tr>
      <w:tr>
        <w:tc>
          <w:tcPr>
            <w:tcW w:type="dxa" w:w="2232"/>
            <w:vAlign w:val="center"/>
            <w:shd w:fill="EAF2F8"/>
          </w:tcPr>
          <w:p>
            <w:pPr>
              <w:spacing w:after="20"/>
            </w:pPr>
            <w:r/>
            <w:r>
              <w:rPr>
                <w:rFonts w:ascii="Aptos" w:hAnsi="Aptos"/>
                <w:b w:val="0"/>
                <w:sz w:val="17"/>
              </w:rPr>
              <w:t>Feature importance chart</w:t>
            </w:r>
          </w:p>
        </w:tc>
        <w:tc>
          <w:tcPr>
            <w:tcW w:type="dxa" w:w="4104"/>
            <w:vAlign w:val="center"/>
            <w:shd w:fill="EAF2F8"/>
          </w:tcPr>
          <w:p>
            <w:pPr>
              <w:spacing w:after="20"/>
            </w:pPr>
            <w:r/>
            <w:r>
              <w:rPr>
                <w:rFonts w:ascii="Aptos" w:hAnsi="Aptos"/>
                <w:b w:val="0"/>
                <w:sz w:val="17"/>
              </w:rPr>
              <w:t>Top features associated with predictive performance.</w:t>
            </w:r>
          </w:p>
        </w:tc>
        <w:tc>
          <w:tcPr>
            <w:tcW w:type="dxa" w:w="3312"/>
            <w:vAlign w:val="center"/>
            <w:shd w:fill="EAF2F8"/>
          </w:tcPr>
          <w:p>
            <w:pPr>
              <w:spacing w:after="20"/>
            </w:pPr>
            <w:r/>
            <w:r>
              <w:rPr>
                <w:rFonts w:ascii="Aptos" w:hAnsi="Aptos"/>
                <w:b w:val="0"/>
                <w:sz w:val="17"/>
              </w:rPr>
              <w:t>Which inputs contribute most to predictions?</w:t>
            </w:r>
          </w:p>
        </w:tc>
      </w:tr>
      <w:tr>
        <w:tc>
          <w:tcPr>
            <w:tcW w:type="dxa" w:w="2232"/>
            <w:vAlign w:val="center"/>
          </w:tcPr>
          <w:p>
            <w:pPr>
              <w:spacing w:after="20"/>
            </w:pPr>
            <w:r/>
            <w:r>
              <w:rPr>
                <w:rFonts w:ascii="Aptos" w:hAnsi="Aptos"/>
                <w:b w:val="0"/>
                <w:sz w:val="17"/>
              </w:rPr>
              <w:t>Business impact chart</w:t>
            </w:r>
          </w:p>
        </w:tc>
        <w:tc>
          <w:tcPr>
            <w:tcW w:type="dxa" w:w="4104"/>
            <w:vAlign w:val="center"/>
          </w:tcPr>
          <w:p>
            <w:pPr>
              <w:spacing w:after="20"/>
            </w:pPr>
            <w:r/>
            <w:r>
              <w:rPr>
                <w:rFonts w:ascii="Aptos" w:hAnsi="Aptos"/>
                <w:b w:val="0"/>
                <w:sz w:val="17"/>
              </w:rPr>
              <w:t>Campaign cost, conversion rate, incremental purchases and profit.</w:t>
            </w:r>
          </w:p>
        </w:tc>
        <w:tc>
          <w:tcPr>
            <w:tcW w:type="dxa" w:w="3312"/>
            <w:vAlign w:val="center"/>
          </w:tcPr>
          <w:p>
            <w:pPr>
              <w:spacing w:after="20"/>
            </w:pPr>
            <w:r/>
            <w:r>
              <w:rPr>
                <w:rFonts w:ascii="Aptos" w:hAnsi="Aptos"/>
                <w:b w:val="0"/>
                <w:sz w:val="17"/>
              </w:rPr>
              <w:t>Does using the model improve outcomes versus business as usual?</w:t>
            </w:r>
          </w:p>
        </w:tc>
      </w:tr>
    </w:tbl>
    <w:p/>
    <w:p>
      <w:pPr>
        <w:pStyle w:val="Heading2"/>
      </w:pPr>
      <w:r>
        <w:t>8.1 Chart mock-up description</w:t>
      </w:r>
    </w:p>
    <w:p>
      <w:r>
        <w:t>For the metric comparison chart, place model names on the horizontal axis and metric scores from 0 to 1 on the vertical axis. Use separate bars for each metric and a clear legend. For the business impact chart, compare a randomized treatment group that uses model-based targeting with a control group that follows the usual campaign process. Label all example or estimated values clearly and include the measurement period.</w:t>
      </w:r>
    </w:p>
    <w:p>
      <w:pPr>
        <w:pStyle w:val="Heading1"/>
      </w:pPr>
      <w:r>
        <w:t>9. Business Impact</w:t>
      </w:r>
    </w:p>
    <w:p>
      <w:pPr>
        <w:pStyle w:val="Heading2"/>
      </w:pPr>
      <w:r>
        <w:t>9.1 Customer retention</w:t>
      </w:r>
    </w:p>
    <w:p>
      <w:r>
        <w:t>Predictions can help identify customer groups for different engagement approaches. A customer who appears unlikely to return may receive a helpful product reminder or relevant content, while a likely repeat buyer may not need a discount. These strategies should be tested rather than assumed to work.</w:t>
      </w:r>
    </w:p>
    <w:p>
      <w:pPr>
        <w:pStyle w:val="Heading2"/>
      </w:pPr>
      <w:r>
        <w:t>9.2 Marketing optimization</w:t>
      </w:r>
    </w:p>
    <w:p>
      <w:r>
        <w:t>Model-based targeting may reduce irrelevant messages and help allocate campaign budgets. Teams should compare incremental conversion and profit against a control group, because customers who would buy without an offer should not be counted as campaign-generated conversions.</w:t>
      </w:r>
    </w:p>
    <w:p>
      <w:pPr>
        <w:pStyle w:val="Heading2"/>
      </w:pPr>
      <w:r>
        <w:t>9.3 Inventory and product planning</w:t>
      </w:r>
    </w:p>
    <w:p>
      <w:r>
        <w:t>Aggregate repeat-purchase patterns by category—such as skincare, haircare, cosmetics, and wellness—may support demand planning. Forecasts should also account for seasonality, product availability, promotions, and supply constraints.</w:t>
      </w:r>
    </w:p>
    <w:p>
      <w:pPr>
        <w:pStyle w:val="Heading2"/>
      </w:pPr>
      <w:r>
        <w:t>9.4 Customer experience</w:t>
      </w:r>
    </w:p>
    <w:p>
      <w:r>
        <w:t>Relevant recommendations can make discovery easier and improve customer experience. Recommendations should respect customer preferences, avoid intrusive assumptions, and provide appropriate controls for marketing communications.</w:t>
      </w:r>
    </w:p>
    <w:p>
      <w:pPr>
        <w:pStyle w:val="Heading1"/>
      </w:pPr>
      <w:r>
        <w:t>10. Actionable Business Recommendations</w:t>
      </w:r>
    </w:p>
    <w:p>
      <w:pPr>
        <w:pStyle w:val="ListNumber"/>
        <w:spacing w:after="40"/>
      </w:pPr>
      <w:r>
        <w:t>Begin with a transparent baseline and keep a record of all model versions and evaluation settings.</w:t>
      </w:r>
    </w:p>
    <w:p>
      <w:pPr>
        <w:pStyle w:val="ListNumber"/>
        <w:spacing w:after="40"/>
      </w:pPr>
      <w:r>
        <w:t>Choose metrics and decision thresholds based on the cost of false positives, false negatives, and available campaign capacity.</w:t>
      </w:r>
    </w:p>
    <w:p>
      <w:pPr>
        <w:pStyle w:val="ListNumber"/>
        <w:spacing w:after="40"/>
      </w:pPr>
      <w:r>
        <w:t>Use randomized controlled tests to measure incremental purchases and profit from model-based targeting.</w:t>
      </w:r>
    </w:p>
    <w:p>
      <w:pPr>
        <w:pStyle w:val="ListNumber"/>
        <w:spacing w:after="40"/>
      </w:pPr>
      <w:r>
        <w:t>Avoid offering discounts automatically to every customer predicted to be at risk; test reminders, helpful content, loyalty benefits, and offers separately.</w:t>
      </w:r>
    </w:p>
    <w:p>
      <w:pPr>
        <w:pStyle w:val="ListNumber"/>
        <w:spacing w:after="40"/>
      </w:pPr>
      <w:r>
        <w:t>Track business KPIs such as repeat-purchase rate, conversion rate, average order value, campaign cost, incremental revenue, and contribution margin.</w:t>
      </w:r>
    </w:p>
    <w:p>
      <w:pPr>
        <w:pStyle w:val="ListNumber"/>
        <w:spacing w:after="40"/>
      </w:pPr>
      <w:r>
        <w:t>Monitor performance across relevant customer segments and investigate material differences or unreliable predictions.</w:t>
      </w:r>
    </w:p>
    <w:p>
      <w:pPr>
        <w:pStyle w:val="ListNumber"/>
        <w:spacing w:after="40"/>
      </w:pPr>
      <w:r>
        <w:t>Reassess the model when product mix, customer behavior, marketing strategy, or data collection changes.</w:t>
      </w:r>
    </w:p>
    <w:p>
      <w:pPr>
        <w:pStyle w:val="ListNumber"/>
        <w:spacing w:after="40"/>
      </w:pPr>
      <w:r>
        <w:t>Use only necessary and appropriately collected data; protect customer information and follow applicable privacy and consent requirements.</w:t>
      </w:r>
    </w:p>
    <w:p>
      <w:pPr>
        <w:pStyle w:val="Heading2"/>
      </w:pPr>
      <w:r>
        <w:t>10.1 Suggested business KPI table</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7365D"/>
          </w:tcPr>
          <w:p>
            <w:pPr>
              <w:spacing w:after="20"/>
            </w:pPr>
            <w:r/>
            <w:r>
              <w:rPr>
                <w:rFonts w:ascii="Aptos" w:hAnsi="Aptos"/>
                <w:b/>
                <w:color w:val="FFFFFF"/>
                <w:sz w:val="18"/>
              </w:rPr>
              <w:t>KPI</w:t>
            </w:r>
          </w:p>
        </w:tc>
        <w:tc>
          <w:tcPr>
            <w:tcW w:type="dxa" w:w="4032"/>
            <w:vAlign w:val="center"/>
            <w:shd w:fill="17365D"/>
          </w:tcPr>
          <w:p>
            <w:pPr>
              <w:spacing w:after="20"/>
            </w:pPr>
            <w:r/>
            <w:r>
              <w:rPr>
                <w:rFonts w:ascii="Aptos" w:hAnsi="Aptos"/>
                <w:b/>
                <w:color w:val="FFFFFF"/>
                <w:sz w:val="18"/>
              </w:rPr>
              <w:t>Definition / measurement</w:t>
            </w:r>
          </w:p>
        </w:tc>
        <w:tc>
          <w:tcPr>
            <w:tcW w:type="dxa" w:w="3312"/>
            <w:vAlign w:val="center"/>
            <w:shd w:fill="17365D"/>
          </w:tcPr>
          <w:p>
            <w:pPr>
              <w:spacing w:after="20"/>
            </w:pPr>
            <w:r/>
            <w:r>
              <w:rPr>
                <w:rFonts w:ascii="Aptos" w:hAnsi="Aptos"/>
                <w:b/>
                <w:color w:val="FFFFFF"/>
                <w:sz w:val="18"/>
              </w:rPr>
              <w:t>Why it matters</w:t>
            </w:r>
          </w:p>
        </w:tc>
      </w:tr>
      <w:tr>
        <w:tc>
          <w:tcPr>
            <w:tcW w:type="dxa" w:w="2304"/>
            <w:vAlign w:val="center"/>
          </w:tcPr>
          <w:p>
            <w:pPr>
              <w:spacing w:after="20"/>
            </w:pPr>
            <w:r/>
            <w:r>
              <w:rPr>
                <w:rFonts w:ascii="Aptos" w:hAnsi="Aptos"/>
                <w:b w:val="0"/>
                <w:sz w:val="17"/>
              </w:rPr>
              <w:t>Repeat-purchase rate</w:t>
            </w:r>
          </w:p>
        </w:tc>
        <w:tc>
          <w:tcPr>
            <w:tcW w:type="dxa" w:w="4032"/>
            <w:vAlign w:val="center"/>
          </w:tcPr>
          <w:p>
            <w:pPr>
              <w:spacing w:after="20"/>
            </w:pPr>
            <w:r/>
            <w:r>
              <w:rPr>
                <w:rFonts w:ascii="Aptos" w:hAnsi="Aptos"/>
                <w:b w:val="0"/>
                <w:sz w:val="17"/>
              </w:rPr>
              <w:t>Share of eligible customers who buy again in the defined period.</w:t>
            </w:r>
          </w:p>
        </w:tc>
        <w:tc>
          <w:tcPr>
            <w:tcW w:type="dxa" w:w="3312"/>
            <w:vAlign w:val="center"/>
          </w:tcPr>
          <w:p>
            <w:pPr>
              <w:spacing w:after="20"/>
            </w:pPr>
            <w:r/>
            <w:r>
              <w:rPr>
                <w:rFonts w:ascii="Aptos" w:hAnsi="Aptos"/>
                <w:b w:val="0"/>
                <w:sz w:val="17"/>
              </w:rPr>
              <w:t>Measures the target behavior.</w:t>
            </w:r>
          </w:p>
        </w:tc>
      </w:tr>
      <w:tr>
        <w:tc>
          <w:tcPr>
            <w:tcW w:type="dxa" w:w="2304"/>
            <w:vAlign w:val="center"/>
            <w:shd w:fill="EAF2F8"/>
          </w:tcPr>
          <w:p>
            <w:pPr>
              <w:spacing w:after="20"/>
            </w:pPr>
            <w:r/>
            <w:r>
              <w:rPr>
                <w:rFonts w:ascii="Aptos" w:hAnsi="Aptos"/>
                <w:b w:val="0"/>
                <w:sz w:val="17"/>
              </w:rPr>
              <w:t>Campaign conversion rate</w:t>
            </w:r>
          </w:p>
        </w:tc>
        <w:tc>
          <w:tcPr>
            <w:tcW w:type="dxa" w:w="4032"/>
            <w:vAlign w:val="center"/>
            <w:shd w:fill="EAF2F8"/>
          </w:tcPr>
          <w:p>
            <w:pPr>
              <w:spacing w:after="20"/>
            </w:pPr>
            <w:r/>
            <w:r>
              <w:rPr>
                <w:rFonts w:ascii="Aptos" w:hAnsi="Aptos"/>
                <w:b w:val="0"/>
                <w:sz w:val="17"/>
              </w:rPr>
              <w:t>Share of reached customers who complete the desired action.</w:t>
            </w:r>
          </w:p>
        </w:tc>
        <w:tc>
          <w:tcPr>
            <w:tcW w:type="dxa" w:w="3312"/>
            <w:vAlign w:val="center"/>
            <w:shd w:fill="EAF2F8"/>
          </w:tcPr>
          <w:p>
            <w:pPr>
              <w:spacing w:after="20"/>
            </w:pPr>
            <w:r/>
            <w:r>
              <w:rPr>
                <w:rFonts w:ascii="Aptos" w:hAnsi="Aptos"/>
                <w:b w:val="0"/>
                <w:sz w:val="17"/>
              </w:rPr>
              <w:t>Measures campaign response.</w:t>
            </w:r>
          </w:p>
        </w:tc>
      </w:tr>
      <w:tr>
        <w:tc>
          <w:tcPr>
            <w:tcW w:type="dxa" w:w="2304"/>
            <w:vAlign w:val="center"/>
          </w:tcPr>
          <w:p>
            <w:pPr>
              <w:spacing w:after="20"/>
            </w:pPr>
            <w:r/>
            <w:r>
              <w:rPr>
                <w:rFonts w:ascii="Aptos" w:hAnsi="Aptos"/>
                <w:b w:val="0"/>
                <w:sz w:val="17"/>
              </w:rPr>
              <w:t>Incremental lift</w:t>
            </w:r>
          </w:p>
        </w:tc>
        <w:tc>
          <w:tcPr>
            <w:tcW w:type="dxa" w:w="4032"/>
            <w:vAlign w:val="center"/>
          </w:tcPr>
          <w:p>
            <w:pPr>
              <w:spacing w:after="20"/>
            </w:pPr>
            <w:r/>
            <w:r>
              <w:rPr>
                <w:rFonts w:ascii="Aptos" w:hAnsi="Aptos"/>
                <w:b w:val="0"/>
                <w:sz w:val="17"/>
              </w:rPr>
              <w:t>Difference in outcome between treatment and control groups.</w:t>
            </w:r>
          </w:p>
        </w:tc>
        <w:tc>
          <w:tcPr>
            <w:tcW w:type="dxa" w:w="3312"/>
            <w:vAlign w:val="center"/>
          </w:tcPr>
          <w:p>
            <w:pPr>
              <w:spacing w:after="20"/>
            </w:pPr>
            <w:r/>
            <w:r>
              <w:rPr>
                <w:rFonts w:ascii="Aptos" w:hAnsi="Aptos"/>
                <w:b w:val="0"/>
                <w:sz w:val="17"/>
              </w:rPr>
              <w:t>Estimates additional impact beyond usual behavior.</w:t>
            </w:r>
          </w:p>
        </w:tc>
      </w:tr>
      <w:tr>
        <w:tc>
          <w:tcPr>
            <w:tcW w:type="dxa" w:w="2304"/>
            <w:vAlign w:val="center"/>
            <w:shd w:fill="EAF2F8"/>
          </w:tcPr>
          <w:p>
            <w:pPr>
              <w:spacing w:after="20"/>
            </w:pPr>
            <w:r/>
            <w:r>
              <w:rPr>
                <w:rFonts w:ascii="Aptos" w:hAnsi="Aptos"/>
                <w:b w:val="0"/>
                <w:sz w:val="17"/>
              </w:rPr>
              <w:t>Cost per incremental purchase</w:t>
            </w:r>
          </w:p>
        </w:tc>
        <w:tc>
          <w:tcPr>
            <w:tcW w:type="dxa" w:w="4032"/>
            <w:vAlign w:val="center"/>
            <w:shd w:fill="EAF2F8"/>
          </w:tcPr>
          <w:p>
            <w:pPr>
              <w:spacing w:after="20"/>
            </w:pPr>
            <w:r/>
            <w:r>
              <w:rPr>
                <w:rFonts w:ascii="Aptos" w:hAnsi="Aptos"/>
                <w:b w:val="0"/>
                <w:sz w:val="17"/>
              </w:rPr>
              <w:t>Campaign cost divided by additional purchases attributable to the campaign.</w:t>
            </w:r>
          </w:p>
        </w:tc>
        <w:tc>
          <w:tcPr>
            <w:tcW w:type="dxa" w:w="3312"/>
            <w:vAlign w:val="center"/>
            <w:shd w:fill="EAF2F8"/>
          </w:tcPr>
          <w:p>
            <w:pPr>
              <w:spacing w:after="20"/>
            </w:pPr>
            <w:r/>
            <w:r>
              <w:rPr>
                <w:rFonts w:ascii="Aptos" w:hAnsi="Aptos"/>
                <w:b w:val="0"/>
                <w:sz w:val="17"/>
              </w:rPr>
              <w:t>Helps assess efficiency.</w:t>
            </w:r>
          </w:p>
        </w:tc>
      </w:tr>
      <w:tr>
        <w:tc>
          <w:tcPr>
            <w:tcW w:type="dxa" w:w="2304"/>
            <w:vAlign w:val="center"/>
          </w:tcPr>
          <w:p>
            <w:pPr>
              <w:spacing w:after="20"/>
            </w:pPr>
            <w:r/>
            <w:r>
              <w:rPr>
                <w:rFonts w:ascii="Aptos" w:hAnsi="Aptos"/>
                <w:b w:val="0"/>
                <w:sz w:val="17"/>
              </w:rPr>
              <w:t>Incremental profit</w:t>
            </w:r>
          </w:p>
        </w:tc>
        <w:tc>
          <w:tcPr>
            <w:tcW w:type="dxa" w:w="4032"/>
            <w:vAlign w:val="center"/>
          </w:tcPr>
          <w:p>
            <w:pPr>
              <w:spacing w:after="20"/>
            </w:pPr>
            <w:r/>
            <w:r>
              <w:rPr>
                <w:rFonts w:ascii="Aptos" w:hAnsi="Aptos"/>
                <w:b w:val="0"/>
                <w:sz w:val="17"/>
              </w:rPr>
              <w:t>Additional contribution after campaign and incentive costs.</w:t>
            </w:r>
          </w:p>
        </w:tc>
        <w:tc>
          <w:tcPr>
            <w:tcW w:type="dxa" w:w="3312"/>
            <w:vAlign w:val="center"/>
          </w:tcPr>
          <w:p>
            <w:pPr>
              <w:spacing w:after="20"/>
            </w:pPr>
            <w:r/>
            <w:r>
              <w:rPr>
                <w:rFonts w:ascii="Aptos" w:hAnsi="Aptos"/>
                <w:b w:val="0"/>
                <w:sz w:val="17"/>
              </w:rPr>
              <w:t>Supports a business decision beyond prediction scores.</w:t>
            </w:r>
          </w:p>
        </w:tc>
      </w:tr>
    </w:tbl>
    <w:p/>
    <w:p>
      <w:pPr>
        <w:pStyle w:val="Heading1"/>
      </w:pPr>
      <w:r>
        <w:t>11. Limitations, Ethics and Risk Management</w:t>
      </w:r>
    </w:p>
    <w:p>
      <w:pPr>
        <w:pStyle w:val="ListBullet"/>
        <w:spacing w:after="40"/>
      </w:pPr>
      <w:r>
        <w:t>Predictions are uncertain and describe patterns in historical data; they do not guarantee future behavior.</w:t>
      </w:r>
    </w:p>
    <w:p>
      <w:pPr>
        <w:pStyle w:val="ListBullet"/>
        <w:spacing w:after="40"/>
      </w:pPr>
      <w:r>
        <w:t>Data quality issues, missing records, small samples, and changes in customer behavior can reduce reliability.</w:t>
      </w:r>
    </w:p>
    <w:p>
      <w:pPr>
        <w:pStyle w:val="ListBullet"/>
        <w:spacing w:after="40"/>
      </w:pPr>
      <w:r>
        <w:t>A high ROC-AUC does not guarantee calibrated probabilities or profitable campaign decisions.</w:t>
      </w:r>
    </w:p>
    <w:p>
      <w:pPr>
        <w:pStyle w:val="ListBullet"/>
        <w:spacing w:after="40"/>
      </w:pPr>
      <w:r>
        <w:t>Feature importance indicates predictive usefulness, not necessarily causation.</w:t>
      </w:r>
    </w:p>
    <w:p>
      <w:pPr>
        <w:pStyle w:val="ListBullet"/>
        <w:spacing w:after="40"/>
      </w:pPr>
      <w:r>
        <w:t>Customer behavior may differ across product categories or groups; evaluate relevant segments and investigate material gaps.</w:t>
      </w:r>
    </w:p>
    <w:p>
      <w:pPr>
        <w:pStyle w:val="ListBullet"/>
        <w:spacing w:after="40"/>
      </w:pPr>
      <w:r>
        <w:t>Avoid unnecessary personal data, restrict access, protect stored information, and honor communication preferences.</w:t>
      </w:r>
    </w:p>
    <w:p>
      <w:pPr>
        <w:pStyle w:val="ListBullet"/>
        <w:spacing w:after="40"/>
      </w:pPr>
      <w:r>
        <w:t>Use a control group or other appropriate experimental design to estimate whether model-driven actions actually cause better outcomes.</w:t>
      </w:r>
    </w:p>
    <w:p>
      <w:pPr>
        <w:pStyle w:val="Heading1"/>
      </w:pPr>
      <w:r>
        <w:t>12. Final Summary</w:t>
      </w:r>
    </w:p>
    <w:p>
      <w:r>
        <w:t>A well-designed evaluation framework combines statistical performance with operational feasibility and business value. Accuracy, precision, recall, F1-score, ROC-AUC, and confusion matrices provide complementary views of a repeat-purchase classifier. A staged validation process—data audit, leakage prevention, training and validation, final testing, pilot measurement, and ongoing monitoring—helps reduce the risk of misleading conclusions.</w:t>
      </w:r>
    </w:p>
    <w:p>
      <w:r>
        <w:t>For beauty and wellness businesses, the practical objective is to improve customer engagement and retention without wasting campaign resources or compromising customer trust. The recommended next step is to apply this framework to a real, well-defined dataset, replace illustrative results with measured performance, and validate business outcomes through a controlled pilot.</w:t>
      </w:r>
    </w:p>
    <w:p>
      <w:pPr>
        <w:pStyle w:val="Heading1"/>
      </w:pPr>
      <w:r>
        <w:t>Appendix A. Reporting Checklist</w:t>
      </w:r>
    </w:p>
    <w:p>
      <w:pPr>
        <w:pStyle w:val="ListBullet"/>
        <w:spacing w:after="40"/>
      </w:pPr>
      <w:r>
        <w:t>☐ Business question and target period clearly defined.</w:t>
      </w:r>
    </w:p>
    <w:p>
      <w:pPr>
        <w:pStyle w:val="ListBullet"/>
        <w:spacing w:after="40"/>
      </w:pPr>
      <w:r>
        <w:t>☐ Dataset scope, exclusions, and feature definitions documented.</w:t>
      </w:r>
    </w:p>
    <w:p>
      <w:pPr>
        <w:pStyle w:val="ListBullet"/>
        <w:spacing w:after="40"/>
      </w:pPr>
      <w:r>
        <w:t>☐ Training, validation, and test methodology recorded.</w:t>
      </w:r>
    </w:p>
    <w:p>
      <w:pPr>
        <w:pStyle w:val="ListBullet"/>
        <w:spacing w:after="40"/>
      </w:pPr>
      <w:r>
        <w:t>☐ Data leakage checks completed.</w:t>
      </w:r>
    </w:p>
    <w:p>
      <w:pPr>
        <w:pStyle w:val="ListBullet"/>
        <w:spacing w:after="40"/>
      </w:pPr>
      <w:r>
        <w:t>☐ Baseline and candidate models evaluated consistently.</w:t>
      </w:r>
    </w:p>
    <w:p>
      <w:pPr>
        <w:pStyle w:val="ListBullet"/>
        <w:spacing w:after="40"/>
      </w:pPr>
      <w:r>
        <w:t>☐ Accuracy, precision, recall, F1-score, ROC-AUC, and confusion matrix reported where appropriate.</w:t>
      </w:r>
    </w:p>
    <w:p>
      <w:pPr>
        <w:pStyle w:val="ListBullet"/>
        <w:spacing w:after="40"/>
      </w:pPr>
      <w:r>
        <w:t>☐ Threshold selection justified using business constraints.</w:t>
      </w:r>
    </w:p>
    <w:p>
      <w:pPr>
        <w:pStyle w:val="ListBullet"/>
        <w:spacing w:after="40"/>
      </w:pPr>
      <w:r>
        <w:t>☐ Visuals include titles, labels, units, and notes distinguishing actual from illustrative values.</w:t>
      </w:r>
    </w:p>
    <w:p>
      <w:pPr>
        <w:pStyle w:val="ListBullet"/>
        <w:spacing w:after="40"/>
      </w:pPr>
      <w:r>
        <w:t>☐ Limitations and privacy considerations documented.</w:t>
      </w:r>
    </w:p>
    <w:p>
      <w:pPr>
        <w:pStyle w:val="ListBullet"/>
        <w:spacing w:after="40"/>
      </w:pPr>
      <w:r>
        <w:t>☐ Business pilot includes a control group and predefined KPIs.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Beauty &amp; Wellness Predictive Analytics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WEEK 6 | MODEL EVALUATION &amp; BUSINESS IMPACT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