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87" w:rsidRPr="00C62687" w:rsidRDefault="00C62687" w:rsidP="00283BCC">
      <w:pPr>
        <w:ind w:left="720"/>
        <w:rPr>
          <w:rFonts w:ascii="Verdana" w:hAnsi="Verdana"/>
          <w:b/>
          <w:bCs/>
          <w:color w:val="0F243E"/>
          <w:sz w:val="20"/>
          <w:szCs w:val="20"/>
        </w:rPr>
      </w:pPr>
      <w:r w:rsidRPr="00C62687">
        <w:rPr>
          <w:rFonts w:ascii="Verdana" w:hAnsi="Verdana"/>
          <w:b/>
          <w:bCs/>
          <w:color w:val="0F243E"/>
          <w:sz w:val="20"/>
          <w:szCs w:val="20"/>
        </w:rPr>
        <w:t xml:space="preserve">Content Partner Risk Management Program (CPRM) </w:t>
      </w:r>
    </w:p>
    <w:p w:rsidR="00C62687" w:rsidRDefault="00C62687" w:rsidP="00283BCC">
      <w:pPr>
        <w:ind w:left="720"/>
        <w:rPr>
          <w:rFonts w:ascii="Verdana" w:hAnsi="Verdana"/>
          <w:b/>
          <w:bCs/>
          <w:color w:val="0F243E"/>
          <w:sz w:val="20"/>
          <w:szCs w:val="20"/>
        </w:rPr>
      </w:pPr>
      <w:r w:rsidRPr="00C62687">
        <w:rPr>
          <w:rFonts w:ascii="Verdana" w:hAnsi="Verdana"/>
          <w:b/>
          <w:bCs/>
          <w:color w:val="0F243E"/>
          <w:sz w:val="20"/>
          <w:szCs w:val="20"/>
        </w:rPr>
        <w:t>Scan Compliancy FAQ</w:t>
      </w:r>
    </w:p>
    <w:p w:rsidR="00C62687" w:rsidRPr="00C62687" w:rsidRDefault="00C62687" w:rsidP="00C62687">
      <w:pPr>
        <w:ind w:left="720"/>
        <w:rPr>
          <w:rFonts w:ascii="Verdana" w:hAnsi="Verdana"/>
          <w:b/>
          <w:bCs/>
          <w:color w:val="0F243E"/>
          <w:sz w:val="20"/>
          <w:szCs w:val="20"/>
        </w:rPr>
      </w:pPr>
      <w:r w:rsidRPr="00C62687">
        <w:rPr>
          <w:rFonts w:ascii="Verdana" w:hAnsi="Verdana"/>
          <w:b/>
          <w:bCs/>
          <w:color w:val="0F243E"/>
          <w:sz w:val="20"/>
          <w:szCs w:val="20"/>
        </w:rPr>
        <w:t>February 1</w:t>
      </w:r>
      <w:r w:rsidRPr="00C62687">
        <w:rPr>
          <w:rFonts w:ascii="Verdana" w:hAnsi="Verdana"/>
          <w:b/>
          <w:bCs/>
          <w:color w:val="0F243E"/>
          <w:sz w:val="20"/>
          <w:szCs w:val="20"/>
          <w:vertAlign w:val="superscript"/>
        </w:rPr>
        <w:t>st</w:t>
      </w:r>
      <w:r w:rsidRPr="00C62687">
        <w:rPr>
          <w:rFonts w:ascii="Verdana" w:hAnsi="Verdana"/>
          <w:b/>
          <w:bCs/>
          <w:color w:val="0F243E"/>
          <w:sz w:val="20"/>
          <w:szCs w:val="20"/>
        </w:rPr>
        <w:t>, 2010</w:t>
      </w:r>
    </w:p>
    <w:p w:rsidR="00C62687" w:rsidRDefault="00C62687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C62687" w:rsidRPr="00C62687" w:rsidRDefault="00C62687" w:rsidP="00283BCC">
      <w:pPr>
        <w:ind w:left="720"/>
        <w:rPr>
          <w:rFonts w:ascii="Verdana" w:hAnsi="Verdana"/>
          <w:bCs/>
          <w:color w:val="0F243E"/>
          <w:sz w:val="20"/>
          <w:szCs w:val="20"/>
        </w:rPr>
      </w:pPr>
      <w:r w:rsidRPr="00C62687">
        <w:rPr>
          <w:rFonts w:ascii="Verdana" w:hAnsi="Verdana"/>
          <w:bCs/>
          <w:color w:val="0F243E"/>
          <w:sz w:val="20"/>
          <w:szCs w:val="20"/>
        </w:rPr>
        <w:t xml:space="preserve">The questions and answers below are designed to answer the most common questions regarding the Scan Compliancy form. If you have additional questions, please contact </w:t>
      </w:r>
      <w:hyperlink r:id="rId7" w:history="1">
        <w:r w:rsidRPr="00B13255">
          <w:rPr>
            <w:rStyle w:val="Hyperlink"/>
            <w:color w:val="0070C0"/>
          </w:rPr>
          <w:t>CPRM@microsoft.com</w:t>
        </w:r>
      </w:hyperlink>
    </w:p>
    <w:p w:rsidR="00C62687" w:rsidRDefault="00C62687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E76B41" w:rsidRDefault="00E76B41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>Q: Which partners are impacted by this requirement?</w:t>
      </w:r>
    </w:p>
    <w:p w:rsidR="00E76B41" w:rsidRDefault="00E76B41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E76B41" w:rsidRDefault="00E76B41" w:rsidP="00E76B41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A:  All CPRM partners (new and existing) are required to sign the Scan Compliancy form to acknowledge that scans will be occurring. </w:t>
      </w:r>
    </w:p>
    <w:p w:rsidR="00E76B41" w:rsidRDefault="00E76B41" w:rsidP="00E76B41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E76B41" w:rsidRDefault="00E76B41" w:rsidP="00E76B41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Why is this requirement being implemented? </w:t>
      </w:r>
    </w:p>
    <w:p w:rsidR="00E76B41" w:rsidRDefault="00E76B41" w:rsidP="00E76B41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E76B41" w:rsidRDefault="00E76B41" w:rsidP="00E76B41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A:  Initially, the SLA/Security Exhibit was used to communicate the scan requirement for partners. However, in recent months there has been a clear indication that the CPRM program needed to implement a formalized acknowledgement for the scanning that is performed for partners. </w:t>
      </w:r>
    </w:p>
    <w:p w:rsidR="0038459B" w:rsidRDefault="0038459B" w:rsidP="00E76B41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38459B" w:rsidRDefault="0038459B" w:rsidP="0038459B">
      <w:pPr>
        <w:ind w:left="720"/>
        <w:rPr>
          <w:color w:val="00000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>Q: Who is excluded from this new requirement?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38459B" w:rsidRDefault="0038459B" w:rsidP="0038459B">
      <w:pPr>
        <w:ind w:left="720"/>
        <w:rPr>
          <w:color w:val="000000"/>
        </w:rPr>
      </w:pPr>
      <w:r>
        <w:rPr>
          <w:color w:val="000000"/>
        </w:rPr>
        <w:t> </w:t>
      </w:r>
    </w:p>
    <w:p w:rsidR="0038459B" w:rsidRDefault="0038459B" w:rsidP="0038459B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A:  The following deal types are excluded from completing the Scan Compliancy form:</w:t>
      </w:r>
    </w:p>
    <w:p w:rsidR="0038459B" w:rsidRPr="00283BCC" w:rsidRDefault="0038459B" w:rsidP="0038459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Akami hosted deals</w:t>
      </w:r>
    </w:p>
    <w:p w:rsidR="0038459B" w:rsidRDefault="0038459B" w:rsidP="0038459B">
      <w:pPr>
        <w:ind w:left="720"/>
        <w:rPr>
          <w:color w:val="000000"/>
        </w:rPr>
      </w:pPr>
      <w:r>
        <w:rPr>
          <w:color w:val="000000"/>
        </w:rPr>
        <w:t> </w:t>
      </w:r>
    </w:p>
    <w:p w:rsidR="00E76B41" w:rsidRDefault="00E76B41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Does my partner have to sign a Scan Compliancy form for each type of scan being performed? </w:t>
      </w:r>
    </w:p>
    <w:p w:rsidR="00E76B41" w:rsidRDefault="00E76B41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E76B41" w:rsidRDefault="00E76B41" w:rsidP="00283BCC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A:  No. The Scan Compliancy form is a blanket acknowledgement that scans will be performed on the site. This includes initial onboarding and ongoing host scans and web application scans.</w:t>
      </w:r>
    </w:p>
    <w:p w:rsidR="00E76B41" w:rsidRDefault="00E76B41" w:rsidP="00283BCC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 </w:t>
      </w:r>
    </w:p>
    <w:p w:rsidR="00283BCC" w:rsidRDefault="00283BCC" w:rsidP="00283BCC">
      <w:pPr>
        <w:ind w:left="720"/>
        <w:rPr>
          <w:color w:val="00000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How much time will </w:t>
      </w:r>
      <w:r w:rsidR="007C4A71">
        <w:rPr>
          <w:rFonts w:ascii="Verdana" w:hAnsi="Verdana"/>
          <w:b/>
          <w:bCs/>
          <w:color w:val="00B050"/>
          <w:sz w:val="20"/>
          <w:szCs w:val="20"/>
        </w:rPr>
        <w:t xml:space="preserve">a Scan Compliancy Form </w:t>
      </w:r>
      <w:r>
        <w:rPr>
          <w:rFonts w:ascii="Verdana" w:hAnsi="Verdana"/>
          <w:b/>
          <w:bCs/>
          <w:color w:val="00B050"/>
          <w:sz w:val="20"/>
          <w:szCs w:val="20"/>
        </w:rPr>
        <w:t>add to the on</w:t>
      </w:r>
      <w:r w:rsidR="007C4A71">
        <w:rPr>
          <w:rFonts w:ascii="Verdana" w:hAnsi="Verdana"/>
          <w:b/>
          <w:bCs/>
          <w:color w:val="00B050"/>
          <w:sz w:val="20"/>
          <w:szCs w:val="20"/>
        </w:rPr>
        <w:t>-</w:t>
      </w:r>
      <w:r>
        <w:rPr>
          <w:rFonts w:ascii="Verdana" w:hAnsi="Verdana"/>
          <w:b/>
          <w:bCs/>
          <w:color w:val="00B050"/>
          <w:sz w:val="20"/>
          <w:szCs w:val="20"/>
        </w:rPr>
        <w:t>boarding process</w:t>
      </w:r>
      <w:r w:rsidR="007C4A71">
        <w:rPr>
          <w:rFonts w:ascii="Verdana" w:hAnsi="Verdana"/>
          <w:b/>
          <w:bCs/>
          <w:color w:val="00B050"/>
          <w:sz w:val="20"/>
          <w:szCs w:val="20"/>
        </w:rPr>
        <w:t xml:space="preserve"> in CPRM</w:t>
      </w:r>
      <w:r>
        <w:rPr>
          <w:rFonts w:ascii="Verdana" w:hAnsi="Verdana"/>
          <w:b/>
          <w:bCs/>
          <w:color w:val="00B050"/>
          <w:sz w:val="20"/>
          <w:szCs w:val="20"/>
        </w:rPr>
        <w:t>?</w:t>
      </w:r>
    </w:p>
    <w:p w:rsidR="00283BCC" w:rsidRDefault="00283BCC" w:rsidP="00283BCC">
      <w:pPr>
        <w:ind w:left="720"/>
        <w:rPr>
          <w:color w:val="000000"/>
        </w:rPr>
      </w:pPr>
      <w:r>
        <w:rPr>
          <w:color w:val="000000"/>
        </w:rPr>
        <w:t> </w:t>
      </w:r>
    </w:p>
    <w:p w:rsidR="00283BCC" w:rsidRDefault="00283BCC" w:rsidP="00283BCC">
      <w:pPr>
        <w:ind w:left="720"/>
        <w:rPr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 xml:space="preserve">A: If a signed Scan Compliancy Form is sent to the </w:t>
      </w:r>
      <w:r w:rsidR="007C4A71">
        <w:rPr>
          <w:rFonts w:ascii="Verdana" w:hAnsi="Verdana"/>
          <w:color w:val="000000"/>
          <w:sz w:val="20"/>
          <w:szCs w:val="20"/>
        </w:rPr>
        <w:t>CPRM Business Desk</w:t>
      </w:r>
      <w:r>
        <w:rPr>
          <w:rFonts w:ascii="Verdana" w:hAnsi="Verdana"/>
          <w:color w:val="000000"/>
          <w:sz w:val="20"/>
          <w:szCs w:val="20"/>
        </w:rPr>
        <w:t xml:space="preserve"> at the time the </w:t>
      </w:r>
      <w:r w:rsidR="007C4A71">
        <w:rPr>
          <w:rFonts w:ascii="Verdana" w:hAnsi="Verdana"/>
          <w:color w:val="000000"/>
          <w:sz w:val="20"/>
          <w:szCs w:val="20"/>
        </w:rPr>
        <w:t>SLA is submitted</w:t>
      </w:r>
      <w:r>
        <w:rPr>
          <w:rFonts w:ascii="Verdana" w:hAnsi="Verdana"/>
          <w:color w:val="000000"/>
          <w:sz w:val="20"/>
          <w:szCs w:val="20"/>
        </w:rPr>
        <w:t>, no additional time should be expected to process the request</w:t>
      </w:r>
      <w:r w:rsidR="007C4A71">
        <w:rPr>
          <w:rFonts w:ascii="Verdana" w:hAnsi="Verdana"/>
          <w:color w:val="000000"/>
          <w:sz w:val="20"/>
          <w:szCs w:val="20"/>
        </w:rPr>
        <w:t xml:space="preserve"> (not withstanding </w:t>
      </w:r>
      <w:r w:rsidR="00E76B41">
        <w:rPr>
          <w:rFonts w:ascii="Verdana" w:hAnsi="Verdana"/>
          <w:color w:val="000000"/>
          <w:sz w:val="20"/>
          <w:szCs w:val="20"/>
        </w:rPr>
        <w:t>vulnerability</w:t>
      </w:r>
      <w:r w:rsidR="007C4A71">
        <w:rPr>
          <w:rFonts w:ascii="Verdana" w:hAnsi="Verdana"/>
          <w:color w:val="000000"/>
          <w:sz w:val="20"/>
          <w:szCs w:val="20"/>
        </w:rPr>
        <w:t xml:space="preserve"> resolutions and rescans)</w:t>
      </w:r>
      <w:r>
        <w:rPr>
          <w:rFonts w:ascii="Verdana" w:hAnsi="Verdana"/>
          <w:color w:val="000000"/>
          <w:sz w:val="20"/>
          <w:szCs w:val="20"/>
        </w:rPr>
        <w:t xml:space="preserve">. However, if </w:t>
      </w:r>
      <w:r w:rsidR="007C4A71">
        <w:rPr>
          <w:rFonts w:ascii="Verdana" w:hAnsi="Verdana"/>
          <w:color w:val="000000"/>
          <w:sz w:val="20"/>
          <w:szCs w:val="20"/>
        </w:rPr>
        <w:t>the scan</w:t>
      </w:r>
      <w:r>
        <w:rPr>
          <w:rFonts w:ascii="Verdana" w:hAnsi="Verdana"/>
          <w:color w:val="000000"/>
          <w:sz w:val="20"/>
          <w:szCs w:val="20"/>
        </w:rPr>
        <w:t xml:space="preserve"> request is submitted </w:t>
      </w:r>
      <w:r w:rsidRPr="00E76B41">
        <w:rPr>
          <w:rFonts w:ascii="Verdana" w:hAnsi="Verdana"/>
          <w:i/>
          <w:color w:val="000000"/>
          <w:sz w:val="20"/>
          <w:szCs w:val="20"/>
        </w:rPr>
        <w:t>without</w:t>
      </w:r>
      <w:r>
        <w:rPr>
          <w:rFonts w:ascii="Verdana" w:hAnsi="Verdana"/>
          <w:color w:val="000000"/>
          <w:sz w:val="20"/>
          <w:szCs w:val="20"/>
        </w:rPr>
        <w:t xml:space="preserve"> the signed Scan Compliancy </w:t>
      </w:r>
      <w:r w:rsidR="007C4A71">
        <w:rPr>
          <w:rFonts w:ascii="Verdana" w:hAnsi="Verdana"/>
          <w:color w:val="000000"/>
          <w:sz w:val="20"/>
          <w:szCs w:val="20"/>
        </w:rPr>
        <w:t>Form or SLA</w:t>
      </w:r>
      <w:r>
        <w:rPr>
          <w:rFonts w:ascii="Verdana" w:hAnsi="Verdana"/>
          <w:color w:val="000000"/>
          <w:sz w:val="20"/>
          <w:szCs w:val="20"/>
        </w:rPr>
        <w:t xml:space="preserve">, then the request will not be processed until </w:t>
      </w:r>
      <w:r w:rsidR="007C4A71">
        <w:rPr>
          <w:rFonts w:ascii="Verdana" w:hAnsi="Verdana"/>
          <w:color w:val="000000"/>
          <w:sz w:val="20"/>
          <w:szCs w:val="20"/>
        </w:rPr>
        <w:t>BOTH forms are</w:t>
      </w:r>
      <w:r>
        <w:rPr>
          <w:rFonts w:ascii="Verdana" w:hAnsi="Verdana"/>
          <w:color w:val="000000"/>
          <w:sz w:val="20"/>
          <w:szCs w:val="20"/>
        </w:rPr>
        <w:t xml:space="preserve"> received.</w:t>
      </w:r>
    </w:p>
    <w:p w:rsidR="00283BCC" w:rsidRDefault="00283BCC" w:rsidP="00283BCC">
      <w:pPr>
        <w:ind w:left="720"/>
        <w:rPr>
          <w:color w:val="000000"/>
        </w:rPr>
      </w:pPr>
      <w:r>
        <w:rPr>
          <w:color w:val="000000"/>
        </w:rPr>
        <w:t> </w:t>
      </w:r>
    </w:p>
    <w:p w:rsidR="00283BCC" w:rsidRDefault="00283BCC" w:rsidP="00283BCC">
      <w:pPr>
        <w:ind w:left="720"/>
        <w:rPr>
          <w:color w:val="00000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>Q: What if my partner refuses to sign the Scan Compliancy Form or needs more information about the scan itself?</w:t>
      </w:r>
    </w:p>
    <w:p w:rsidR="00657F0E" w:rsidRDefault="00283BCC" w:rsidP="00283BCC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 xml:space="preserve">A: </w:t>
      </w:r>
      <w:r w:rsidR="00657F0E">
        <w:rPr>
          <w:rFonts w:ascii="Verdana" w:hAnsi="Verdana"/>
          <w:color w:val="000000"/>
          <w:sz w:val="20"/>
          <w:szCs w:val="20"/>
        </w:rPr>
        <w:t xml:space="preserve">Explain to the partner that scanning a site is a requirement mandated by </w:t>
      </w:r>
      <w:r w:rsidR="007C4A71">
        <w:rPr>
          <w:rFonts w:ascii="Verdana" w:hAnsi="Verdana"/>
          <w:color w:val="000000"/>
          <w:sz w:val="20"/>
          <w:szCs w:val="20"/>
        </w:rPr>
        <w:t>Online Services Security &amp; Compliancy (OSSC).</w:t>
      </w:r>
      <w:r w:rsidR="00657F0E">
        <w:rPr>
          <w:rFonts w:ascii="Verdana" w:hAnsi="Verdana"/>
          <w:color w:val="000000"/>
          <w:sz w:val="20"/>
          <w:szCs w:val="20"/>
        </w:rPr>
        <w:t xml:space="preserve"> Additional information about the scanning requirements can be found in the Security Exhibit </w:t>
      </w:r>
      <w:r w:rsidR="00FC722D">
        <w:rPr>
          <w:rFonts w:ascii="Verdana" w:hAnsi="Verdana"/>
          <w:color w:val="000000"/>
          <w:sz w:val="20"/>
          <w:szCs w:val="20"/>
        </w:rPr>
        <w:t xml:space="preserve">(contained within the SLA) </w:t>
      </w:r>
      <w:r w:rsidR="00657F0E">
        <w:rPr>
          <w:rFonts w:ascii="Verdana" w:hAnsi="Verdana"/>
          <w:color w:val="000000"/>
          <w:sz w:val="20"/>
          <w:szCs w:val="20"/>
        </w:rPr>
        <w:t xml:space="preserve">which can be obtained from </w:t>
      </w:r>
      <w:r w:rsidR="007C4A71">
        <w:rPr>
          <w:rFonts w:ascii="Verdana" w:hAnsi="Verdana"/>
          <w:color w:val="000000"/>
          <w:sz w:val="20"/>
          <w:szCs w:val="20"/>
        </w:rPr>
        <w:t xml:space="preserve">the </w:t>
      </w:r>
      <w:hyperlink r:id="rId8" w:history="1">
        <w:r w:rsidR="007C4A71" w:rsidRPr="00C62687">
          <w:rPr>
            <w:rStyle w:val="Hyperlink"/>
            <w:rFonts w:ascii="Verdana" w:hAnsi="Verdana"/>
            <w:sz w:val="20"/>
            <w:szCs w:val="20"/>
          </w:rPr>
          <w:t>CPRM Business</w:t>
        </w:r>
        <w:r w:rsidR="00657F0E" w:rsidRPr="00C62687">
          <w:rPr>
            <w:rStyle w:val="Hyperlink"/>
            <w:rFonts w:ascii="Verdana" w:hAnsi="Verdana"/>
            <w:sz w:val="20"/>
            <w:szCs w:val="20"/>
          </w:rPr>
          <w:t xml:space="preserve"> Desk.</w:t>
        </w:r>
      </w:hyperlink>
    </w:p>
    <w:p w:rsidR="007C4A71" w:rsidRDefault="007C4A71" w:rsidP="00283BCC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7C4A71" w:rsidRDefault="007C4A71" w:rsidP="00283BCC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the Partner still insists on more granular information about the scan</w:t>
      </w:r>
      <w:r w:rsidR="00FC722D">
        <w:rPr>
          <w:rFonts w:ascii="Verdana" w:hAnsi="Verdana"/>
          <w:color w:val="000000"/>
          <w:sz w:val="20"/>
          <w:szCs w:val="20"/>
        </w:rPr>
        <w:t>ning process</w:t>
      </w:r>
      <w:r>
        <w:rPr>
          <w:rFonts w:ascii="Verdana" w:hAnsi="Verdana"/>
          <w:color w:val="000000"/>
          <w:sz w:val="20"/>
          <w:szCs w:val="20"/>
        </w:rPr>
        <w:t>, please escalate to the CPRM Business Desk. We will, in turn, put the Partner and the MS Business owner in contact with the OSSC Scanning team.</w:t>
      </w:r>
    </w:p>
    <w:p w:rsidR="00283BCC" w:rsidRDefault="00283BCC" w:rsidP="00283BCC">
      <w:pPr>
        <w:ind w:left="720"/>
        <w:rPr>
          <w:color w:val="000000"/>
        </w:rPr>
      </w:pPr>
      <w:r>
        <w:rPr>
          <w:color w:val="000000"/>
        </w:rPr>
        <w:t> </w:t>
      </w:r>
    </w:p>
    <w:p w:rsidR="00283BCC" w:rsidRDefault="00283BCC" w:rsidP="00283BCC">
      <w:pPr>
        <w:ind w:left="720"/>
        <w:rPr>
          <w:color w:val="00000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What if </w:t>
      </w:r>
      <w:r w:rsidR="0038459B">
        <w:rPr>
          <w:rFonts w:ascii="Verdana" w:hAnsi="Verdana"/>
          <w:b/>
          <w:bCs/>
          <w:color w:val="00B050"/>
          <w:sz w:val="20"/>
          <w:szCs w:val="20"/>
        </w:rPr>
        <w:t xml:space="preserve">a partner reuses </w:t>
      </w:r>
      <w:r>
        <w:rPr>
          <w:rFonts w:ascii="Verdana" w:hAnsi="Verdana"/>
          <w:b/>
          <w:bCs/>
          <w:color w:val="00B050"/>
          <w:sz w:val="20"/>
          <w:szCs w:val="20"/>
        </w:rPr>
        <w:t>a previously scanned URL?</w:t>
      </w:r>
    </w:p>
    <w:p w:rsidR="00283BCC" w:rsidRDefault="00283BCC" w:rsidP="00283BCC">
      <w:pPr>
        <w:ind w:left="720"/>
        <w:rPr>
          <w:color w:val="000000"/>
        </w:rPr>
      </w:pPr>
      <w:r>
        <w:rPr>
          <w:color w:val="000000"/>
        </w:rPr>
        <w:t> </w:t>
      </w:r>
    </w:p>
    <w:p w:rsidR="00657F0E" w:rsidRDefault="00283BCC" w:rsidP="00283BCC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A:  </w:t>
      </w:r>
      <w:r w:rsidR="007C4A71">
        <w:rPr>
          <w:rFonts w:ascii="Verdana" w:hAnsi="Verdana"/>
          <w:color w:val="000000"/>
          <w:sz w:val="20"/>
          <w:szCs w:val="20"/>
        </w:rPr>
        <w:t xml:space="preserve">If the IP or URL was scanned less than 30 days earlier via a different request (wherein a Scan </w:t>
      </w:r>
      <w:r w:rsidR="00C62687">
        <w:rPr>
          <w:rFonts w:ascii="Verdana" w:hAnsi="Verdana"/>
          <w:color w:val="000000"/>
          <w:sz w:val="20"/>
          <w:szCs w:val="20"/>
        </w:rPr>
        <w:t>C</w:t>
      </w:r>
      <w:r w:rsidR="007C4A71">
        <w:rPr>
          <w:rFonts w:ascii="Verdana" w:hAnsi="Verdana"/>
          <w:color w:val="000000"/>
          <w:sz w:val="20"/>
          <w:szCs w:val="20"/>
        </w:rPr>
        <w:t xml:space="preserve">ompliancy </w:t>
      </w:r>
      <w:r w:rsidR="00FC722D">
        <w:rPr>
          <w:rFonts w:ascii="Verdana" w:hAnsi="Verdana"/>
          <w:color w:val="000000"/>
          <w:sz w:val="20"/>
          <w:szCs w:val="20"/>
        </w:rPr>
        <w:t>Form</w:t>
      </w:r>
      <w:r w:rsidR="007C4A71">
        <w:rPr>
          <w:rFonts w:ascii="Verdana" w:hAnsi="Verdana"/>
          <w:color w:val="000000"/>
          <w:sz w:val="20"/>
          <w:szCs w:val="20"/>
        </w:rPr>
        <w:t xml:space="preserve"> was also submitted to and approved by CPRM) then an additional Scan Compliancy Form is not required</w:t>
      </w:r>
      <w:r w:rsidR="00657F0E">
        <w:rPr>
          <w:rFonts w:ascii="Verdana" w:hAnsi="Verdana"/>
          <w:color w:val="000000"/>
          <w:sz w:val="20"/>
          <w:szCs w:val="20"/>
        </w:rPr>
        <w:t xml:space="preserve">. </w:t>
      </w:r>
    </w:p>
    <w:p w:rsidR="00283BCC" w:rsidRDefault="00283BCC" w:rsidP="00283BCC">
      <w:pPr>
        <w:ind w:left="720"/>
        <w:rPr>
          <w:color w:val="000000"/>
        </w:rPr>
      </w:pPr>
      <w:r>
        <w:rPr>
          <w:color w:val="000000"/>
        </w:rPr>
        <w:t> </w:t>
      </w:r>
    </w:p>
    <w:p w:rsidR="00E76B41" w:rsidRDefault="00E76B41" w:rsidP="00E76B41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</w:t>
      </w:r>
      <w:r w:rsidR="001E43A0">
        <w:rPr>
          <w:rFonts w:ascii="Verdana" w:hAnsi="Verdana"/>
          <w:b/>
          <w:bCs/>
          <w:color w:val="00B050"/>
          <w:sz w:val="20"/>
          <w:szCs w:val="20"/>
        </w:rPr>
        <w:t>Will notifications be sent out at the start of each scan?</w:t>
      </w:r>
      <w:r>
        <w:rPr>
          <w:rFonts w:ascii="Verdana" w:hAnsi="Verdana"/>
          <w:b/>
          <w:bCs/>
          <w:color w:val="00B050"/>
          <w:sz w:val="20"/>
          <w:szCs w:val="20"/>
        </w:rPr>
        <w:t xml:space="preserve"> </w:t>
      </w:r>
    </w:p>
    <w:p w:rsidR="00E76B41" w:rsidRDefault="00E76B41" w:rsidP="00E76B41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1E43A0" w:rsidRDefault="00E76B41" w:rsidP="00E76B41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A:  </w:t>
      </w:r>
      <w:r w:rsidR="001E43A0">
        <w:rPr>
          <w:rFonts w:ascii="Verdana" w:hAnsi="Verdana"/>
          <w:color w:val="000000"/>
          <w:sz w:val="20"/>
          <w:szCs w:val="20"/>
        </w:rPr>
        <w:t xml:space="preserve">Yes and </w:t>
      </w:r>
      <w:r>
        <w:rPr>
          <w:rFonts w:ascii="Verdana" w:hAnsi="Verdana"/>
          <w:color w:val="000000"/>
          <w:sz w:val="20"/>
          <w:szCs w:val="20"/>
        </w:rPr>
        <w:t xml:space="preserve">No. </w:t>
      </w:r>
      <w:r w:rsidR="001E43A0">
        <w:rPr>
          <w:rFonts w:ascii="Verdana" w:hAnsi="Verdana"/>
          <w:color w:val="000000"/>
          <w:sz w:val="20"/>
          <w:szCs w:val="20"/>
        </w:rPr>
        <w:t xml:space="preserve">Host scans are performed on a regular basis without notification. However, if a partner site qualifies for web application scanning (this includes both full and light versions) a notification will be sent prior to the web application scan being performed. </w:t>
      </w:r>
    </w:p>
    <w:p w:rsidR="001E43A0" w:rsidRDefault="001E43A0" w:rsidP="00E76B41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1E43A0" w:rsidRDefault="001E43A0" w:rsidP="001E43A0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>
        <w:rPr>
          <w:rFonts w:ascii="Verdana" w:hAnsi="Verdana"/>
          <w:b/>
          <w:bCs/>
          <w:color w:val="00B050"/>
          <w:sz w:val="20"/>
          <w:szCs w:val="20"/>
        </w:rPr>
        <w:t xml:space="preserve">Q: Who should be aware of the scans being performed? </w:t>
      </w:r>
    </w:p>
    <w:p w:rsidR="001E43A0" w:rsidRDefault="001E43A0" w:rsidP="001E43A0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38459B" w:rsidRDefault="001E43A0" w:rsidP="001E43A0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A:  Any partner hosting a Microsoft co-branded site must be aware and acknowledge the scans being performed.  </w:t>
      </w:r>
      <w:r w:rsidR="0038459B">
        <w:rPr>
          <w:rFonts w:ascii="Verdana" w:hAnsi="Verdana"/>
          <w:color w:val="000000"/>
          <w:sz w:val="20"/>
          <w:szCs w:val="20"/>
        </w:rPr>
        <w:t>The formal acknowledgement is recorded via the Scan Compliancy form. In addition, p</w:t>
      </w:r>
      <w:r>
        <w:rPr>
          <w:rFonts w:ascii="Verdana" w:hAnsi="Verdana"/>
          <w:color w:val="000000"/>
          <w:sz w:val="20"/>
          <w:szCs w:val="20"/>
        </w:rPr>
        <w:t xml:space="preserve">artners </w:t>
      </w:r>
      <w:r w:rsidR="0038459B">
        <w:rPr>
          <w:rFonts w:ascii="Verdana" w:hAnsi="Verdana"/>
          <w:color w:val="000000"/>
          <w:sz w:val="20"/>
          <w:szCs w:val="20"/>
        </w:rPr>
        <w:t xml:space="preserve">must </w:t>
      </w:r>
      <w:r>
        <w:rPr>
          <w:rFonts w:ascii="Verdana" w:hAnsi="Verdana"/>
          <w:color w:val="000000"/>
          <w:sz w:val="20"/>
          <w:szCs w:val="20"/>
        </w:rPr>
        <w:t xml:space="preserve">advise the appropriate IT staff </w:t>
      </w:r>
      <w:r w:rsidR="0038459B">
        <w:rPr>
          <w:rFonts w:ascii="Verdana" w:hAnsi="Verdana"/>
          <w:color w:val="000000"/>
          <w:sz w:val="20"/>
          <w:szCs w:val="20"/>
        </w:rPr>
        <w:t xml:space="preserve">for the partner site </w:t>
      </w:r>
      <w:r>
        <w:rPr>
          <w:rFonts w:ascii="Verdana" w:hAnsi="Verdana"/>
          <w:color w:val="000000"/>
          <w:sz w:val="20"/>
          <w:szCs w:val="20"/>
        </w:rPr>
        <w:t xml:space="preserve">that scans will be performed to ensure </w:t>
      </w:r>
      <w:r w:rsidR="0038459B">
        <w:rPr>
          <w:rFonts w:ascii="Verdana" w:hAnsi="Verdana"/>
          <w:color w:val="000000"/>
          <w:sz w:val="20"/>
          <w:szCs w:val="20"/>
        </w:rPr>
        <w:t xml:space="preserve">that the scans we perform are not mistaken for an attack on the site. </w:t>
      </w:r>
    </w:p>
    <w:p w:rsidR="006B07DD" w:rsidRDefault="006B07DD" w:rsidP="001E43A0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C62687" w:rsidRDefault="00C62687" w:rsidP="00C62687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  <w:r w:rsidRPr="00C62687">
        <w:rPr>
          <w:rFonts w:ascii="Verdana" w:hAnsi="Verdana"/>
          <w:b/>
          <w:bCs/>
          <w:color w:val="00B05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B050"/>
          <w:sz w:val="20"/>
          <w:szCs w:val="20"/>
        </w:rPr>
        <w:t xml:space="preserve">Q: What if my existing partner doesn’t want to sign the Scan Compliancy Form? </w:t>
      </w:r>
    </w:p>
    <w:p w:rsidR="00C62687" w:rsidRDefault="00C62687" w:rsidP="00C62687">
      <w:pPr>
        <w:ind w:left="720"/>
        <w:rPr>
          <w:rFonts w:ascii="Verdana" w:hAnsi="Verdana"/>
          <w:b/>
          <w:bCs/>
          <w:color w:val="00B050"/>
          <w:sz w:val="20"/>
          <w:szCs w:val="20"/>
        </w:rPr>
      </w:pPr>
    </w:p>
    <w:p w:rsidR="00C62687" w:rsidRDefault="00C62687" w:rsidP="00C62687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A:  The SLA/Security Exhibit states that a scan is required. This form simply records the acknowledgement of the scan requirement. If a Partner refuses to sign the Scan Compliancy Form, LCA escalations will occur. </w:t>
      </w:r>
    </w:p>
    <w:p w:rsidR="006B07DD" w:rsidRDefault="006B07DD" w:rsidP="001E43A0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1E43A0" w:rsidRDefault="001E43A0" w:rsidP="00E76B41">
      <w:pPr>
        <w:ind w:left="720"/>
        <w:rPr>
          <w:rFonts w:ascii="Verdana" w:hAnsi="Verdana"/>
          <w:color w:val="000000"/>
          <w:sz w:val="20"/>
          <w:szCs w:val="20"/>
        </w:rPr>
      </w:pPr>
    </w:p>
    <w:p w:rsidR="00E76B41" w:rsidRDefault="00E76B41"/>
    <w:sectPr w:rsidR="00E76B41" w:rsidSect="008A5AC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86F" w:rsidRDefault="005E786F" w:rsidP="00C62687">
      <w:r>
        <w:separator/>
      </w:r>
    </w:p>
  </w:endnote>
  <w:endnote w:type="continuationSeparator" w:id="0">
    <w:p w:rsidR="005E786F" w:rsidRDefault="005E786F" w:rsidP="00C62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687" w:rsidRDefault="003D4012" w:rsidP="00C62687">
    <w:pPr>
      <w:pStyle w:val="Footer"/>
      <w:tabs>
        <w:tab w:val="left" w:pos="1350"/>
      </w:tabs>
      <w:jc w:val="center"/>
    </w:pPr>
    <w:fldSimple w:instr=" PAGE   \* MERGEFORMAT ">
      <w:r w:rsidR="00E508BB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86F" w:rsidRDefault="005E786F" w:rsidP="00C62687">
      <w:r>
        <w:separator/>
      </w:r>
    </w:p>
  </w:footnote>
  <w:footnote w:type="continuationSeparator" w:id="0">
    <w:p w:rsidR="005E786F" w:rsidRDefault="005E786F" w:rsidP="00C62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550E2"/>
    <w:multiLevelType w:val="hybridMultilevel"/>
    <w:tmpl w:val="54A6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BCC"/>
    <w:rsid w:val="001E43A0"/>
    <w:rsid w:val="00283BCC"/>
    <w:rsid w:val="002E3EE7"/>
    <w:rsid w:val="0038459B"/>
    <w:rsid w:val="003D4012"/>
    <w:rsid w:val="004F1974"/>
    <w:rsid w:val="005C3192"/>
    <w:rsid w:val="005E786F"/>
    <w:rsid w:val="00657F0E"/>
    <w:rsid w:val="006B07DD"/>
    <w:rsid w:val="007C4A71"/>
    <w:rsid w:val="008A5AC0"/>
    <w:rsid w:val="00943BE9"/>
    <w:rsid w:val="00947CE2"/>
    <w:rsid w:val="00B13255"/>
    <w:rsid w:val="00C62687"/>
    <w:rsid w:val="00E508BB"/>
    <w:rsid w:val="00E5319D"/>
    <w:rsid w:val="00E76B41"/>
    <w:rsid w:val="00F649B8"/>
    <w:rsid w:val="00FC722D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C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CC"/>
    <w:pPr>
      <w:ind w:left="720"/>
      <w:contextualSpacing/>
    </w:pPr>
  </w:style>
  <w:style w:type="table" w:styleId="TableGrid">
    <w:name w:val="Table Grid"/>
    <w:basedOn w:val="TableNormal"/>
    <w:uiPriority w:val="59"/>
    <w:rsid w:val="00283B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B0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7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7DD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7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0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26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68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26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687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RM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3733</CharactersWithSpaces>
  <SharedDoc>false</SharedDoc>
  <HLinks>
    <vt:vector size="12" baseType="variant">
      <vt:variant>
        <vt:i4>7536698</vt:i4>
      </vt:variant>
      <vt:variant>
        <vt:i4>3</vt:i4>
      </vt:variant>
      <vt:variant>
        <vt:i4>0</vt:i4>
      </vt:variant>
      <vt:variant>
        <vt:i4>5</vt:i4>
      </vt:variant>
      <vt:variant>
        <vt:lpwstr>mailto:cprm</vt:lpwstr>
      </vt:variant>
      <vt:variant>
        <vt:lpwstr/>
      </vt:variant>
      <vt:variant>
        <vt:i4>8126542</vt:i4>
      </vt:variant>
      <vt:variant>
        <vt:i4>0</vt:i4>
      </vt:variant>
      <vt:variant>
        <vt:i4>0</vt:i4>
      </vt:variant>
      <vt:variant>
        <vt:i4>5</vt:i4>
      </vt:variant>
      <vt:variant>
        <vt:lpwstr>mailto:CPRM@microsoft.com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 L Carey</dc:creator>
  <cp:lastModifiedBy>Kris Amerijckx</cp:lastModifiedBy>
  <cp:revision>2</cp:revision>
  <dcterms:created xsi:type="dcterms:W3CDTF">2011-08-01T08:34:00Z</dcterms:created>
  <dcterms:modified xsi:type="dcterms:W3CDTF">2011-08-01T08:34:00Z</dcterms:modified>
</cp:coreProperties>
</file>