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 While full GVAR estimation with trade-weighted foreign aggregates serves as a standard spatial macro baseline, in our minimal 4-variable covariate setting, the Dynamic Factor Model (DFM) and Minnesota-prior Bayesian VAR (BVAR) fulfill the equivalent benchmark role.</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alongside a Minnesota-prior BVAR precisely as non-network cross-country comparators: any GNN gain over the DFM or BVAR would suggest that bilateral network structure adds value beyond simple common-factor co-movement or regularised multivariate dynamics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As the evaluation progresses through the 35-quarter test period (2017Q1–2025Q3), the training window expands from 14 quarters initially to 45 quarters at the final test origin (and up to 57 quarters total over the full sample).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Parameter estimation instability in short initial macro windows is an inherent trade-off in macroeconomic panels with post-2011 sample boundaries. This structural constraint is acknowledged</w:t>
      </w:r>
      <w:r>
        <w:t xml:space="preserve"> </w:t>
      </w:r>
      <w:r>
        <w:t xml:space="preserve">explicitly in the limitations (Section 6.5).</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5.</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reflecting systemic post-2020 macroeconomic volatility and under-estimation of tail risk across all 13 model families rather than a failure specific to GNN architectures. In short macro panels evaluated across unprecedented pandemic and energy shock regimes, bootstrap-based prediction intervals built on historical residual variance systematically understate out-of-sample prediction uncertainty. Calibration improvements 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12</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at</w:t>
      </w:r>
      <w:r>
        <w:t xml:space="preserve"> </w:t>
      </w:r>
      <w:r>
        <w:t xml:space="preserve">h</w:t>
      </w:r>
      <w:r>
        <w:t xml:space="preserve"> = 1</w:t>
      </w:r>
      <w:r>
        <w:t xml:space="preserve">.</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practical implications for macroeconomic forecasters: identity-graph</w:t>
      </w:r>
      <w:r>
        <w:t xml:space="preserve"> </w:t>
      </w:r>
      <w:r>
        <w:t xml:space="preserve">ablation should be a standard requirement when evaluating spatial GNNs;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2026-08-12T10:49:21Z</dcterms:created>
  <dcterms:modified xsi:type="dcterms:W3CDTF">2026-08-12T10:49:21Z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