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 While full GVAR estimation with trade-weighted foreign aggregates serves as a standard spatial macro baseline, in our minimal 4-variable covariate setting, the Dynamic Factor Model (DFM) and Minnesota-prior Bayesian VAR (BVAR) fulfill the equivalent benchmark role.</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alongside a Minnesota-prior BVAR precisely as non-network cross-country comparators: any GNN gain over the DFM or BVAR would suggest that bilateral network structure adds value beyond simple common-factor co-movement or regularised multivariate dynamics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As the evaluation progresses through the 35-quarter test period (2017Q1–2025Q3), the training window expands from 14 quarters initially to 45 quarters at the final test origin (and up to 57 quarters total over the full sample).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Parameter estimation instability in short initial macro windows is an inherent trade-off in macroeconomic panels with post-2011 sample boundaries. This structural constraint is acknowledged</w:t>
      </w:r>
      <w:r>
        <w:t xml:space="preserve"> </w:t>
      </w:r>
      <w:r>
        <w:t xml:space="preserve">explicitly in the limitations (Section 6.5).</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5.</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reflecting systemic post-2020 macroeconomic volatility and under-estimation of tail risk across all 13 model families rather than a failure specific to GNN architectures. In short macro panels evaluated across unprecedented pandemic and energy shock regimes, bootstrap-based prediction intervals built on historical residual variance systematically understate out-of-sample prediction uncertainty. Calibration improvements 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13</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among GNN architectures at</w:t>
      </w:r>
      <w:r>
        <w:t xml:space="preserve"> </w:t>
      </w:r>
      <w:r>
        <w:t xml:space="preserve">h</w:t>
      </w:r>
      <w:r>
        <w:t xml:space="preserve"> = 1</w:t>
      </w:r>
      <w:r>
        <w:t xml:space="preserve"> </w:t>
      </w:r>
      <w:r>
        <w:t xml:space="preserve">(narrowly behind overall benchmark leader ARIMA).</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practical implications for macroeconomic forecasters: identity-graph</w:t>
      </w:r>
      <w:r>
        <w:t xml:space="preserve"> </w:t>
      </w:r>
      <w:r>
        <w:t xml:space="preserve">ablation should be a standard requirement when evaluating spatial GNNs;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2026-08-12T11:04:16Z</dcterms:created>
  <dcterms:modified xsi:type="dcterms:W3CDTF">2026-08-12T11:04:16Z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