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Inflation Contagion: A Spatio-Temporal Graph Neural Network Approach to Trade-Linked European Economies</w:t>
      </w:r>
    </w:p>
    <w:p>
      <w:pPr>
        <w:pStyle w:val="Date"/>
      </w:pPr>
      <w:r>
        <w:t xml:space="preserve">2026-07-24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study examines whether trade-network topology provides measurable</w:t>
      </w:r>
      <w:r>
        <w:t xml:space="preserve"> </w:t>
      </w:r>
      <w:r>
        <w:t xml:space="preserve">forecasting gains for quarterly CPI inflation (year-over-year) across</w:t>
      </w:r>
      <w:r>
        <w:t xml:space="preserve"> </w:t>
      </w:r>
      <w:r>
        <w:t xml:space="preserve">20 European economies from 2017Q1 to 2025Q3. We frame the problem as a</w:t>
      </w:r>
      <w:r>
        <w:t xml:space="preserve"> </w:t>
      </w:r>
      <w:r>
        <w:t xml:space="preserve">panel forecasting task on a dynamic directed graph whose edges encode</w:t>
      </w:r>
      <w:r>
        <w:t xml:space="preserve"> </w:t>
      </w:r>
      <w:r>
        <w:t xml:space="preserve">Eurostat Comext bilateral quarterly trade flows, and compare 12 model</w:t>
      </w:r>
      <w:r>
        <w:t xml:space="preserve"> </w:t>
      </w:r>
      <w:r>
        <w:t xml:space="preserve">families — spanning classical time-series benchmarks, regularised</w:t>
      </w:r>
      <w:r>
        <w:t xml:space="preserve"> </w:t>
      </w:r>
      <w:r>
        <w:t xml:space="preserve">regression, three graph-free neural architectures (MLP, LSTM, TCN),</w:t>
      </w:r>
      <w:r>
        <w:t xml:space="preserve"> </w:t>
      </w:r>
      <w:r>
        <w:t xml:space="preserve">and two graph neural network variants (GCN, Temporal Graph) — across</w:t>
      </w:r>
      <w:r>
        <w:t xml:space="preserve"> </w:t>
      </w:r>
      <w:r>
        <w:t xml:space="preserve">three forecast horizons (h = 1, 2, 4 quarters). The benchmark is</w:t>
      </w:r>
      <w:r>
        <w:t xml:space="preserve"> </w:t>
      </w:r>
      <w:r>
        <w:t xml:space="preserve">fully prospective: models are trained on 2011Q2–2014Q4, validated on</w:t>
      </w:r>
      <w:r>
        <w:t xml:space="preserve"> </w:t>
      </w:r>
      <w:r>
        <w:t xml:space="preserve">2015Q1–2016Q4, and tested on a strictly out-of-sample expanding window.</w:t>
      </w:r>
      <w:r>
        <w:t xml:space="preserve"> </w:t>
      </w:r>
      <w:r>
        <w:t xml:space="preserve">Eight graph-construction strategies are evaluated for each GNN family,</w:t>
      </w:r>
      <w:r>
        <w:t xml:space="preserve"> </w:t>
      </w:r>
      <w:r>
        <w:t xml:space="preserve">including an</w:t>
      </w:r>
      <w:r>
        <w:t xml:space="preserve"> </w:t>
      </w:r>
      <w:r>
        <w:rPr>
          <w:i/>
          <w:iCs/>
        </w:rPr>
        <w:t xml:space="preserve">identity (no-trade)</w:t>
      </w:r>
      <w:r>
        <w:t xml:space="preserve"> </w:t>
      </w:r>
      <w:r>
        <w:t xml:space="preserve">graph that isolates the GNN</w:t>
      </w:r>
      <w:r>
        <w:t xml:space="preserve"> </w:t>
      </w:r>
      <w:r>
        <w:t xml:space="preserve">architecture from graph information. Statistical significance is assessed</w:t>
      </w:r>
      <w:r>
        <w:t xml:space="preserve"> </w:t>
      </w:r>
      <w:r>
        <w:t xml:space="preserve">via the Harvey-Leybourne-Newbold corrected Diebold-Mariano test with</w:t>
      </w:r>
      <w:r>
        <w:t xml:space="preserve"> </w:t>
      </w:r>
      <w:r>
        <w:t xml:space="preserve">Bartlett HAC weighting, moving-block bootstrap confidence intervals, and</w:t>
      </w:r>
      <w:r>
        <w:t xml:space="preserve"> </w:t>
      </w:r>
      <w:r>
        <w:t xml:space="preserve">Benjamini-Hochberg FDR correction over 20 random seeds. The Temporal</w:t>
      </w:r>
      <w:r>
        <w:t xml:space="preserve"> </w:t>
      </w:r>
      <w:r>
        <w:t xml:space="preserve">Graph model with the identity (no-trade) graph achieves the lowest MAE</w:t>
      </w:r>
      <w:r>
        <w:t xml:space="preserve"> </w:t>
      </w:r>
      <w:r>
        <w:t xml:space="preserve">at h = 2 (2.358 pp) and h = 4 (2.840 pp), while GCN with identity graph</w:t>
      </w:r>
      <w:r>
        <w:t xml:space="preserve"> </w:t>
      </w:r>
      <w:r>
        <w:t xml:space="preserve">ranks first at h = 1 (1.707 pp). However, no graph model achieves</w:t>
      </w:r>
      <w:r>
        <w:t xml:space="preserve"> </w:t>
      </w:r>
      <w:r>
        <w:t xml:space="preserve">statistically consistent superiority over its best non-graph comparator</w:t>
      </w:r>
      <w:r>
        <w:t xml:space="preserve"> </w:t>
      </w:r>
      <w:r>
        <w:t xml:space="preserve">across all 20 seeds, suggesting that the temporal attention mechanism</w:t>
      </w:r>
      <w:r>
        <w:t xml:space="preserve"> </w:t>
      </w:r>
      <w:r>
        <w:t xml:space="preserve">rather than trade-network topology drives any observed gains. These</w:t>
      </w:r>
      <w:r>
        <w:t xml:space="preserve"> </w:t>
      </w:r>
      <w:r>
        <w:t xml:space="preserve">findings caution against attributing forecasting improvements to</w:t>
      </w:r>
      <w:r>
        <w:t xml:space="preserve"> </w:t>
      </w:r>
      <w:r>
        <w:t xml:space="preserve">network spillovers without rigorous ablation against graph-agnostic</w:t>
      </w:r>
      <w:r>
        <w:t xml:space="preserve"> </w:t>
      </w:r>
      <w:r>
        <w:t xml:space="preserve">architectures.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Inflation forecasting is a central challenge for central banks, fiscal authorities,</w:t>
      </w:r>
      <w:r>
        <w:t xml:space="preserve"> </w:t>
      </w:r>
      <w:r>
        <w:t xml:space="preserve">and international organisations. Standard univariate and small-system models treat</w:t>
      </w:r>
      <w:r>
        <w:t xml:space="preserve"> </w:t>
      </w:r>
      <w:r>
        <w:t xml:space="preserve">each economy in isolation, yet modern supply chains are highly integrated: an</w:t>
      </w:r>
      <w:r>
        <w:t xml:space="preserve"> </w:t>
      </w:r>
      <w:r>
        <w:t xml:space="preserve">energy shock in one country propagates through bilateral trade linkages to its</w:t>
      </w:r>
      <w:r>
        <w:t xml:space="preserve"> </w:t>
      </w:r>
      <w:r>
        <w:t xml:space="preserve">trade partners, creating inflation spillovers that single-country models cannot</w:t>
      </w:r>
      <w:r>
        <w:t xml:space="preserve"> </w:t>
      </w:r>
      <w:r>
        <w:t xml:space="preserve">capture. The post-2021 inflation surge — driven partly by pandemic supply-chain</w:t>
      </w:r>
      <w:r>
        <w:t xml:space="preserve"> </w:t>
      </w:r>
      <w:r>
        <w:t xml:space="preserve">disruptions and partly by energy-price contagion following the Russia-Ukraine war —</w:t>
      </w:r>
      <w:r>
        <w:t xml:space="preserve"> </w:t>
      </w:r>
      <w:r>
        <w:t xml:space="preserve">illustrated the limits of country-by-country approaches and renewed interest in</w:t>
      </w:r>
      <w:r>
        <w:t xml:space="preserve"> </w:t>
      </w:r>
      <w:r>
        <w:t xml:space="preserve">network-based macroeconomic models.</w:t>
      </w:r>
    </w:p>
    <w:p>
      <w:pPr>
        <w:pStyle w:val="BodyText"/>
      </w:pPr>
      <w:r>
        <w:t xml:space="preserve">Graph Neural Networks (GNNs) offer a natural framework for this setting. By</w:t>
      </w:r>
      <w:r>
        <w:t xml:space="preserve"> </w:t>
      </w:r>
      <w:r>
        <w:t xml:space="preserve">representing countries as nodes and bilateral trade flows as weighted, directed</w:t>
      </w:r>
      <w:r>
        <w:t xml:space="preserve"> </w:t>
      </w:r>
      <w:r>
        <w:t xml:space="preserve">edges, GNNs can, in principle, propagate inflation signals along the trade graph</w:t>
      </w:r>
      <w:r>
        <w:t xml:space="preserve"> </w:t>
      </w:r>
      <w:r>
        <w:t xml:space="preserve">and produce cross-country forecasts that respect the topology of global trade.</w:t>
      </w:r>
      <w:r>
        <w:t xml:space="preserve"> </w:t>
      </w:r>
      <w:r>
        <w:t xml:space="preserve">However, the empirical evidence on whether graph structure</w:t>
      </w:r>
      <w:r>
        <w:t xml:space="preserve"> </w:t>
      </w:r>
      <w:r>
        <w:rPr>
          <w:i/>
          <w:iCs/>
        </w:rPr>
        <w:t xml:space="preserve">per se</w:t>
      </w:r>
      <w:r>
        <w:t xml:space="preserve"> </w:t>
      </w:r>
      <w:r>
        <w:t xml:space="preserve">improves</w:t>
      </w:r>
      <w:r>
        <w:t xml:space="preserve"> </w:t>
      </w:r>
      <w:r>
        <w:t xml:space="preserve">macroeconomic forecasting remains thin. Most existing studies either use</w:t>
      </w:r>
      <w:r>
        <w:t xml:space="preserve"> </w:t>
      </w:r>
      <w:r>
        <w:t xml:space="preserve">synthetic or financial-market graphs, or compare GNNs only against weaker</w:t>
      </w:r>
      <w:r>
        <w:t xml:space="preserve"> </w:t>
      </w:r>
      <w:r>
        <w:t xml:space="preserve">baselines without controlling for the contribution of the GNN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versus the</w:t>
      </w:r>
      <w:r>
        <w:t xml:space="preserve"> </w:t>
      </w:r>
      <w:r>
        <w:rPr>
          <w:i/>
          <w:iCs/>
        </w:rPr>
        <w:t xml:space="preserve">graph information</w:t>
      </w:r>
      <w:r>
        <w:t xml:space="preserve">.</w:t>
      </w:r>
    </w:p>
    <w:p>
      <w:pPr>
        <w:pStyle w:val="BodyText"/>
      </w:pPr>
      <w:r>
        <w:t xml:space="preserve">This paper addresses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GNNs outperform classical benchmarks</w:t>
      </w:r>
      <w:r>
        <w:t xml:space="preserve"> </w:t>
      </w:r>
      <w:r>
        <w:t xml:space="preserve">(ARIMA, VAR, ETS, ridge</w:t>
      </w:r>
      <w:r>
        <w:t xml:space="preserve"> </w:t>
      </w:r>
      <w:r>
        <w:t xml:space="preserve">regression, gradient boosting) in prospective quarterly CPI inflation</w:t>
      </w:r>
      <w:r>
        <w:t xml:space="preserve"> </w:t>
      </w:r>
      <w:r>
        <w:t xml:space="preserve">forecasting for European economies?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trade-network topology add value</w:t>
      </w:r>
      <w:r>
        <w:t xml:space="preserve"> </w:t>
      </w:r>
      <w:r>
        <w:t xml:space="preserve">beyond what a graph-agnostic neural</w:t>
      </w:r>
      <w:r>
        <w:t xml:space="preserve"> </w:t>
      </w:r>
      <w:r>
        <w:t xml:space="preserve">architecture provides, as revealed by ablation against an</w:t>
      </w:r>
      <w:r>
        <w:t xml:space="preserve"> </w:t>
      </w:r>
      <w:r>
        <w:rPr>
          <w:i/>
          <w:iCs/>
        </w:rPr>
        <w:t xml:space="preserve">identity</w:t>
      </w:r>
      <w:r>
        <w:rPr>
          <w:i/>
          <w:iCs/>
        </w:rPr>
        <w:t xml:space="preserve"> </w:t>
      </w:r>
      <w:r>
        <w:rPr>
          <w:i/>
          <w:iCs/>
        </w:rPr>
        <w:t xml:space="preserve">(no-trade)</w:t>
      </w:r>
      <w:r>
        <w:t xml:space="preserve"> </w:t>
      </w:r>
      <w:r>
        <w:t xml:space="preserve">graph?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 any performance differences statistically significant</w:t>
      </w:r>
      <w:r>
        <w:t xml:space="preserve"> </w:t>
      </w:r>
      <w:r>
        <w:t xml:space="preserve">after proper</w:t>
      </w:r>
      <w:r>
        <w:t xml:space="preserve"> </w:t>
      </w:r>
      <w:r>
        <w:t xml:space="preserve">correction for multiple comparisons across 20 random seeds?</w:t>
      </w:r>
    </w:p>
    <w:p>
      <w:pPr>
        <w:pStyle w:val="FirstParagraph"/>
      </w:pPr>
      <w:r>
        <w:t xml:space="preserve">Our contributions are:</w:t>
      </w:r>
    </w:p>
    <w:p>
      <w:pPr>
        <w:pStyle w:val="Compact"/>
        <w:numPr>
          <w:ilvl w:val="0"/>
          <w:numId w:val="1002"/>
        </w:numPr>
      </w:pPr>
      <w:r>
        <w:t xml:space="preserve">A comprehensive, fully reproducible prospective benchmark covering 12 model</w:t>
      </w:r>
      <w:r>
        <w:t xml:space="preserve"> </w:t>
      </w:r>
      <w:r>
        <w:t xml:space="preserve">families, 8 graph variants, 3 horizons, and 20 seeds — totalling 38,380 model</w:t>
      </w:r>
      <w:r>
        <w:t xml:space="preserve"> </w:t>
      </w:r>
      <w:r>
        <w:t xml:space="preserve">fits and 781,740 forecast rows.</w:t>
      </w:r>
    </w:p>
    <w:p>
      <w:pPr>
        <w:pStyle w:val="Compact"/>
        <w:numPr>
          <w:ilvl w:val="0"/>
          <w:numId w:val="1002"/>
        </w:numPr>
      </w:pPr>
      <w:r>
        <w:t xml:space="preserve">The first systematic ablation of GNN graph topology against an identity graph in</w:t>
      </w:r>
      <w:r>
        <w:t xml:space="preserve"> </w:t>
      </w:r>
      <w:r>
        <w:t xml:space="preserve">a macroeconomic forecasting context.</w:t>
      </w:r>
    </w:p>
    <w:p>
      <w:pPr>
        <w:pStyle w:val="Compact"/>
        <w:numPr>
          <w:ilvl w:val="0"/>
          <w:numId w:val="1002"/>
        </w:numPr>
      </w:pPr>
      <w:r>
        <w:t xml:space="preserve">A rigorous statistical testing framework combining Harvey-Leybourne-Newbold DM</w:t>
      </w:r>
      <w:r>
        <w:t xml:space="preserve"> </w:t>
      </w:r>
      <w:r>
        <w:t xml:space="preserve">tests, moving-block bootstrap confidence intervals, and Benjamini-Hochberg FDR</w:t>
      </w:r>
      <w:r>
        <w:t xml:space="preserve"> </w:t>
      </w:r>
      <w:r>
        <w:t xml:space="preserve">correction.</w:t>
      </w:r>
    </w:p>
    <w:p>
      <w:pPr>
        <w:pStyle w:val="Compact"/>
        <w:numPr>
          <w:ilvl w:val="0"/>
          <w:numId w:val="1002"/>
        </w:numPr>
      </w:pPr>
      <w:r>
        <w:t xml:space="preserve">Publicly available code, data, and frozen results for exact reproducibility</w:t>
      </w:r>
      <w:r>
        <w:t xml:space="preserve"> </w:t>
      </w:r>
      <w:r>
        <w:t xml:space="preserve">(SHA256-verified).</w:t>
      </w:r>
    </w:p>
    <w:p>
      <w:r>
        <w:pict>
          <v:rect style="width:0;height:1.5pt" o:hralign="center" o:hrstd="t" o:hr="t"/>
        </w:pict>
      </w:r>
    </w:p>
    <w:bookmarkEnd w:id="9"/>
    <w:bookmarkStart w:id="14" w:name="related-literature"/>
    <w:p>
      <w:pPr>
        <w:pStyle w:val="Heading1"/>
      </w:pPr>
      <w:r>
        <w:t xml:space="preserve">2. Related Literature</w:t>
      </w:r>
    </w:p>
    <w:bookmarkStart w:id="10" w:name="classical-inflation-forecasting"/>
    <w:p>
      <w:pPr>
        <w:pStyle w:val="Heading2"/>
      </w:pPr>
      <w:r>
        <w:t xml:space="preserve">2.1 Classical Inflation Forecasting</w:t>
      </w:r>
    </w:p>
    <w:p>
      <w:pPr>
        <w:pStyle w:val="FirstParagraph"/>
      </w:pPr>
      <w:r>
        <w:t xml:space="preserve">The Phillips curve and its variants remain the workhorse of inflation forecasting</w:t>
      </w:r>
      <w:r>
        <w:t xml:space="preserve"> </w:t>
      </w:r>
      <w:r>
        <w:t xml:space="preserve">despite well-documented instability (Stock &amp; Watson, 2007). Autoregressive</w:t>
      </w:r>
      <w:r>
        <w:t xml:space="preserve"> </w:t>
      </w:r>
      <w:r>
        <w:t xml:space="preserve">models — ARIMA and ETS — are competitive short-run benchmarks (Faust &amp; Wright,</w:t>
      </w:r>
      <w:r>
        <w:t xml:space="preserve"> </w:t>
      </w:r>
      <w:r>
        <w:t xml:space="preserve">2013). Vector autoregressions (VAR) extend the framework to multivariate settings</w:t>
      </w:r>
      <w:r>
        <w:t xml:space="preserve"> </w:t>
      </w:r>
      <w:r>
        <w:t xml:space="preserve">but are hampered by parameter proliferation in large panels. Regularised regression</w:t>
      </w:r>
      <w:r>
        <w:t xml:space="preserve"> </w:t>
      </w:r>
      <w:r>
        <w:t xml:space="preserve">methods, particularly ridge and LASSO, have gained traction as high-dimensional</w:t>
      </w:r>
      <w:r>
        <w:t xml:space="preserve"> </w:t>
      </w:r>
      <w:r>
        <w:t xml:space="preserve">alternatives (García-Martos et al., 2015).</w:t>
      </w:r>
    </w:p>
    <w:bookmarkEnd w:id="10"/>
    <w:bookmarkStart w:id="11" w:name="Xd5349ae81c3785ce3bce9a00aa5ceabf01f05a3"/>
    <w:p>
      <w:pPr>
        <w:pStyle w:val="Heading2"/>
      </w:pPr>
      <w:r>
        <w:t xml:space="preserve">2.2 Neural Networks for Macroeconomic Forecasting</w:t>
      </w:r>
    </w:p>
    <w:p>
      <w:pPr>
        <w:pStyle w:val="FirstParagraph"/>
      </w:pPr>
      <w:r>
        <w:t xml:space="preserve">Recurrent architectures (LSTM, GRU) and temporal convolutional networks (TCN) have</w:t>
      </w:r>
      <w:r>
        <w:t xml:space="preserve"> </w:t>
      </w:r>
      <w:r>
        <w:t xml:space="preserve">demonstrated competitive performance in macroeconomic forecasting tasks (Makridakis</w:t>
      </w:r>
      <w:r>
        <w:t xml:space="preserve"> </w:t>
      </w:r>
      <w:r>
        <w:t xml:space="preserve">et al., 2018; Hewamalage et al., 2021). However, their advantage over well-tuned</w:t>
      </w:r>
      <w:r>
        <w:t xml:space="preserve"> </w:t>
      </w:r>
      <w:r>
        <w:t xml:space="preserve">linear benchmarks is often marginal or horizon-dependent (Medeiros et al., 2021).</w:t>
      </w:r>
      <w:r>
        <w:t xml:space="preserve"> </w:t>
      </w:r>
      <w:r>
        <w:t xml:space="preserve">Multi-layer perceptrons provide a useful ablation point: any gain from temporal</w:t>
      </w:r>
      <w:r>
        <w:t xml:space="preserve"> </w:t>
      </w:r>
      <w:r>
        <w:t xml:space="preserve">recurrence or graph structure should exceed the MLP baseline.</w:t>
      </w:r>
    </w:p>
    <w:bookmarkEnd w:id="11"/>
    <w:bookmarkStart w:id="12" w:name="graph-neural-networks-in-economics"/>
    <w:p>
      <w:pPr>
        <w:pStyle w:val="Heading2"/>
      </w:pPr>
      <w:r>
        <w:t xml:space="preserve">2.3 Graph Neural Networks in Economics</w:t>
      </w:r>
    </w:p>
    <w:p>
      <w:pPr>
        <w:pStyle w:val="FirstParagraph"/>
      </w:pPr>
      <w:r>
        <w:t xml:space="preserve">The application of GNNs to economic and financial panel data is nascent. Graph</w:t>
      </w:r>
      <w:r>
        <w:t xml:space="preserve"> </w:t>
      </w:r>
      <w:r>
        <w:t xml:space="preserve">convolutional networks (GCN; Kipf &amp; Welling, 2017) aggregate neighbour embeddings</w:t>
      </w:r>
      <w:r>
        <w:t xml:space="preserve"> </w:t>
      </w:r>
      <w:r>
        <w:t xml:space="preserve">via the normalised adjacency matrix, enabling information propagation across</w:t>
      </w:r>
      <w:r>
        <w:t xml:space="preserve"> </w:t>
      </w:r>
      <w:r>
        <w:t xml:space="preserve">the graph. More expressive variants add temporal attention (Li et al., 2018;</w:t>
      </w:r>
      <w:r>
        <w:t xml:space="preserve"> </w:t>
      </w:r>
      <w:r>
        <w:t xml:space="preserve">Wu et al., 2019) or gating mechanisms. In economics, GNNs have been applied to</w:t>
      </w:r>
      <w:r>
        <w:t xml:space="preserve"> </w:t>
      </w:r>
      <w:r>
        <w:t xml:space="preserve">financial contagion (Cheng &amp; Zhu, 2022), commodity markets (Chen et al., 2023),</w:t>
      </w:r>
      <w:r>
        <w:t xml:space="preserve"> </w:t>
      </w:r>
      <w:r>
        <w:t xml:space="preserve">and regional economic forecasting (Wang et al., 2024), but rigorous ablation</w:t>
      </w:r>
      <w:r>
        <w:t xml:space="preserve"> </w:t>
      </w:r>
      <w:r>
        <w:t xml:space="preserve">studies are scarce, and the contribution of graph topology versus architecture</w:t>
      </w:r>
      <w:r>
        <w:t xml:space="preserve"> </w:t>
      </w:r>
      <w:r>
        <w:t xml:space="preserve">is rarely disentangled.</w:t>
      </w:r>
    </w:p>
    <w:bookmarkEnd w:id="12"/>
    <w:bookmarkStart w:id="13" w:name="trade-network-spillovers"/>
    <w:p>
      <w:pPr>
        <w:pStyle w:val="Heading2"/>
      </w:pPr>
      <w:r>
        <w:t xml:space="preserve">2.4 Trade-Network Spillovers</w:t>
      </w:r>
    </w:p>
    <w:p>
      <w:pPr>
        <w:pStyle w:val="FirstParagraph"/>
      </w:pPr>
      <w:r>
        <w:t xml:space="preserve">Bilateral trade linkages are well-established channels for inflation transmission.</w:t>
      </w:r>
      <w:r>
        <w:t xml:space="preserve"> </w:t>
      </w:r>
      <w:r>
        <w:t xml:space="preserve">Calvo &amp; Reinhart (2002) and subsequent literature document cross-country</w:t>
      </w:r>
      <w:r>
        <w:t xml:space="preserve"> </w:t>
      </w:r>
      <w:r>
        <w:t xml:space="preserve">co-movement in inflation that correlates with trade intensity. Forbes &amp; Warnock</w:t>
      </w:r>
      <w:r>
        <w:t xml:space="preserve"> </w:t>
      </w:r>
      <w:r>
        <w:t xml:space="preserve">(2012) and Miranda-Agrippino &amp; Rey (2021) emphasise global common factors.</w:t>
      </w:r>
      <w:r>
        <w:t xml:space="preserve"> </w:t>
      </w:r>
      <w:r>
        <w:t xml:space="preserve">Bayoumi et al. (2023) show that supply-chain positions — measurable from</w:t>
      </w:r>
      <w:r>
        <w:t xml:space="preserve"> </w:t>
      </w:r>
      <w:r>
        <w:t xml:space="preserve">bilateral trade data — predict CPI deviations at the country level. Our study</w:t>
      </w:r>
      <w:r>
        <w:t xml:space="preserve"> </w:t>
      </w:r>
      <w:r>
        <w:t xml:space="preserve">provides the first systematic GNN-based test of whether these linkages improve</w:t>
      </w:r>
      <w:r>
        <w:t xml:space="preserve"> </w:t>
      </w:r>
      <w:r>
        <w:rPr>
          <w:i/>
          <w:iCs/>
        </w:rPr>
        <w:t xml:space="preserve">out-of-sample forecasting accuracy</w:t>
      </w:r>
      <w:r>
        <w:t xml:space="preserve"> </w:t>
      </w:r>
      <w:r>
        <w:t xml:space="preserve">at quarterly horizons.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data"/>
    <w:p>
      <w:pPr>
        <w:pStyle w:val="Heading1"/>
      </w:pPr>
      <w:r>
        <w:t xml:space="preserve">3. Data</w:t>
      </w:r>
    </w:p>
    <w:bookmarkStart w:id="15" w:name="country-panel"/>
    <w:p>
      <w:pPr>
        <w:pStyle w:val="Heading2"/>
      </w:pPr>
      <w:r>
        <w:t xml:space="preserve">3.1 Country Panel</w:t>
      </w:r>
    </w:p>
    <w:p>
      <w:pPr>
        <w:pStyle w:val="FirstParagraph"/>
      </w:pPr>
      <w:r>
        <w:t xml:space="preserve">The panel comprises 20 European economies: Austria (AUT), Belgium (BEL),</w:t>
      </w:r>
      <w:r>
        <w:t xml:space="preserve"> </w:t>
      </w:r>
      <w:r>
        <w:t xml:space="preserve">Bulgaria (BGR), Cyprus (CYP), Czech Republic (CZE), Germany (DEU), Denmark (DNK),</w:t>
      </w:r>
      <w:r>
        <w:t xml:space="preserve"> </w:t>
      </w:r>
      <w:r>
        <w:t xml:space="preserve">Estonia (EST), Finland (FIN), France (FRA), Greece (GRC), Croatia (HRV),</w:t>
      </w:r>
      <w:r>
        <w:t xml:space="preserve"> </w:t>
      </w:r>
      <w:r>
        <w:t xml:space="preserve">Hungary (HUN), Ireland (IRL), Italy (ITA), Lithuania (LTU), Luxembourg (LUX),</w:t>
      </w:r>
      <w:r>
        <w:t xml:space="preserve"> </w:t>
      </w:r>
      <w:r>
        <w:t xml:space="preserve">Latvia (LVA), Malta (MLT), and the Netherlands (NLD). All are EU member states</w:t>
      </w:r>
      <w:r>
        <w:t xml:space="preserve"> </w:t>
      </w:r>
      <w:r>
        <w:t xml:space="preserve">with comparable statistical reporting standards, minimising measurement</w:t>
      </w:r>
      <w:r>
        <w:t xml:space="preserve"> </w:t>
      </w:r>
      <w:r>
        <w:t xml:space="preserve">heterogeneity.</w:t>
      </w:r>
    </w:p>
    <w:bookmarkEnd w:id="15"/>
    <w:bookmarkStart w:id="16" w:name="macroeconomic-variables"/>
    <w:p>
      <w:pPr>
        <w:pStyle w:val="Heading2"/>
      </w:pPr>
      <w:r>
        <w:t xml:space="preserve">3.2 Macroeconomic Variables</w:t>
      </w:r>
    </w:p>
    <w:p>
      <w:pPr>
        <w:pStyle w:val="FirstParagraph"/>
      </w:pPr>
      <w:r>
        <w:t xml:space="preserve">The target variable is quarterly CPI inflation measured as the year-over-year</w:t>
      </w:r>
      <w:r>
        <w:t xml:space="preserve"> </w:t>
      </w:r>
      <w:r>
        <w:t xml:space="preserve">percentage change in the harmonised index of consumer prices (HICP), sourced from</w:t>
      </w:r>
      <w:r>
        <w:t xml:space="preserve"> </w:t>
      </w:r>
      <w:r>
        <w:t xml:space="preserve">Eurostat and the IMF International Financial Statistics (IFS). The predictor</w:t>
      </w:r>
      <w:r>
        <w:t xml:space="preserve"> </w:t>
      </w:r>
      <w:r>
        <w:t xml:space="preserve">feature set — denoted</w:t>
      </w:r>
      <w:r>
        <w:t xml:space="preserve"> </w:t>
      </w:r>
      <w:r>
        <w:rPr>
          <w:rStyle w:val="VerbatimChar"/>
        </w:rPr>
        <w:t xml:space="preserve">cpi_energy_volatility_trade_exposure</w:t>
      </w:r>
      <w:r>
        <w:t xml:space="preserve"> </w:t>
      </w:r>
      <w:r>
        <w:t xml:space="preserve">— comprises: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 (YoY, quarterly):</w:t>
      </w:r>
      <w:r>
        <w:t xml:space="preserve"> </w:t>
      </w:r>
      <w:r>
        <w:t xml:space="preserve">Own-lagged inflation for each country.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Energy price index:</w:t>
      </w:r>
      <w:r>
        <w:t xml:space="preserve"> </w:t>
      </w:r>
      <w:r>
        <w:t xml:space="preserve">Eurostat energy component of HICP, capturing</w:t>
      </w:r>
      <w:r>
        <w:t xml:space="preserve"> </w:t>
      </w:r>
      <w:r>
        <w:t xml:space="preserve">common commodity-price shocks.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CPI volatility:</w:t>
      </w:r>
      <w:r>
        <w:t xml:space="preserve"> </w:t>
      </w:r>
      <w:r>
        <w:t xml:space="preserve">Rolling standard deviation of own inflation,</w:t>
      </w:r>
      <w:r>
        <w:t xml:space="preserve"> </w:t>
      </w:r>
      <w:r>
        <w:t xml:space="preserve">proxying uncertainty.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 exposure:</w:t>
      </w:r>
      <w:r>
        <w:t xml:space="preserve"> </w:t>
      </w:r>
      <w:r>
        <w:t xml:space="preserve">Import share of GDP, capturing openness to external</w:t>
      </w:r>
      <w:r>
        <w:t xml:space="preserve"> </w:t>
      </w:r>
      <w:r>
        <w:t xml:space="preserve">price pressures.</w:t>
      </w:r>
    </w:p>
    <w:p>
      <w:pPr>
        <w:pStyle w:val="FirstParagraph"/>
      </w:pPr>
      <w:r>
        <w:t xml:space="preserve">The dataset spans 2011Q2 to 2025Q3 (170 observations per country, 3,400</w:t>
      </w:r>
      <w:r>
        <w:t xml:space="preserve"> </w:t>
      </w:r>
      <w:r>
        <w:t xml:space="preserve">panel observations). Descriptive statistics are provided in</w:t>
      </w:r>
      <w:r>
        <w:t xml:space="preserve"> </w:t>
      </w:r>
      <w:r>
        <w:rPr>
          <w:b/>
          <w:bCs/>
        </w:rPr>
        <w:t xml:space="preserve">Table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1: Dataset Summary (Selected Countries)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Mean CPI</w:t>
            </w:r>
          </w:p>
        </w:tc>
        <w:tc>
          <w:tcPr/>
          <w:p>
            <w:pPr>
              <w:pStyle w:val="Compact"/>
            </w:pPr>
            <w:r>
              <w:t xml:space="preserve">Std CPI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11.09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10.81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5.26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  <w:tc>
          <w:tcPr/>
          <w:p>
            <w:pPr>
              <w:pStyle w:val="Compact"/>
            </w:pPr>
            <w:r>
              <w:t xml:space="preserve">24.14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-2.22</w:t>
            </w:r>
          </w:p>
        </w:tc>
        <w:tc>
          <w:tcPr/>
          <w:p>
            <w:pPr>
              <w:pStyle w:val="Compact"/>
            </w:pPr>
            <w:r>
              <w:t xml:space="preserve">11.54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5.64</w:t>
            </w:r>
          </w:p>
        </w:tc>
        <w:tc>
          <w:tcPr/>
          <w:p>
            <w:pPr>
              <w:pStyle w:val="Compact"/>
            </w:pPr>
            <w:r>
              <w:t xml:space="preserve">-0.95</w:t>
            </w:r>
          </w:p>
        </w:tc>
        <w:tc>
          <w:tcPr/>
          <w:p>
            <w:pPr>
              <w:pStyle w:val="Compact"/>
            </w:pPr>
            <w:r>
              <w:t xml:space="preserve">25.88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2.68</w:t>
            </w:r>
          </w:p>
        </w:tc>
        <w:tc>
          <w:tcPr/>
          <w:p>
            <w:pPr>
              <w:pStyle w:val="Compact"/>
            </w:pPr>
            <w:r>
              <w:t xml:space="preserve">-0.39</w:t>
            </w:r>
          </w:p>
        </w:tc>
        <w:tc>
          <w:tcPr/>
          <w:p>
            <w:pPr>
              <w:pStyle w:val="Compact"/>
            </w:pPr>
            <w:r>
              <w:t xml:space="preserve">12.50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NLD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2.68</w:t>
            </w:r>
          </w:p>
        </w:tc>
        <w:tc>
          <w:tcPr/>
          <w:p>
            <w:pPr>
              <w:pStyle w:val="Compact"/>
            </w:pPr>
            <w:r>
              <w:t xml:space="preserve">2.94</w:t>
            </w:r>
          </w:p>
        </w:tc>
        <w:tc>
          <w:tcPr/>
          <w:p>
            <w:pPr>
              <w:pStyle w:val="Compact"/>
            </w:pPr>
            <w:r>
              <w:t xml:space="preserve">-0.47</w:t>
            </w:r>
          </w:p>
        </w:tc>
        <w:tc>
          <w:tcPr/>
          <w:p>
            <w:pPr>
              <w:pStyle w:val="Compact"/>
            </w:pPr>
            <w:r>
              <w:t xml:space="preserve">14.11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All 20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2.74 avg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3.22 avg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Sources: Eurostat HICP, IMF IFS, World Bank WDI. Full table in supplementary materials.</w:t>
      </w:r>
    </w:p>
    <w:bookmarkEnd w:id="16"/>
    <w:bookmarkStart w:id="17" w:name="bilateral-trade-graph"/>
    <w:p>
      <w:pPr>
        <w:pStyle w:val="Heading2"/>
      </w:pPr>
      <w:r>
        <w:t xml:space="preserve">3.3 Bilateral Trade Graph</w:t>
      </w:r>
    </w:p>
    <w:p>
      <w:pPr>
        <w:pStyle w:val="FirstParagraph"/>
      </w:pPr>
      <w:r>
        <w:t xml:space="preserve">Quarterly bilateral trade flows are sourced from Eurostat Comext. Each quarter,</w:t>
      </w:r>
      <w:r>
        <w:t xml:space="preserve"> </w:t>
      </w:r>
      <w:r>
        <w:t xml:space="preserve">a 20 × 20 directed adjacency matrix</w:t>
      </w:r>
      <w:r>
        <w:t xml:space="preserve"> </w:t>
      </w:r>
      <w:r>
        <w:rPr>
          <w:i/>
          <w:iCs/>
        </w:rPr>
        <w:t xml:space="preserve">A</w:t>
      </w:r>
      <w:r>
        <w:t xml:space="preserve">(</w:t>
      </w:r>
      <w:r>
        <w:rPr>
          <w:i/>
          <w:iCs/>
        </w:rPr>
        <w:t xml:space="preserve">t</w:t>
      </w:r>
      <w:r>
        <w:t xml:space="preserve">) is constructed where entry</w:t>
      </w:r>
      <w:r>
        <w:t xml:space="preserve"> </w:t>
      </w:r>
      <w:r>
        <w:rPr>
          <w:i/>
          <w:iCs/>
        </w:rPr>
        <w:t xml:space="preserve">A</w:t>
      </w:r>
      <w:r>
        <w:t xml:space="preserve">(</w:t>
      </w:r>
      <w:r>
        <w:rPr>
          <w:i/>
          <w:iCs/>
        </w:rPr>
        <w:t xml:space="preserve">i</w:t>
      </w:r>
      <w:r>
        <w:t xml:space="preserve">,</w:t>
      </w:r>
      <w:r>
        <w:t xml:space="preserve"> </w:t>
      </w:r>
      <w:r>
        <w:rPr>
          <w:i/>
          <w:iCs/>
        </w:rPr>
        <w:t xml:space="preserve">j</w:t>
      </w:r>
      <w:r>
        <w:t xml:space="preserve">) = exports from country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country</w:t>
      </w:r>
      <w:r>
        <w:t xml:space="preserve"> </w:t>
      </w:r>
      <w:r>
        <w:rPr>
          <w:i/>
          <w:iCs/>
        </w:rPr>
        <w:t xml:space="preserve">j</w:t>
      </w:r>
      <w:r>
        <w:t xml:space="preserve">, expressed in millions</w:t>
      </w:r>
      <w:r>
        <w:t xml:space="preserve"> </w:t>
      </w:r>
      <w:r>
        <w:t xml:space="preserve">of euros. Eight graph-construction variants are studied: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directed_trade</w:t>
            </w:r>
          </w:p>
        </w:tc>
        <w:tc>
          <w:tcPr/>
          <w:p>
            <w:pPr>
              <w:pStyle w:val="Compact"/>
            </w:pPr>
            <w:r>
              <w:t xml:space="preserve">Raw export values, row-normalised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log_trade</w:t>
            </w:r>
          </w:p>
        </w:tc>
        <w:tc>
          <w:tcPr/>
          <w:p>
            <w:pPr>
              <w:pStyle w:val="Compact"/>
            </w:pPr>
            <w:r>
              <w:t xml:space="preserve">Log-transformed exports, row-normalised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import_dependence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(</w:t>
            </w:r>
            <w:r>
              <w:rPr>
                <w:i/>
                <w:iCs/>
              </w:rPr>
              <w:t xml:space="preserve">i</w:t>
            </w:r>
            <w:r>
              <w:t xml:space="preserve">,</w:t>
            </w:r>
            <w:r>
              <w:rPr>
                <w:i/>
                <w:iCs/>
              </w:rPr>
              <w:t xml:space="preserve">j</w:t>
            </w:r>
            <w:r>
              <w:t xml:space="preserve">) = imports of</w:t>
            </w:r>
            <w:r>
              <w:t xml:space="preserve"> </w:t>
            </w: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i/>
                <w:iCs/>
              </w:rPr>
              <w:t xml:space="preserve">j</w:t>
            </w:r>
            <w:r>
              <w:t xml:space="preserve"> </w:t>
            </w:r>
            <w:r>
              <w:t xml:space="preserve">/ total imports of</w:t>
            </w:r>
            <w:r>
              <w:t xml:space="preserve"> </w:t>
            </w:r>
            <w:r>
              <w:rPr>
                <w:i/>
                <w:iCs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top_k_incoming</w:t>
            </w:r>
          </w:p>
        </w:tc>
        <w:tc>
          <w:tcPr/>
          <w:p>
            <w:pPr>
              <w:pStyle w:val="Compact"/>
            </w:pPr>
            <w:r>
              <w:t xml:space="preserve">Retain only top-3 import partners per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</w:t>
            </w:r>
          </w:p>
        </w:tc>
        <w:tc>
          <w:tcPr/>
          <w:p>
            <w:pPr>
              <w:pStyle w:val="Compact"/>
            </w:pPr>
            <w:r>
              <w:t xml:space="preserve">Transpose of directed_trade (import perspective)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undirected</w:t>
            </w:r>
          </w:p>
        </w:tc>
        <w:tc>
          <w:tcPr/>
          <w:p>
            <w:pPr>
              <w:pStyle w:val="Compact"/>
            </w:pPr>
            <w:r>
              <w:t xml:space="preserve">Symmetrised: (</w:t>
            </w: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rPr>
                <w:vertAlign w:val="superscript"/>
              </w:rPr>
              <w:t xml:space="preserve">T</w:t>
            </w:r>
            <w:r>
              <w:t xml:space="preserve">) /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degree_preserving_random</w:t>
            </w:r>
          </w:p>
        </w:tc>
        <w:tc>
          <w:tcPr/>
          <w:p>
            <w:pPr>
              <w:pStyle w:val="Compact"/>
            </w:pPr>
            <w:r>
              <w:t xml:space="preserve">Random rewiring preserving degree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t xml:space="preserve">Identity matrix (no trade edges; architecture ablation)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variant is the critical ablation: any model using it</w:t>
      </w:r>
      <w:r>
        <w:t xml:space="preserve"> </w:t>
      </w:r>
      <w:r>
        <w:t xml:space="preserve">cannot leverage cross-country trade signals, so outperformance of trade-graph</w:t>
      </w:r>
      <w:r>
        <w:t xml:space="preserve"> </w:t>
      </w:r>
      <w:r>
        <w:t xml:space="preserve">variants</w:t>
      </w:r>
      <w:r>
        <w:t xml:space="preserve"> </w:t>
      </w:r>
      <w:r>
        <w:rPr>
          <w:i/>
          <w:iCs/>
        </w:rPr>
        <w:t xml:space="preserve">over</w:t>
      </w:r>
      <w:r>
        <w:t xml:space="preserve"> </w:t>
      </w:r>
      <w:r>
        <w:t xml:space="preserve">this baseline would isolate the contribution of graph topology.</w:t>
      </w:r>
    </w:p>
    <w:bookmarkEnd w:id="17"/>
    <w:bookmarkStart w:id="18" w:name="integrity-verification"/>
    <w:p>
      <w:pPr>
        <w:pStyle w:val="Heading2"/>
      </w:pPr>
      <w:r>
        <w:t xml:space="preserve">3.4 Integrity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 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40af80c0...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forecasts.parquet</w:t>
            </w:r>
            <w:r>
              <w:t xml:space="preserve"> </w:t>
            </w:r>
            <w:r>
              <w:t xml:space="preserve">(781,740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f988dfb1...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metrics.parquet</w:t>
            </w:r>
            <w:r>
              <w:t xml:space="preserve"> </w:t>
            </w:r>
            <w:r>
              <w:t xml:space="preserve">(9,288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231b349f...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dm_tests.parquet</w:t>
            </w:r>
            <w:r>
              <w:t xml:space="preserve"> </w:t>
            </w:r>
            <w:r>
              <w:t xml:space="preserve">(6,720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a57490a0...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methodology"/>
    <w:p>
      <w:pPr>
        <w:pStyle w:val="Heading1"/>
      </w:pPr>
      <w:r>
        <w:t xml:space="preserve">4. Methodology</w:t>
      </w:r>
    </w:p>
    <w:bookmarkStart w:id="20" w:name="evaluation-protocol"/>
    <w:p>
      <w:pPr>
        <w:pStyle w:val="Heading2"/>
      </w:pPr>
      <w:r>
        <w:t xml:space="preserve">4.1 Evaluation Protocol</w:t>
      </w:r>
    </w:p>
    <w:p>
      <w:pPr>
        <w:pStyle w:val="FirstParagraph"/>
      </w:pPr>
      <w:r>
        <w:t xml:space="preserve">All models are evaluated under a strict</w:t>
      </w:r>
      <w:r>
        <w:t xml:space="preserve"> </w:t>
      </w:r>
      <w:r>
        <w:rPr>
          <w:b/>
          <w:bCs/>
        </w:rPr>
        <w:t xml:space="preserve">expanding-window prospective design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2011Q2–2014Q4 (initial window, 14 quarters; expanded forward each step)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2015Q1–2016Q4 (8 quarters; used for hyperparameter selection)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2017Q1–2025Q3 (35 quarters; no re-tuning after lock-in)</w:t>
      </w:r>
    </w:p>
    <w:p>
      <w:pPr>
        <w:pStyle w:val="FirstParagraph"/>
      </w:pPr>
      <w:r>
        <w:t xml:space="preserve">At each test origin</w:t>
      </w:r>
      <w:r>
        <w:t xml:space="preserve"> </w:t>
      </w:r>
      <w:r>
        <w:rPr>
          <w:i/>
          <w:iCs/>
        </w:rPr>
        <w:t xml:space="preserve">t</w:t>
      </w:r>
      <w:r>
        <w:t xml:space="preserve">, the model observes all data up to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− 1, produces</w:t>
      </w:r>
      <w:r>
        <w:t xml:space="preserve"> </w:t>
      </w:r>
      <w:r>
        <w:t xml:space="preserve">forecasts at h = 1, 2, 4 quarters ahead, and the window expands. This design</w:t>
      </w:r>
      <w:r>
        <w:t xml:space="preserve"> </w:t>
      </w:r>
      <w:r>
        <w:t xml:space="preserve">prevents any form of look-ahead bias and mirrors the information constraints of</w:t>
      </w:r>
      <w:r>
        <w:t xml:space="preserve"> </w:t>
      </w:r>
      <w:r>
        <w:t xml:space="preserve">real-time forecasters.</w:t>
      </w:r>
    </w:p>
    <w:bookmarkEnd w:id="20"/>
    <w:bookmarkStart w:id="21" w:name="model-families"/>
    <w:p>
      <w:pPr>
        <w:pStyle w:val="Heading2"/>
      </w:pPr>
      <w:r>
        <w:t xml:space="preserve">4.2 Model Families</w:t>
      </w:r>
    </w:p>
    <w:p>
      <w:pPr>
        <w:pStyle w:val="FirstParagraph"/>
      </w:pPr>
      <w:r>
        <w:rPr>
          <w:b/>
          <w:bCs/>
        </w:rPr>
        <w:t xml:space="preserve">Table 2: Model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Key Hyperparameters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Baselines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Last observed CPI YoY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(1,0,0) — AIC-selected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Lag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ETS</w:t>
            </w:r>
          </w:p>
        </w:tc>
        <w:tc>
          <w:tcPr/>
          <w:p>
            <w:pPr>
              <w:pStyle w:val="Compact"/>
            </w:pPr>
            <w:r>
              <w:t xml:space="preserve">No trend, no seasonal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Dynamic Factor</w:t>
            </w:r>
          </w:p>
        </w:tc>
        <w:tc>
          <w:tcPr/>
          <w:p>
            <w:pPr>
              <w:pStyle w:val="Compact"/>
            </w:pPr>
            <w:r>
              <w:t xml:space="preserve">1 factor, error order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Regularised ML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α = 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lr = 0.05, 100 estimators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Graph-free Neural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hidden = 16, lr = 0.01, 30 epochs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hidden = 16, lr = 0.01, 30 epochs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</w:pPr>
            <w:r>
              <w:t xml:space="preserve">hidden = 16, lr = 0.01, 30 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Neural</w:t>
            </w:r>
          </w:p>
        </w:tc>
        <w:tc>
          <w:tcPr/>
          <w:p>
            <w:pPr>
              <w:pStyle w:val="Compact"/>
            </w:pPr>
            <w:r>
              <w:t xml:space="preserve">GCN</w:t>
            </w:r>
          </w:p>
        </w:tc>
        <w:tc>
          <w:tcPr/>
          <w:p>
            <w:pPr>
              <w:pStyle w:val="Compact"/>
            </w:pPr>
            <w:r>
              <w:t xml:space="preserve">2-layer GCN + readout, same config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Temporal Graph</w:t>
            </w:r>
          </w:p>
        </w:tc>
        <w:tc>
          <w:tcPr/>
          <w:p>
            <w:pPr>
              <w:pStyle w:val="Compact"/>
            </w:pPr>
            <w:r>
              <w:t xml:space="preserve">GCN + temporal attention, same config</w:t>
            </w:r>
          </w:p>
        </w:tc>
      </w:tr>
    </w:tbl>
    <w:p>
      <w:pPr>
        <w:pStyle w:val="BodyText"/>
      </w:pPr>
      <w:r>
        <w:t xml:space="preserve">Neural and graph models are trained with 20 random seeds (42–61) to quantify</w:t>
      </w:r>
      <w:r>
        <w:t xml:space="preserve"> </w:t>
      </w:r>
      <w:r>
        <w:t xml:space="preserve">estimation uncertainty. Total benchmark:</w:t>
      </w:r>
      <w:r>
        <w:t xml:space="preserve"> </w:t>
      </w:r>
      <w:r>
        <w:rPr>
          <w:b/>
          <w:bCs/>
        </w:rPr>
        <w:t xml:space="preserve">38,380 model fits</w:t>
      </w:r>
      <w:r>
        <w:t xml:space="preserve">,</w:t>
      </w:r>
      <w:r>
        <w:t xml:space="preserve"> </w:t>
      </w:r>
      <w:r>
        <w:rPr>
          <w:b/>
          <w:bCs/>
        </w:rPr>
        <w:t xml:space="preserve">781,740</w:t>
      </w:r>
      <w:r>
        <w:rPr>
          <w:b/>
          <w:bCs/>
        </w:rPr>
        <w:t xml:space="preserve"> </w:t>
      </w:r>
      <w:r>
        <w:rPr>
          <w:b/>
          <w:bCs/>
        </w:rPr>
        <w:t xml:space="preserve">forecast rows</w:t>
      </w:r>
      <w:r>
        <w:t xml:space="preserve">.</w:t>
      </w:r>
    </w:p>
    <w:bookmarkEnd w:id="21"/>
    <w:bookmarkStart w:id="22" w:name="gnn-architecture"/>
    <w:p>
      <w:pPr>
        <w:pStyle w:val="Heading2"/>
      </w:pPr>
      <w:r>
        <w:t xml:space="preserve">4.3 GNN Architecture</w:t>
      </w:r>
    </w:p>
    <w:p>
      <w:pPr>
        <w:pStyle w:val="FirstParagraph"/>
      </w:pPr>
      <w:r>
        <w:rPr>
          <w:b/>
          <w:bCs/>
        </w:rPr>
        <w:t xml:space="preserve">Graph Convolutional Network (GCN).</w:t>
      </w:r>
      <w:r>
        <w:t xml:space="preserve"> </w:t>
      </w:r>
      <w:r>
        <w:t xml:space="preserve">Two-layer GCN following Kipf &amp; Welling</w:t>
      </w:r>
      <w:r>
        <w:t xml:space="preserve"> </w:t>
      </w:r>
      <w:r>
        <w:t xml:space="preserve">(2017):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I</m:t>
        </m:r>
      </m:oMath>
      <w:r>
        <w:t xml:space="preserve"> </w:t>
      </w:r>
      <w:r>
        <w:t xml:space="preserve">is the self-looped adjacency,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D</m:t>
            </m:r>
          </m:e>
        </m:acc>
      </m:oMath>
      <w:r>
        <w:t xml:space="preserve"> </w:t>
      </w:r>
      <w:r>
        <w:t xml:space="preserve">its degree matrix, and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learnable weights.</w:t>
      </w:r>
    </w:p>
    <w:p>
      <w:pPr>
        <w:pStyle w:val="BodyText"/>
      </w:pPr>
      <w:r>
        <w:rPr>
          <w:b/>
          <w:bCs/>
        </w:rPr>
        <w:t xml:space="preserve">Temporal Graph.</w:t>
      </w:r>
      <w:r>
        <w:t xml:space="preserve"> </w:t>
      </w:r>
      <w:r>
        <w:t xml:space="preserve">Extends GCN with a temporal attention module applied</w:t>
      </w:r>
      <w:r>
        <w:t xml:space="preserve"> </w:t>
      </w:r>
      <w:r>
        <w:t xml:space="preserve">over the sequence of node embeddings: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e>
          </m:nary>
          <m:r>
            <m:t> 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where attention weights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k</m:t>
            </m:r>
          </m:e>
          <m:sub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final prediction is a linear readout of the attended embedding.</w:t>
      </w:r>
    </w:p>
    <w:bookmarkEnd w:id="22"/>
    <w:bookmarkStart w:id="23" w:name="statistical-testing"/>
    <w:p>
      <w:pPr>
        <w:pStyle w:val="Heading2"/>
      </w:pPr>
      <w:r>
        <w:t xml:space="preserve">4.4 Statistical Testing</w:t>
      </w:r>
    </w:p>
    <w:p>
      <w:pPr>
        <w:pStyle w:val="FirstParagraph"/>
      </w:pPr>
      <w:r>
        <w:t xml:space="preserve">For each (model, graph variant, comparator, horizon) pair, we test whether the</w:t>
      </w:r>
      <w:r>
        <w:t xml:space="preserve"> </w:t>
      </w:r>
      <w:r>
        <w:t xml:space="preserve">graph model produces statistically smaller forecast errors via: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Diebold-Mariano test</w:t>
      </w:r>
      <w:r>
        <w:t xml:space="preserve"> </w:t>
      </w:r>
      <w:r>
        <w:t xml:space="preserve">with the Harvey, Leybourne &amp; Newbold (1997)</w:t>
      </w:r>
      <w:r>
        <w:t xml:space="preserve"> </w:t>
      </w:r>
      <w:r>
        <w:t xml:space="preserve">small-sample correction.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Bartlett HAC weighting</w:t>
      </w:r>
      <w:r>
        <w:t xml:space="preserve"> </w:t>
      </w:r>
      <w:r>
        <w:t xml:space="preserve">to account for serial correlation in loss</w:t>
      </w:r>
      <w:r>
        <w:t xml:space="preserve"> </w:t>
      </w:r>
      <w:r>
        <w:t xml:space="preserve">differentials across the test horizon.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Moving-block bootstrap</w:t>
      </w:r>
      <w:r>
        <w:t xml:space="preserve"> </w:t>
      </w:r>
      <w:r>
        <w:t xml:space="preserve">(1,000 resamples, block length 4) for</w:t>
      </w:r>
      <w:r>
        <w:t xml:space="preserve"> </w:t>
      </w:r>
      <w:r>
        <w:t xml:space="preserve">confidence interval construction.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Benjamini-Hochberg FDR correction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= 0.05 across all simultaneous</w:t>
      </w:r>
      <w:r>
        <w:t xml:space="preserve"> </w:t>
      </w:r>
      <w:r>
        <w:t xml:space="preserve">comparisons to control the false discovery rate.</w:t>
      </w:r>
    </w:p>
    <w:p>
      <w:pPr>
        <w:pStyle w:val="FirstParagraph"/>
      </w:pPr>
      <w:r>
        <w:t xml:space="preserve">A graph model is declared to provide a</w:t>
      </w:r>
      <w:r>
        <w:t xml:space="preserve"> </w:t>
      </w:r>
      <w:r>
        <w:rPr>
          <w:b/>
          <w:bCs/>
        </w:rPr>
        <w:t xml:space="preserve">statistically significant improvement</w:t>
      </w:r>
      <w:r>
        <w:t xml:space="preserve"> </w:t>
      </w:r>
      <w:r>
        <w:t xml:space="preserve">if and only if: (i) the mean loss differential is negative (graph model wins),</w:t>
      </w:r>
      <w:r>
        <w:t xml:space="preserve"> </w:t>
      </w:r>
      <w:r>
        <w:t xml:space="preserve">(ii) the bootstrap CI excludes zero, and (iii) the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-value &lt; 0.05,</w:t>
      </w:r>
      <w:r>
        <w:t xml:space="preserve"> </w:t>
      </w:r>
      <w:r>
        <w:t xml:space="preserve">consistently across all 20 seeds.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sults"/>
    <w:p>
      <w:pPr>
        <w:pStyle w:val="Heading1"/>
      </w:pPr>
      <w:r>
        <w:t xml:space="preserve">5. Results</w:t>
      </w:r>
    </w:p>
    <w:bookmarkStart w:id="25" w:name="point-forecast-accuracy"/>
    <w:p>
      <w:pPr>
        <w:pStyle w:val="Heading2"/>
      </w:pPr>
      <w:r>
        <w:t xml:space="preserve">5.1 Point Forecast Accuracy</w:t>
      </w:r>
    </w:p>
    <w:p>
      <w:pPr>
        <w:pStyle w:val="FirstParagraph"/>
      </w:pPr>
      <w:r>
        <w:rPr>
          <w:b/>
          <w:bCs/>
        </w:rPr>
        <w:t xml:space="preserve">Table 3: Main Results — MAE by Model and Horizon</w:t>
      </w:r>
      <w:r>
        <w:t xml:space="preserve"> </w:t>
      </w:r>
      <w:r>
        <w:rPr>
          <w:i/>
          <w:iCs/>
        </w:rPr>
        <w:t xml:space="preserve">(lower is better)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31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Graph Variant</w:t>
            </w:r>
          </w:p>
        </w:tc>
        <w:tc>
          <w:tcPr/>
          <w:p>
            <w:pPr>
              <w:pStyle w:val="Compact"/>
            </w:pPr>
            <w:r>
              <w:t xml:space="preserve">H=1 MAE</w:t>
            </w:r>
          </w:p>
        </w:tc>
        <w:tc>
          <w:tcPr/>
          <w:p>
            <w:pPr>
              <w:pStyle w:val="Compact"/>
            </w:pPr>
            <w:r>
              <w:t xml:space="preserve">H=2 MAE</w:t>
            </w:r>
          </w:p>
        </w:tc>
        <w:tc>
          <w:tcPr/>
          <w:p>
            <w:pPr>
              <w:pStyle w:val="Compact"/>
            </w:pPr>
            <w:r>
              <w:t xml:space="preserve">H=4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1.707</w:t>
            </w:r>
          </w:p>
        </w:tc>
        <w:tc>
          <w:tcPr/>
          <w:p>
            <w:pPr>
              <w:pStyle w:val="Compact"/>
            </w:pPr>
            <w:r>
              <w:t xml:space="preserve">2.131</w:t>
            </w:r>
          </w:p>
        </w:tc>
        <w:tc>
          <w:tcPr/>
          <w:p>
            <w:pPr>
              <w:pStyle w:val="Compact"/>
            </w:pPr>
            <w:r>
              <w:t xml:space="preserve">3.257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2.433</w:t>
            </w:r>
          </w:p>
        </w:tc>
        <w:tc>
          <w:tcPr/>
          <w:p>
            <w:pPr>
              <w:pStyle w:val="Compact"/>
            </w:pPr>
            <w:r>
              <w:t xml:space="preserve">3.382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1.770</w:t>
            </w:r>
          </w:p>
        </w:tc>
        <w:tc>
          <w:tcPr/>
          <w:p>
            <w:pPr>
              <w:pStyle w:val="Compact"/>
            </w:pPr>
            <w:r>
              <w:t xml:space="preserve">2.466</w:t>
            </w:r>
          </w:p>
        </w:tc>
        <w:tc>
          <w:tcPr/>
          <w:p>
            <w:pPr>
              <w:pStyle w:val="Compact"/>
            </w:pPr>
            <w:r>
              <w:t xml:space="preserve">3.210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1.774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3.553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1.783</w:t>
            </w:r>
          </w:p>
        </w:tc>
        <w:tc>
          <w:tcPr/>
          <w:p>
            <w:pPr>
              <w:pStyle w:val="Compact"/>
            </w:pPr>
            <w:r>
              <w:t xml:space="preserve">2.153</w:t>
            </w:r>
          </w:p>
        </w:tc>
        <w:tc>
          <w:tcPr/>
          <w:p>
            <w:pPr>
              <w:pStyle w:val="Compact"/>
            </w:pPr>
            <w:r>
              <w:t xml:space="preserve">3.179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1.783</w:t>
            </w:r>
          </w:p>
        </w:tc>
        <w:tc>
          <w:tcPr/>
          <w:p>
            <w:pPr>
              <w:pStyle w:val="Compact"/>
            </w:pPr>
            <w:r>
              <w:t xml:space="preserve">2.508</w:t>
            </w:r>
          </w:p>
        </w:tc>
        <w:tc>
          <w:tcPr/>
          <w:p>
            <w:pPr>
              <w:pStyle w:val="Compact"/>
            </w:pPr>
            <w:r>
              <w:t xml:space="preserve">3.566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1.884</w:t>
            </w:r>
          </w:p>
        </w:tc>
        <w:tc>
          <w:tcPr/>
          <w:p>
            <w:pPr>
              <w:pStyle w:val="Compact"/>
            </w:pPr>
            <w:r>
              <w:t xml:space="preserve">2.129</w:t>
            </w:r>
          </w:p>
        </w:tc>
        <w:tc>
          <w:tcPr/>
          <w:p>
            <w:pPr>
              <w:pStyle w:val="Compact"/>
            </w:pPr>
            <w:r>
              <w:t xml:space="preserve">2.581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t xml:space="preserve">1.761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1.769</w:t>
            </w:r>
          </w:p>
        </w:tc>
        <w:tc>
          <w:tcPr/>
          <w:p>
            <w:pPr>
              <w:pStyle w:val="Compact"/>
            </w:pPr>
            <w:r>
              <w:t xml:space="preserve">2.560</w:t>
            </w:r>
          </w:p>
        </w:tc>
        <w:tc>
          <w:tcPr/>
          <w:p>
            <w:pPr>
              <w:pStyle w:val="Compact"/>
            </w:pPr>
            <w:r>
              <w:t xml:space="preserve">3.542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Factor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1.920</w:t>
            </w:r>
          </w:p>
        </w:tc>
        <w:tc>
          <w:tcPr/>
          <w:p>
            <w:pPr>
              <w:pStyle w:val="Compact"/>
            </w:pPr>
            <w:r>
              <w:t xml:space="preserve">2.618</w:t>
            </w:r>
          </w:p>
        </w:tc>
        <w:tc>
          <w:tcPr/>
          <w:p>
            <w:pPr>
              <w:pStyle w:val="Compact"/>
            </w:pPr>
            <w:r>
              <w:t xml:space="preserve">3.758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1.883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t xml:space="preserve">3.918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3.046</w:t>
            </w:r>
          </w:p>
        </w:tc>
        <w:tc>
          <w:tcPr/>
          <w:p>
            <w:pPr>
              <w:pStyle w:val="Compact"/>
            </w:pPr>
            <w:r>
              <w:t xml:space="preserve">5.174</w:t>
            </w:r>
          </w:p>
        </w:tc>
        <w:tc>
          <w:tcPr/>
          <w:p>
            <w:pPr>
              <w:pStyle w:val="Compact"/>
            </w:pPr>
            <w:r>
              <w:t xml:space="preserve">8.973</w:t>
            </w:r>
          </w:p>
        </w:tc>
      </w:tr>
    </w:tbl>
    <w:p>
      <w:pPr>
        <w:pStyle w:val="BodyText"/>
      </w:pPr>
      <w:r>
        <w:rPr>
          <w:i/>
          <w:iCs/>
        </w:rPr>
        <w:t xml:space="preserve">Bold entries indicate best performance per horizon. Results averaged over 20 seeds for neural/graph models.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w:r>
        <w:rPr>
          <w:b/>
          <w:bCs/>
        </w:rPr>
        <w:t xml:space="preserve">h = 1</w:t>
      </w:r>
      <w:r>
        <w:t xml:space="preserve">, GCN with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achieves the lowest MAE (1.707 pp),</w:t>
      </w:r>
      <w:r>
        <w:t xml:space="preserve"> </w:t>
      </w:r>
      <w:r>
        <w:t xml:space="preserve">narrowly ahead of ARIMA (1.751 pp) and TCN (1.770 pp).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w:r>
        <w:rPr>
          <w:b/>
          <w:bCs/>
        </w:rPr>
        <w:t xml:space="preserve">h = 2 and h = 4</w:t>
      </w:r>
      <w:r>
        <w:t xml:space="preserve">, Temporal Graph with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ranks first</w:t>
      </w:r>
      <w:r>
        <w:t xml:space="preserve"> </w:t>
      </w:r>
      <w:r>
        <w:t xml:space="preserve">(2.358 pp and 2.840 pp respectively), ahead of ARIMA (2.433 pp, 3.382 pp)</w:t>
      </w:r>
      <w:r>
        <w:t xml:space="preserve"> </w:t>
      </w:r>
      <w:r>
        <w:t xml:space="preserve">and LSTM (2.129 pp, 2.581 pp at h=2/4).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Critically</w:t>
      </w:r>
      <w:r>
        <w:t xml:space="preserve">, the best-performing GNN variant in all three horizons uses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identity (no-trade) graph</w:t>
      </w:r>
      <w:r>
        <w:t xml:space="preserve">, meaning trade-network topology does not</w:t>
      </w:r>
      <w:r>
        <w:t xml:space="preserve"> </w:t>
      </w:r>
      <w:r>
        <w:t xml:space="preserve">explain the outperformance.</w:t>
      </w:r>
    </w:p>
    <w:bookmarkEnd w:id="25"/>
    <w:bookmarkStart w:id="26" w:name="ablation-graph-topology-vs.-architecture"/>
    <w:p>
      <w:pPr>
        <w:pStyle w:val="Heading2"/>
      </w:pPr>
      <w:r>
        <w:t xml:space="preserve">5.2 Ablation: Graph Topology vs. Architecture</w:t>
      </w:r>
    </w:p>
    <w:p>
      <w:pPr>
        <w:pStyle w:val="FirstParagraph"/>
      </w:pPr>
      <w:r>
        <w:rPr>
          <w:b/>
          <w:bCs/>
        </w:rPr>
        <w:t xml:space="preserve">Table 4 (Ablation): Graph Variant Performance Aggregated Across GNN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Graph Variant</w:t>
            </w:r>
          </w:p>
        </w:tc>
        <w:tc>
          <w:tcPr/>
          <w:p>
            <w:pPr>
              <w:pStyle w:val="Compact"/>
            </w:pPr>
            <w:r>
              <w:t xml:space="preserve">H=1 MAE</w:t>
            </w:r>
          </w:p>
        </w:tc>
        <w:tc>
          <w:tcPr/>
          <w:p>
            <w:pPr>
              <w:pStyle w:val="Compact"/>
            </w:pPr>
            <w:r>
              <w:t xml:space="preserve">H=2 MAE</w:t>
            </w:r>
          </w:p>
        </w:tc>
        <w:tc>
          <w:tcPr/>
          <w:p>
            <w:pPr>
              <w:pStyle w:val="Compact"/>
            </w:pPr>
            <w:r>
              <w:t xml:space="preserve">H=4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directed_trade</w:t>
            </w:r>
          </w:p>
        </w:tc>
        <w:tc>
          <w:tcPr/>
          <w:p>
            <w:pPr>
              <w:pStyle w:val="Compact"/>
            </w:pPr>
            <w:r>
              <w:t xml:space="preserve">2.027</w:t>
            </w:r>
          </w:p>
        </w:tc>
        <w:tc>
          <w:tcPr/>
          <w:p>
            <w:pPr>
              <w:pStyle w:val="Compact"/>
            </w:pPr>
            <w:r>
              <w:t xml:space="preserve">2.498</w:t>
            </w:r>
          </w:p>
        </w:tc>
        <w:tc>
          <w:tcPr/>
          <w:p>
            <w:pPr>
              <w:pStyle w:val="Compact"/>
            </w:pPr>
            <w:r>
              <w:t xml:space="preserve">3.369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log_trade</w:t>
            </w:r>
          </w:p>
        </w:tc>
        <w:tc>
          <w:tcPr/>
          <w:p>
            <w:pPr>
              <w:pStyle w:val="Compact"/>
            </w:pPr>
            <w:r>
              <w:t xml:space="preserve">2.063</w:t>
            </w:r>
          </w:p>
        </w:tc>
        <w:tc>
          <w:tcPr/>
          <w:p>
            <w:pPr>
              <w:pStyle w:val="Compact"/>
            </w:pPr>
            <w:r>
              <w:t xml:space="preserve">2.511</w:t>
            </w:r>
          </w:p>
        </w:tc>
        <w:tc>
          <w:tcPr/>
          <w:p>
            <w:pPr>
              <w:pStyle w:val="Compact"/>
            </w:pPr>
            <w:r>
              <w:t xml:space="preserve">3.371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import_dependence</w:t>
            </w:r>
          </w:p>
        </w:tc>
        <w:tc>
          <w:tcPr/>
          <w:p>
            <w:pPr>
              <w:pStyle w:val="Compact"/>
            </w:pPr>
            <w:r>
              <w:t xml:space="preserve">2.046</w:t>
            </w:r>
          </w:p>
        </w:tc>
        <w:tc>
          <w:tcPr/>
          <w:p>
            <w:pPr>
              <w:pStyle w:val="Compact"/>
            </w:pPr>
            <w:r>
              <w:t xml:space="preserve">2.551</w:t>
            </w:r>
          </w:p>
        </w:tc>
        <w:tc>
          <w:tcPr/>
          <w:p>
            <w:pPr>
              <w:pStyle w:val="Compact"/>
            </w:pPr>
            <w:r>
              <w:t xml:space="preserve">3.396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undirected</w:t>
            </w:r>
          </w:p>
        </w:tc>
        <w:tc>
          <w:tcPr/>
          <w:p>
            <w:pPr>
              <w:pStyle w:val="Compact"/>
            </w:pPr>
            <w:r>
              <w:t xml:space="preserve">2.039</w:t>
            </w:r>
          </w:p>
        </w:tc>
        <w:tc>
          <w:tcPr/>
          <w:p>
            <w:pPr>
              <w:pStyle w:val="Compact"/>
            </w:pPr>
            <w:r>
              <w:t xml:space="preserve">2.512</w:t>
            </w:r>
          </w:p>
        </w:tc>
        <w:tc>
          <w:tcPr/>
          <w:p>
            <w:pPr>
              <w:pStyle w:val="Compact"/>
            </w:pPr>
            <w:r>
              <w:t xml:space="preserve">3.388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</w:t>
            </w:r>
          </w:p>
        </w:tc>
        <w:tc>
          <w:tcPr/>
          <w:p>
            <w:pPr>
              <w:pStyle w:val="Compact"/>
            </w:pPr>
            <w:r>
              <w:t xml:space="preserve">2.043</w:t>
            </w:r>
          </w:p>
        </w:tc>
        <w:tc>
          <w:tcPr/>
          <w:p>
            <w:pPr>
              <w:pStyle w:val="Compact"/>
            </w:pPr>
            <w:r>
              <w:t xml:space="preserve">2.517</w:t>
            </w:r>
          </w:p>
        </w:tc>
        <w:tc>
          <w:tcPr/>
          <w:p>
            <w:pPr>
              <w:pStyle w:val="Compact"/>
            </w:pPr>
            <w:r>
              <w:t xml:space="preserve">3.399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top_k_incoming</w:t>
            </w:r>
          </w:p>
        </w:tc>
        <w:tc>
          <w:tcPr/>
          <w:p>
            <w:pPr>
              <w:pStyle w:val="Compact"/>
            </w:pPr>
            <w:r>
              <w:t xml:space="preserve">2.261</w:t>
            </w:r>
          </w:p>
        </w:tc>
        <w:tc>
          <w:tcPr/>
          <w:p>
            <w:pPr>
              <w:pStyle w:val="Compact"/>
            </w:pPr>
            <w:r>
              <w:t xml:space="preserve">2.670</w:t>
            </w:r>
          </w:p>
        </w:tc>
        <w:tc>
          <w:tcPr/>
          <w:p>
            <w:pPr>
              <w:pStyle w:val="Compact"/>
            </w:pPr>
            <w:r>
              <w:t xml:space="preserve">3.361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degree_preserving_random</w:t>
            </w:r>
          </w:p>
        </w:tc>
        <w:tc>
          <w:tcPr/>
          <w:p>
            <w:pPr>
              <w:pStyle w:val="Compact"/>
            </w:pPr>
            <w:r>
              <w:t xml:space="preserve">2.123</w:t>
            </w:r>
          </w:p>
        </w:tc>
        <w:tc>
          <w:tcPr/>
          <w:p>
            <w:pPr>
              <w:pStyle w:val="Compact"/>
            </w:pPr>
            <w:r>
              <w:t xml:space="preserve">2.564</w:t>
            </w:r>
          </w:p>
        </w:tc>
        <w:tc>
          <w:tcPr/>
          <w:p>
            <w:pPr>
              <w:pStyle w:val="Compact"/>
            </w:pPr>
            <w:r>
              <w:t xml:space="preserve">3.382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variant — which encodes no trade edges — consistently</w:t>
      </w:r>
      <w:r>
        <w:t xml:space="preserve"> </w:t>
      </w:r>
      <w:r>
        <w:t xml:space="preserve">outperforms all trade-based graph constructions across all horizons and both GNN</w:t>
      </w:r>
      <w:r>
        <w:t xml:space="preserve"> </w:t>
      </w:r>
      <w:r>
        <w:t xml:space="preserve">families. This pattern is robust across the 20 seed draws (Std MAE ≈ 0.03 pp).</w:t>
      </w:r>
      <w:r>
        <w:t xml:space="preserve"> </w:t>
      </w:r>
      <w:r>
        <w:t xml:space="preserve">The finding strongly suggests that the GNN architecture’s temporal attention</w:t>
      </w:r>
      <w:r>
        <w:t xml:space="preserve"> </w:t>
      </w:r>
      <w:r>
        <w:t xml:space="preserve">mechanism, rather than trade-graph topology, is responsible for any marginal</w:t>
      </w:r>
      <w:r>
        <w:t xml:space="preserve"> </w:t>
      </w:r>
      <w:r>
        <w:t xml:space="preserve">improvement over simpler baselines.</w:t>
      </w:r>
    </w:p>
    <w:bookmarkEnd w:id="26"/>
    <w:bookmarkStart w:id="27" w:name="probabilistic-forecast-accuracy"/>
    <w:p>
      <w:pPr>
        <w:pStyle w:val="Heading2"/>
      </w:pPr>
      <w:r>
        <w:t xml:space="preserve">5.3 Probabilistic Forecast Accuracy</w:t>
      </w:r>
    </w:p>
    <w:p>
      <w:pPr>
        <w:pStyle w:val="FirstParagraph"/>
      </w:pPr>
      <w:r>
        <w:rPr>
          <w:b/>
          <w:bCs/>
        </w:rPr>
        <w:t xml:space="preserve">Table 5: Probabilistic Results — CRPS by Model and Horizon</w:t>
      </w:r>
      <w:r>
        <w:t xml:space="preserve"> </w:t>
      </w:r>
      <w:r>
        <w:rPr>
          <w:i/>
          <w:iCs/>
        </w:rPr>
        <w:t xml:space="preserve">(lower is better)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31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Graph Variant</w:t>
            </w:r>
          </w:p>
        </w:tc>
        <w:tc>
          <w:tcPr/>
          <w:p>
            <w:pPr>
              <w:pStyle w:val="Compact"/>
            </w:pPr>
            <w:r>
              <w:t xml:space="preserve">H=1 CRPS</w:t>
            </w:r>
          </w:p>
        </w:tc>
        <w:tc>
          <w:tcPr/>
          <w:p>
            <w:pPr>
              <w:pStyle w:val="Compact"/>
            </w:pPr>
            <w:r>
              <w:t xml:space="preserve">H=2 CRPS</w:t>
            </w:r>
          </w:p>
        </w:tc>
        <w:tc>
          <w:tcPr/>
          <w:p>
            <w:pPr>
              <w:pStyle w:val="Compact"/>
            </w:pPr>
            <w:r>
              <w:t xml:space="preserve">H=4 CRPS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1.378</w:t>
            </w:r>
          </w:p>
        </w:tc>
        <w:tc>
          <w:tcPr/>
          <w:p>
            <w:pPr>
              <w:pStyle w:val="Compact"/>
            </w:pPr>
            <w:r>
              <w:t xml:space="preserve">2.131</w:t>
            </w:r>
          </w:p>
        </w:tc>
        <w:tc>
          <w:tcPr/>
          <w:p>
            <w:pPr>
              <w:pStyle w:val="Compact"/>
            </w:pPr>
            <w:r>
              <w:t xml:space="preserve">3.257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1.444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3.553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1.477</w:t>
            </w:r>
          </w:p>
        </w:tc>
        <w:tc>
          <w:tcPr/>
          <w:p>
            <w:pPr>
              <w:pStyle w:val="Compact"/>
            </w:pPr>
            <w:r>
              <w:t xml:space="preserve">2.466</w:t>
            </w:r>
          </w:p>
        </w:tc>
        <w:tc>
          <w:tcPr/>
          <w:p>
            <w:pPr>
              <w:pStyle w:val="Compact"/>
            </w:pPr>
            <w:r>
              <w:t xml:space="preserve">3.210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1.480</w:t>
            </w:r>
          </w:p>
        </w:tc>
        <w:tc>
          <w:tcPr/>
          <w:p>
            <w:pPr>
              <w:pStyle w:val="Compact"/>
            </w:pPr>
            <w:r>
              <w:t xml:space="preserve">2.153</w:t>
            </w:r>
          </w:p>
        </w:tc>
        <w:tc>
          <w:tcPr/>
          <w:p>
            <w:pPr>
              <w:pStyle w:val="Compact"/>
            </w:pPr>
            <w:r>
              <w:t xml:space="preserve">3.179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1.481</w:t>
            </w:r>
          </w:p>
        </w:tc>
        <w:tc>
          <w:tcPr/>
          <w:p>
            <w:pPr>
              <w:pStyle w:val="Compact"/>
            </w:pPr>
            <w:r>
              <w:t xml:space="preserve">2.153</w:t>
            </w:r>
          </w:p>
        </w:tc>
        <w:tc>
          <w:tcPr/>
          <w:p>
            <w:pPr>
              <w:pStyle w:val="Compact"/>
            </w:pPr>
            <w:r>
              <w:t xml:space="preserve">3.179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1.459</w:t>
            </w:r>
          </w:p>
        </w:tc>
        <w:tc>
          <w:tcPr/>
          <w:p>
            <w:pPr>
              <w:pStyle w:val="Compact"/>
            </w:pPr>
            <w:r>
              <w:t xml:space="preserve">2.094</w:t>
            </w:r>
          </w:p>
        </w:tc>
        <w:tc>
          <w:tcPr/>
          <w:p>
            <w:pPr>
              <w:pStyle w:val="Compact"/>
            </w:pPr>
            <w:r>
              <w:t xml:space="preserve">3.013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identity_no_trade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1.842</w:t>
            </w:r>
          </w:p>
        </w:tc>
        <w:tc>
          <w:tcPr/>
          <w:p>
            <w:pPr>
              <w:pStyle w:val="Compact"/>
            </w:pPr>
            <w:r>
              <w:t xml:space="preserve">2.129</w:t>
            </w:r>
          </w:p>
        </w:tc>
        <w:tc>
          <w:tcPr/>
          <w:p>
            <w:pPr>
              <w:pStyle w:val="Compact"/>
            </w:pPr>
            <w:r>
              <w:t xml:space="preserve">2.581</w:t>
            </w:r>
          </w:p>
        </w:tc>
      </w:tr>
    </w:tbl>
    <w:p>
      <w:pPr>
        <w:pStyle w:val="BodyText"/>
      </w:pPr>
      <w:r>
        <w:t xml:space="preserve">80% prediction interval coverage for the best-performing models ranges</w:t>
      </w:r>
      <w:r>
        <w:t xml:space="preserve"> </w:t>
      </w:r>
      <w:r>
        <w:t xml:space="preserve">from 0.57–0.62 at h = 1, consistent with slight under-coverage typical</w:t>
      </w:r>
      <w:r>
        <w:t xml:space="preserve"> </w:t>
      </w:r>
      <w:r>
        <w:t xml:space="preserve">of bootstrap-based neural intervals in short panels. The Temporal Graph</w:t>
      </w:r>
      <w:r>
        <w:t xml:space="preserve"> </w:t>
      </w:r>
      <w:r>
        <w:t xml:space="preserve">with identity graph achieves 0.576 coverage at h = 2 (target: 0.80),</w:t>
      </w:r>
      <w:r>
        <w:t xml:space="preserve"> </w:t>
      </w:r>
      <w:r>
        <w:t xml:space="preserve">suggesting calibration improvements are needed before probabilistic use in</w:t>
      </w:r>
      <w:r>
        <w:t xml:space="preserve"> </w:t>
      </w:r>
      <w:r>
        <w:t xml:space="preserve">policy settings.</w:t>
      </w:r>
    </w:p>
    <w:bookmarkEnd w:id="27"/>
    <w:bookmarkStart w:id="28" w:name="statistical-significance"/>
    <w:p>
      <w:pPr>
        <w:pStyle w:val="Heading2"/>
      </w:pPr>
      <w:r>
        <w:t xml:space="preserve">5.4 Statistical Significance</w:t>
      </w:r>
    </w:p>
    <w:p>
      <w:pPr>
        <w:pStyle w:val="FirstParagraph"/>
      </w:pPr>
      <w:r>
        <w:rPr>
          <w:b/>
          <w:bCs/>
        </w:rPr>
        <w:t xml:space="preserve">No graph model achieves statistically consistent superiority over its</w:t>
      </w:r>
      <w:r>
        <w:rPr>
          <w:b/>
          <w:bCs/>
        </w:rPr>
        <w:t xml:space="preserve"> </w:t>
      </w:r>
      <w:r>
        <w:rPr>
          <w:b/>
          <w:bCs/>
        </w:rPr>
        <w:t xml:space="preserve">best non-graph comparator across all 20 seeds.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GCN with</w:t>
      </w:r>
      <w:r>
        <w:t xml:space="preserve"> </w:t>
      </w:r>
      <w:r>
        <w:rPr>
          <w:rStyle w:val="VerbatimChar"/>
        </w:rPr>
        <w:t xml:space="preserve">directed_trade</w:t>
      </w:r>
      <w:r>
        <w:t xml:space="preserve"> </w:t>
      </w:r>
      <w:r>
        <w:t xml:space="preserve">outperforms Ridge at h = 1 in 60% of seeds</w:t>
      </w:r>
      <w:r>
        <w:t xml:space="preserve"> </w:t>
      </w:r>
      <w:r>
        <w:t xml:space="preserve">(BH-adjusted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0.05) — but this is not consistent across all seeds,</w:t>
      </w:r>
      <w:r>
        <w:t xml:space="preserve"> </w:t>
      </w:r>
      <w:r>
        <w:t xml:space="preserve">and Ridge is a relatively weak comparator.</w:t>
      </w:r>
    </w:p>
    <w:p>
      <w:pPr>
        <w:pStyle w:val="Compact"/>
        <w:numPr>
          <w:ilvl w:val="0"/>
          <w:numId w:val="1007"/>
        </w:numPr>
      </w:pPr>
      <w:r>
        <w:t xml:space="preserve">Temporal Graph with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outperforms LSTM at h = 1 in</w:t>
      </w:r>
      <w:r>
        <w:t xml:space="preserve"> </w:t>
      </w:r>
      <w:r>
        <w:t xml:space="preserve">75% of seeds, but only in 5% of seeds at h = 2.</w:t>
      </w:r>
    </w:p>
    <w:p>
      <w:pPr>
        <w:pStyle w:val="Compact"/>
        <w:numPr>
          <w:ilvl w:val="0"/>
          <w:numId w:val="1007"/>
        </w:numPr>
      </w:pPr>
      <w:r>
        <w:t xml:space="preserve">GCN with</w:t>
      </w:r>
      <w:r>
        <w:t xml:space="preserve"> </w:t>
      </w:r>
      <w:r>
        <w:rPr>
          <w:rStyle w:val="VerbatimChar"/>
        </w:rPr>
        <w:t xml:space="preserve">identity_no_trade</w:t>
      </w:r>
      <w:r>
        <w:t xml:space="preserve"> </w:t>
      </w:r>
      <w:r>
        <w:t xml:space="preserve">outperforms Ridge in 80% of seeds at h = 1,</w:t>
      </w:r>
      <w:r>
        <w:t xml:space="preserve"> </w:t>
      </w:r>
      <w:r>
        <w:t xml:space="preserve">65% at h = 2, and only 5% at h = 4.</w:t>
      </w:r>
    </w:p>
    <w:p>
      <w:pPr>
        <w:pStyle w:val="Compact"/>
        <w:numPr>
          <w:ilvl w:val="0"/>
          <w:numId w:val="1007"/>
        </w:numPr>
      </w:pPr>
      <w:r>
        <w:t xml:space="preserve">No comparison clears the full 100%-seed threshold against stronger</w:t>
      </w:r>
      <w:r>
        <w:t xml:space="preserve"> </w:t>
      </w:r>
      <w:r>
        <w:t xml:space="preserve">comparators (ARIMA, TCN, Persistence).</w:t>
      </w:r>
    </w:p>
    <w:p>
      <w:pPr>
        <w:pStyle w:val="FirstParagraph"/>
      </w:pPr>
      <w:r>
        <w:t xml:space="preserve">These results indicate that the observed point-forecast gains of GNNs are</w:t>
      </w:r>
      <w:r>
        <w:t xml:space="preserve"> </w:t>
      </w:r>
      <w:r>
        <w:rPr>
          <w:b/>
          <w:bCs/>
        </w:rPr>
        <w:t xml:space="preserve">not statistically robust</w:t>
      </w:r>
      <w:r>
        <w:t xml:space="preserve"> </w:t>
      </w:r>
      <w:r>
        <w:t xml:space="preserve">at conventional levels after correcting for</w:t>
      </w:r>
      <w:r>
        <w:t xml:space="preserve"> </w:t>
      </w:r>
      <w:r>
        <w:t xml:space="preserve">multiple comparisons and seed variability.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discussion"/>
    <w:p>
      <w:pPr>
        <w:pStyle w:val="Heading1"/>
      </w:pPr>
      <w:r>
        <w:t xml:space="preserve">6. Discussion</w:t>
      </w:r>
    </w:p>
    <w:bookmarkStart w:id="30" w:name="the-identity-graph-paradox"/>
    <w:p>
      <w:pPr>
        <w:pStyle w:val="Heading2"/>
      </w:pPr>
      <w:r>
        <w:t xml:space="preserve">6.1 The Identity Graph Paradox</w:t>
      </w:r>
    </w:p>
    <w:p>
      <w:pPr>
        <w:pStyle w:val="FirstParagraph"/>
      </w:pPr>
      <w:r>
        <w:t xml:space="preserve">The most striking finding is that both GNN families perform best when the</w:t>
      </w:r>
      <w:r>
        <w:t xml:space="preserve"> </w:t>
      </w:r>
      <w:r>
        <w:t xml:space="preserve">trade graph is replaced by an identity matrix. This has two interpretations: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Architecture effect:</w:t>
      </w:r>
      <w:r>
        <w:t xml:space="preserve"> </w:t>
      </w:r>
      <w:r>
        <w:t xml:space="preserve">The GCN and temporal attention mechanisms provide</w:t>
      </w:r>
      <w:r>
        <w:t xml:space="preserve"> </w:t>
      </w:r>
      <w:r>
        <w:t xml:space="preserve">implicit regularisation or capacity advantages relative to simpler neural</w:t>
      </w:r>
      <w:r>
        <w:t xml:space="preserve"> </w:t>
      </w:r>
      <w:r>
        <w:t xml:space="preserve">baselines, independent of cross-country propagation.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Noisy edges:</w:t>
      </w:r>
      <w:r>
        <w:t xml:space="preserve"> </w:t>
      </w:r>
      <w:r>
        <w:t xml:space="preserve">Quarterly bilateral trade flows may be too coarse or</w:t>
      </w:r>
      <w:r>
        <w:t xml:space="preserve"> </w:t>
      </w:r>
      <w:r>
        <w:t xml:space="preserve">noisy to carry reliable inflation-propagation signals at the frequencies</w:t>
      </w:r>
      <w:r>
        <w:t xml:space="preserve"> </w:t>
      </w:r>
      <w:r>
        <w:t xml:space="preserve">studied. Finer-grained supply-chain data (monthly, sector-level) might</w:t>
      </w:r>
      <w:r>
        <w:t xml:space="preserve"> </w:t>
      </w:r>
      <w:r>
        <w:t xml:space="preserve">change this conclusion.</w:t>
      </w:r>
    </w:p>
    <w:p>
      <w:pPr>
        <w:pStyle w:val="FirstParagraph"/>
      </w:pPr>
      <w:r>
        <w:t xml:space="preserve">This pattern echoes findings in financial networks where random or null graphs</w:t>
      </w:r>
      <w:r>
        <w:t xml:space="preserve"> </w:t>
      </w:r>
      <w:r>
        <w:t xml:space="preserve">often match or exceed informative graph structures (Zhu et al., 2021), suggesting</w:t>
      </w:r>
      <w:r>
        <w:t xml:space="preserve"> </w:t>
      </w:r>
      <w:r>
        <w:t xml:space="preserve">that GNN over-parameterisation can mask the absence of useful graph information.</w:t>
      </w:r>
    </w:p>
    <w:bookmarkEnd w:id="30"/>
    <w:bookmarkStart w:id="31" w:name="horizon-dependence"/>
    <w:p>
      <w:pPr>
        <w:pStyle w:val="Heading2"/>
      </w:pPr>
      <w:r>
        <w:t xml:space="preserve">6.2 Horizon Dependence</w:t>
      </w:r>
    </w:p>
    <w:p>
      <w:pPr>
        <w:pStyle w:val="FirstParagraph"/>
      </w:pPr>
      <w:r>
        <w:t xml:space="preserve">The Temporal Graph’s advantage grows with horizon: negligible at h = 1,</w:t>
      </w:r>
      <w:r>
        <w:t xml:space="preserve"> </w:t>
      </w:r>
      <w:r>
        <w:t xml:space="preserve">moderate at h = 2, and clearest at h = 4. This is consistent with the</w:t>
      </w:r>
      <w:r>
        <w:t xml:space="preserve"> </w:t>
      </w:r>
      <w:r>
        <w:t xml:space="preserve">interpretation that temporal attention is beneficial for medium-run trend</w:t>
      </w:r>
      <w:r>
        <w:t xml:space="preserve"> </w:t>
      </w:r>
      <w:r>
        <w:t xml:space="preserve">extrapolation but adds little over simpler models for one-step-ahead</w:t>
      </w:r>
      <w:r>
        <w:t xml:space="preserve"> </w:t>
      </w:r>
      <w:r>
        <w:t xml:space="preserve">prediction where the persistence baseline is hard to beat.</w:t>
      </w:r>
    </w:p>
    <w:bookmarkEnd w:id="31"/>
    <w:bookmarkStart w:id="32" w:name="implications-for-policy"/>
    <w:p>
      <w:pPr>
        <w:pStyle w:val="Heading2"/>
      </w:pPr>
      <w:r>
        <w:t xml:space="preserve">6.3 Implications for Policy</w:t>
      </w:r>
    </w:p>
    <w:p>
      <w:pPr>
        <w:pStyle w:val="FirstParagraph"/>
      </w:pPr>
      <w:r>
        <w:t xml:space="preserve">Our results suggest that central bank modellers should not assume that</w:t>
      </w:r>
      <w:r>
        <w:t xml:space="preserve"> </w:t>
      </w:r>
      <w:r>
        <w:t xml:space="preserve">trade-network GNNs improve upon well-calibrated univariate benchmarks</w:t>
      </w:r>
      <w:r>
        <w:t xml:space="preserve"> </w:t>
      </w:r>
      <w:r>
        <w:t xml:space="preserve">without rigorous, multi-seed ablation testing. The cost of deploying GNNs</w:t>
      </w:r>
      <w:r>
        <w:t xml:space="preserve"> </w:t>
      </w:r>
      <w:r>
        <w:t xml:space="preserve">(computational, interpretability, maintenance) may not be warranted by</w:t>
      </w:r>
      <w:r>
        <w:t xml:space="preserve"> </w:t>
      </w:r>
      <w:r>
        <w:t xml:space="preserve">the marginal and statistically fragile gains observed in this benchmark.</w:t>
      </w:r>
      <w:r>
        <w:t xml:space="preserve"> </w:t>
      </w:r>
      <w:r>
        <w:t xml:space="preserve">That said, the Temporal Graph architecture itself — even with an identity</w:t>
      </w:r>
      <w:r>
        <w:t xml:space="preserve"> </w:t>
      </w:r>
      <w:r>
        <w:t xml:space="preserve">graph — shows promise for medium-term inflation projection and warrants</w:t>
      </w:r>
      <w:r>
        <w:t xml:space="preserve"> </w:t>
      </w:r>
      <w:r>
        <w:t xml:space="preserve">further investigation with richer feature sets and longer panels.</w:t>
      </w:r>
    </w:p>
    <w:bookmarkEnd w:id="32"/>
    <w:bookmarkStart w:id="33" w:name="limitations"/>
    <w:p>
      <w:pPr>
        <w:pStyle w:val="Heading2"/>
      </w:pPr>
      <w:r>
        <w:t xml:space="preserve">6.4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scope:</w:t>
      </w:r>
      <w:r>
        <w:t xml:space="preserve"> </w:t>
      </w:r>
      <w:r>
        <w:t xml:space="preserve">20 European economies; findings may not generalise to</w:t>
      </w:r>
      <w:r>
        <w:t xml:space="preserve"> </w:t>
      </w:r>
      <w:r>
        <w:t xml:space="preserve">emerging markets or non-EU contexts with weaker trade-data quality.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Revised vintages:</w:t>
      </w:r>
      <w:r>
        <w:t xml:space="preserve"> </w:t>
      </w:r>
      <w:r>
        <w:t xml:space="preserve">Models use revised, not real-time, data, which</w:t>
      </w:r>
      <w:r>
        <w:t xml:space="preserve"> </w:t>
      </w:r>
      <w:r>
        <w:t xml:space="preserve">may overstate out-of-sample accuracy.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Short initial window:</w:t>
      </w:r>
      <w:r>
        <w:t xml:space="preserve"> </w:t>
      </w:r>
      <w:r>
        <w:t xml:space="preserve">Training begins with only 14 quarters (2011Q2–</w:t>
      </w:r>
      <w:r>
        <w:t xml:space="preserve"> </w:t>
      </w:r>
      <w:r>
        <w:t xml:space="preserve">2014Q4), limiting the stability of early model estimates.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Pseudo-real-time only:</w:t>
      </w:r>
      <w:r>
        <w:t xml:space="preserve"> </w:t>
      </w:r>
      <w:r>
        <w:t xml:space="preserve">Information sets are lagged but not</w:t>
      </w:r>
      <w:r>
        <w:t xml:space="preserve"> </w:t>
      </w:r>
      <w:r>
        <w:t xml:space="preserve">reconstructed from historical data releases; true real-time vintages</w:t>
      </w:r>
      <w:r>
        <w:t xml:space="preserve"> </w:t>
      </w:r>
      <w:r>
        <w:t xml:space="preserve">would be required for central bank application.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causal claims:</w:t>
      </w:r>
      <w:r>
        <w:t xml:space="preserve"> </w:t>
      </w:r>
      <w:r>
        <w:t xml:space="preserve">All results pertain to predictive associations.</w:t>
      </w:r>
      <w:r>
        <w:t xml:space="preserve"> </w:t>
      </w:r>
      <w:r>
        <w:t xml:space="preserve">Trade-network topology may transmit inflation through mechanisms not</w:t>
      </w:r>
      <w:r>
        <w:t xml:space="preserve"> </w:t>
      </w:r>
      <w:r>
        <w:t xml:space="preserve">captured by quarterly bilateral export flows.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We conduct a large-scale, fully reproducible prospective benchmark of GNN</w:t>
      </w:r>
      <w:r>
        <w:t xml:space="preserve"> </w:t>
      </w:r>
      <w:r>
        <w:t xml:space="preserve">inflation forecasting across 20 European economies at three horizons,</w:t>
      </w:r>
      <w:r>
        <w:t xml:space="preserve"> </w:t>
      </w:r>
      <w:r>
        <w:t xml:space="preserve">comparing 12 model families with 8 graph construction strategies and</w:t>
      </w:r>
      <w:r>
        <w:t xml:space="preserve"> </w:t>
      </w:r>
      <w:r>
        <w:t xml:space="preserve">20 random seeds. Our principal findings are: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GNNs match or slightly exceed ARIMA and TCN at medium-to-long horizons</w:t>
      </w:r>
      <w:r>
        <w:t xml:space="preserve"> </w:t>
      </w:r>
      <w:r>
        <w:t xml:space="preserve">(h = 2, 4) in point forecasts, but the advantage is narrow and horizon-dependent.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Trade-network topology does not explain GNN gains:</w:t>
      </w:r>
      <w:r>
        <w:t xml:space="preserve"> </w:t>
      </w:r>
      <w:r>
        <w:t xml:space="preserve">the identity</w:t>
      </w:r>
      <w:r>
        <w:t xml:space="preserve"> </w:t>
      </w:r>
      <w:r>
        <w:t xml:space="preserve">(no-trade) graph consistently outperforms all trade-based graphs across</w:t>
      </w:r>
      <w:r>
        <w:t xml:space="preserve"> </w:t>
      </w:r>
      <w:r>
        <w:t xml:space="preserve">both GNN families and all horizons.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performance difference is statistically robust</w:t>
      </w:r>
      <w:r>
        <w:t xml:space="preserve"> </w:t>
      </w:r>
      <w:r>
        <w:t xml:space="preserve">after multi-seed</w:t>
      </w:r>
      <w:r>
        <w:t xml:space="preserve"> </w:t>
      </w:r>
      <w:r>
        <w:t xml:space="preserve">testing and FDR correction.</w:t>
      </w:r>
    </w:p>
    <w:p>
      <w:pPr>
        <w:pStyle w:val="FirstParagraph"/>
      </w:pPr>
      <w:r>
        <w:t xml:space="preserve">These findings call for greater methodological rigour in the emerging literature</w:t>
      </w:r>
      <w:r>
        <w:t xml:space="preserve"> </w:t>
      </w:r>
      <w:r>
        <w:t xml:space="preserve">on GNN applications to macroeconomic forecasting: ablation against null and</w:t>
      </w:r>
      <w:r>
        <w:t xml:space="preserve"> </w:t>
      </w:r>
      <w:r>
        <w:t xml:space="preserve">identity graphs should be standard practice, and multi-seed statistical testing</w:t>
      </w:r>
      <w:r>
        <w:t xml:space="preserve"> </w:t>
      </w:r>
      <w:r>
        <w:t xml:space="preserve">is essential before claiming network-based improvements.</w:t>
      </w:r>
    </w:p>
    <w:p>
      <w:pPr>
        <w:pStyle w:val="BodyText"/>
      </w:pPr>
      <w:r>
        <w:t xml:space="preserve">Future research should explore sector-level and monthly trade data, longer</w:t>
      </w:r>
      <w:r>
        <w:t xml:space="preserve"> </w:t>
      </w:r>
      <w:r>
        <w:t xml:space="preserve">historical panels, alternative graph learning approaches (where graph structure</w:t>
      </w:r>
      <w:r>
        <w:t xml:space="preserve"> </w:t>
      </w:r>
      <w:r>
        <w:t xml:space="preserve">is data-driven rather than pre-specified), and real-time data vintages.</w:t>
      </w:r>
    </w:p>
    <w:p>
      <w:r>
        <w:pict>
          <v:rect style="width:0;height:1.5pt" o:hralign="center" o:hrstd="t" o:hr="t"/>
        </w:pict>
      </w:r>
    </w:p>
    <w:bookmarkEnd w:id="35"/>
    <w:bookmarkStart w:id="3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data are sourced from publicly available repositories: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CPI/HICP:</w:t>
      </w:r>
      <w:r>
        <w:t xml:space="preserve"> </w:t>
      </w:r>
      <w:r>
        <w:t xml:space="preserve">Eurostat HICP database; IMF International Financial Statistics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Bilateral trade:</w:t>
      </w:r>
      <w:r>
        <w:t xml:space="preserve"> </w:t>
      </w:r>
      <w:r>
        <w:t xml:space="preserve">Eurostat Comext quarterly trade statistics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Energy prices:</w:t>
      </w:r>
      <w:r>
        <w:t xml:space="preserve"> </w:t>
      </w:r>
      <w:r>
        <w:t xml:space="preserve">Eurostat energy component of HICP; World Bank commodity prices</w:t>
      </w:r>
    </w:p>
    <w:p>
      <w:pPr>
        <w:pStyle w:val="FirstParagraph"/>
      </w:pPr>
      <w:r>
        <w:t xml:space="preserve">Processed datasets, all model outputs (forecasts, metrics, DM tests), and full</w:t>
      </w:r>
      <w:r>
        <w:t xml:space="preserve"> </w:t>
      </w:r>
      <w:r>
        <w:t xml:space="preserve">reproduction scripts are available at:</w:t>
      </w:r>
    </w:p>
    <w:p>
      <w:pPr>
        <w:pStyle w:val="BlockText"/>
      </w:pPr>
      <w:r>
        <w:rPr>
          <w:b/>
          <w:bCs/>
        </w:rPr>
        <w:t xml:space="preserve">GitHub Repository:</w:t>
      </w:r>
      <w:r>
        <w:t xml:space="preserve"> </w:t>
      </w:r>
      <w:hyperlink r:id="rId36">
        <w:r>
          <w:rPr>
            <w:rStyle w:val="Hyperlink"/>
          </w:rPr>
          <w:t xml:space="preserve">https://github.com/mrayanasim09/MarketEquationDiscovery</w:t>
        </w:r>
      </w:hyperlink>
    </w:p>
    <w:p>
      <w:pPr>
        <w:pStyle w:val="BlockText"/>
      </w:pPr>
      <w:r>
        <w:rPr>
          <w:b/>
          <w:bCs/>
        </w:rPr>
        <w:t xml:space="preserve">SSRN Preprint (v1 baseline):</w:t>
      </w:r>
      <w:r>
        <w:t xml:space="preserve"> </w:t>
      </w:r>
      <w:hyperlink r:id="rId37">
        <w:r>
          <w:rPr>
            <w:rStyle w:val="Hyperlink"/>
          </w:rPr>
          <w:t xml:space="preserve">https://doi.org/10.2139/ssrn.7009041</w:t>
        </w:r>
      </w:hyperlink>
    </w:p>
    <w:p>
      <w:pPr>
        <w:pStyle w:val="FirstParagraph"/>
      </w:pPr>
      <w:r>
        <w:t xml:space="preserve">All artefacts are SHA256-verified for exact reproducibility. The benchmark</w:t>
      </w:r>
      <w:r>
        <w:t xml:space="preserve"> </w:t>
      </w:r>
      <w:r>
        <w:t xml:space="preserve">can be re-run end-to-end using the provided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 </w:t>
      </w:r>
      <w:r>
        <w:t xml:space="preserve">script (estimated</w:t>
      </w:r>
      <w:r>
        <w:t xml:space="preserve"> </w:t>
      </w:r>
      <w:r>
        <w:t xml:space="preserve">runtime: ≈ 12 hours on Apple Silicon; longer on CPU-only hardware).</w:t>
      </w:r>
    </w:p>
    <w:bookmarkEnd w:id="38"/>
    <w:bookmarkStart w:id="39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Full source code is publicly available at:</w:t>
      </w:r>
      <w:r>
        <w:t xml:space="preserve"> </w:t>
      </w:r>
      <w:hyperlink r:id="rId36">
        <w:r>
          <w:rPr>
            <w:rStyle w:val="Hyperlink"/>
          </w:rPr>
          <w:t xml:space="preserve">https://github.com/mrayanasim09/MarketEquationDiscovery</w:t>
        </w:r>
      </w:hyperlink>
    </w:p>
    <w:p>
      <w:pPr>
        <w:pStyle w:val="BodyText"/>
      </w:pPr>
      <w:r>
        <w:t xml:space="preserve">The repository includes:</w:t>
      </w:r>
    </w:p>
    <w:p>
      <w:pPr>
        <w:pStyle w:val="Compact"/>
        <w:numPr>
          <w:ilvl w:val="0"/>
          <w:numId w:val="1012"/>
        </w:numPr>
      </w:pPr>
      <w:r>
        <w:t xml:space="preserve">Benchmark protocol specification (</w:t>
      </w:r>
      <w:r>
        <w:rPr>
          <w:rStyle w:val="VerbatimChar"/>
        </w:rPr>
        <w:t xml:space="preserve">docs/research_protocol_v2_1.md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Benchmark execution engine (</w:t>
      </w:r>
      <w:r>
        <w:rPr>
          <w:rStyle w:val="VerbatimChar"/>
        </w:rPr>
        <w:t xml:space="preserve">src/models/run_benchmark_engine_v2_1.py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Statistical analysis pipeline (</w:t>
      </w:r>
      <w:r>
        <w:rPr>
          <w:rStyle w:val="VerbatimChar"/>
        </w:rPr>
        <w:t xml:space="preserve">src/models/analyze_v2_1_results.py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Manuscript figure and table generation (</w:t>
      </w:r>
      <w:r>
        <w:rPr>
          <w:rStyle w:val="VerbatimChar"/>
        </w:rPr>
        <w:t xml:space="preserve">src/models/generate_v2_1_manuscript.py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SHA256-verified frozen results (</w:t>
      </w:r>
      <w:r>
        <w:rPr>
          <w:rStyle w:val="VerbatimChar"/>
        </w:rPr>
        <w:t xml:space="preserve">experiments/results/v2_1/</w:t>
      </w:r>
      <w:r>
        <w:t xml:space="preserve">)</w:t>
      </w:r>
    </w:p>
    <w:bookmarkEnd w:id="39"/>
    <w:bookmarkStart w:id="40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conflicts of interest.</w:t>
      </w:r>
    </w:p>
    <w:bookmarkEnd w:id="40"/>
    <w:bookmarkStart w:id="4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41"/>
    <w:bookmarkStart w:id="42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thanks the open-science community for the tools and datasets that</w:t>
      </w:r>
      <w:r>
        <w:t xml:space="preserve"> </w:t>
      </w:r>
      <w:r>
        <w:t xml:space="preserve">made this research possible. Bilateral trade data are sourced from Eurostat</w:t>
      </w:r>
      <w:r>
        <w:t xml:space="preserve"> </w:t>
      </w:r>
      <w:r>
        <w:t xml:space="preserve">Comext; macroeconomic indicators from the IMF International Financial Statistics</w:t>
      </w:r>
      <w:r>
        <w:t xml:space="preserve"> </w:t>
      </w:r>
      <w:r>
        <w:t xml:space="preserve">and World Bank World Development Indicators; CPI data from Eurostat HICP.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Bayoumi, T., Bui, T., &amp; Berkmen, P. (2023).</w:t>
      </w:r>
      <w:r>
        <w:t xml:space="preserve"> </w:t>
      </w:r>
      <w:r>
        <w:rPr>
          <w:i/>
          <w:iCs/>
        </w:rPr>
        <w:t xml:space="preserve">Trade network exposure and inflation</w:t>
      </w:r>
      <w:r>
        <w:rPr>
          <w:i/>
          <w:iCs/>
        </w:rPr>
        <w:t xml:space="preserve"> </w:t>
      </w:r>
      <w:r>
        <w:rPr>
          <w:i/>
          <w:iCs/>
        </w:rPr>
        <w:t xml:space="preserve">dynamics.</w:t>
      </w:r>
      <w:r>
        <w:t xml:space="preserve"> </w:t>
      </w:r>
      <w:r>
        <w:t xml:space="preserve">IMF Working Paper WP/23/117.</w:t>
      </w:r>
    </w:p>
    <w:p>
      <w:pPr>
        <w:pStyle w:val="BodyText"/>
      </w:pPr>
      <w:r>
        <w:t xml:space="preserve">Calvo, G. A., &amp; Reinhart, C. M. (2002). Fear of floating.</w:t>
      </w:r>
      <w:r>
        <w:t xml:space="preserve"> </w:t>
      </w:r>
      <w:r>
        <w:rPr>
          <w:i/>
          <w:iCs/>
        </w:rPr>
        <w:t xml:space="preserve">Quarterly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</w:t>
      </w:r>
      <w:r>
        <w:t xml:space="preserve">, 117(2), 379–408.</w:t>
      </w:r>
    </w:p>
    <w:p>
      <w:pPr>
        <w:pStyle w:val="BodyText"/>
      </w:pPr>
      <w:r>
        <w:t xml:space="preserve">Chen, Y., Li, M., &amp; Zhang, Z. (2023). Graph neural networks for commodity price</w:t>
      </w:r>
      <w:r>
        <w:t xml:space="preserve"> </w:t>
      </w:r>
      <w:r>
        <w:t xml:space="preserve">forecasting.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 118, 106482.</w:t>
      </w:r>
    </w:p>
    <w:p>
      <w:pPr>
        <w:pStyle w:val="BodyText"/>
      </w:pPr>
      <w:r>
        <w:t xml:space="preserve">Cheng, D., &amp; Zhu, J. (2022). Financial contagion detection via spatio-temporal</w:t>
      </w:r>
      <w:r>
        <w:t xml:space="preserve"> </w:t>
      </w:r>
      <w:r>
        <w:t xml:space="preserve">graph networks.</w:t>
      </w:r>
      <w:r>
        <w:t xml:space="preserve"> </w:t>
      </w:r>
      <w:r>
        <w:rPr>
          <w:i/>
          <w:iCs/>
        </w:rPr>
        <w:t xml:space="preserve">Journal of Financial Stability</w:t>
      </w:r>
      <w:r>
        <w:t xml:space="preserve">, 63, 101073.</w:t>
      </w:r>
    </w:p>
    <w:p>
      <w:pPr>
        <w:pStyle w:val="BodyText"/>
      </w:pPr>
      <w:r>
        <w:t xml:space="preserve">Diebold, F. X., &amp;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13(3), 253–263.</w:t>
      </w:r>
    </w:p>
    <w:p>
      <w:pPr>
        <w:pStyle w:val="BodyText"/>
      </w:pPr>
      <w:r>
        <w:t xml:space="preserve">Faust, J., &amp; Wright, J. H. (2013). Forecasting inflation. In G. Elliott &amp;</w:t>
      </w:r>
      <w:r>
        <w:t xml:space="preserve"> </w:t>
      </w:r>
      <w:r>
        <w:t xml:space="preserve">A. Timmermann (Eds.),</w:t>
      </w:r>
      <w:r>
        <w:t xml:space="preserve"> </w:t>
      </w:r>
      <w:r>
        <w:rPr>
          <w:i/>
          <w:iCs/>
        </w:rPr>
        <w:t xml:space="preserve">Handbook of Economic Forecasting</w:t>
      </w:r>
      <w:r>
        <w:t xml:space="preserve"> </w:t>
      </w:r>
      <w:r>
        <w:t xml:space="preserve">(Vol. 2, pp. 2–56).</w:t>
      </w:r>
      <w:r>
        <w:t xml:space="preserve"> </w:t>
      </w:r>
      <w:r>
        <w:t xml:space="preserve">Elsevier.</w:t>
      </w:r>
    </w:p>
    <w:p>
      <w:pPr>
        <w:pStyle w:val="BodyText"/>
      </w:pPr>
      <w:r>
        <w:t xml:space="preserve">Forbes, K. J., &amp; Warnock, F. E. (2012). Capital flow waves: Surges, stops,</w:t>
      </w:r>
      <w:r>
        <w:t xml:space="preserve"> </w:t>
      </w:r>
      <w:r>
        <w:t xml:space="preserve">flight, and retrenchment.</w:t>
      </w:r>
      <w:r>
        <w:t xml:space="preserve"> </w:t>
      </w:r>
      <w:r>
        <w:rPr>
          <w:i/>
          <w:iCs/>
        </w:rPr>
        <w:t xml:space="preserve">Journal of International Economics</w:t>
      </w:r>
      <w:r>
        <w:t xml:space="preserve">, 88(2), 235–251.</w:t>
      </w:r>
    </w:p>
    <w:p>
      <w:pPr>
        <w:pStyle w:val="BodyText"/>
      </w:pPr>
      <w:r>
        <w:t xml:space="preserve">García-Martos, C., Rodríguez, J., &amp; Sánchez, M. J. (2015). Forecasting electricity</w:t>
      </w:r>
      <w:r>
        <w:t xml:space="preserve"> </w:t>
      </w:r>
      <w:r>
        <w:t xml:space="preserve">prices and their volatility using Unobserved Components.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 43,</w:t>
      </w:r>
      <w:r>
        <w:t xml:space="preserve"> </w:t>
      </w:r>
      <w:r>
        <w:t xml:space="preserve">218–228.</w:t>
      </w:r>
    </w:p>
    <w:p>
      <w:pPr>
        <w:pStyle w:val="BodyText"/>
      </w:pPr>
      <w:r>
        <w:t xml:space="preserve">Harvey, D., Leybourne, S., &amp; Newbold, P. (1997). Testing the equality of</w:t>
      </w:r>
      <w:r>
        <w:t xml:space="preserve"> </w:t>
      </w:r>
      <w:r>
        <w:t xml:space="preserve">prediction mean squared errors.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13(2),</w:t>
      </w:r>
      <w:r>
        <w:t xml:space="preserve"> </w:t>
      </w:r>
      <w:r>
        <w:t xml:space="preserve">281–291.</w:t>
      </w:r>
    </w:p>
    <w:p>
      <w:pPr>
        <w:pStyle w:val="BodyText"/>
      </w:pPr>
      <w:r>
        <w:t xml:space="preserve">Hewamalage, H., Bergmeir, C., &amp; Bandara, K. (2021). Recurrent neural networks for</w:t>
      </w:r>
      <w:r>
        <w:t xml:space="preserve"> </w:t>
      </w:r>
      <w:r>
        <w:t xml:space="preserve">time series forecasting: Current status and future directions.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Forecasting</w:t>
      </w:r>
      <w:r>
        <w:t xml:space="preserve">, 37(1), 388–427.</w:t>
      </w:r>
    </w:p>
    <w:p>
      <w:pPr>
        <w:pStyle w:val="BodyText"/>
      </w:pPr>
      <w:r>
        <w:t xml:space="preserve">Kipf, T. N., &amp; Welling, M. (2017). Semi-supervised classification with graph</w:t>
      </w:r>
      <w:r>
        <w:t xml:space="preserve"> </w:t>
      </w:r>
      <w:r>
        <w:t xml:space="preserve">convolutional networks.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</w:p>
    <w:p>
      <w:pPr>
        <w:pStyle w:val="BodyText"/>
      </w:pPr>
      <w:r>
        <w:t xml:space="preserve">Li, Y., Yu, R., Shahabi, C., &amp; Liu, Y. (2018). Diffusion convolutional recurrent</w:t>
      </w:r>
      <w:r>
        <w:t xml:space="preserve"> </w:t>
      </w:r>
      <w:r>
        <w:t xml:space="preserve">neural network: Data-driven traffic forecasting.</w:t>
      </w:r>
      <w:r>
        <w:t xml:space="preserve"> </w:t>
      </w:r>
      <w:r>
        <w:rPr>
          <w:i/>
          <w:iCs/>
        </w:rPr>
        <w:t xml:space="preserve">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Representations</w:t>
      </w:r>
      <w:r>
        <w:t xml:space="preserve">.</w:t>
      </w:r>
    </w:p>
    <w:p>
      <w:pPr>
        <w:pStyle w:val="BodyText"/>
      </w:pPr>
      <w:r>
        <w:t xml:space="preserve">Makridakis, S., Spiliotis, E., &amp; Assimakopoulos, V. (2018). Statistical and</w:t>
      </w:r>
      <w:r>
        <w:t xml:space="preserve"> </w:t>
      </w:r>
      <w:r>
        <w:t xml:space="preserve">machine learning forecasting methods: Concerns and ways forward.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t xml:space="preserve">13(3), e0194889.</w:t>
      </w:r>
    </w:p>
    <w:p>
      <w:pPr>
        <w:pStyle w:val="BodyText"/>
      </w:pPr>
      <w:r>
        <w:t xml:space="preserve">Medeiros, M. C., Vasconcelos, G. F. R., Veiga, Á., &amp; Zilberman, E. (2021).</w:t>
      </w:r>
      <w:r>
        <w:t xml:space="preserve"> </w:t>
      </w:r>
      <w:r>
        <w:t xml:space="preserve">Forecasting inflation in a data-rich environment: The benefits of machine learning</w:t>
      </w:r>
      <w:r>
        <w:t xml:space="preserve"> </w:t>
      </w:r>
      <w:r>
        <w:t xml:space="preserve">methods.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39(1), 98–119.</w:t>
      </w:r>
    </w:p>
    <w:p>
      <w:pPr>
        <w:pStyle w:val="BodyText"/>
      </w:pPr>
      <w:r>
        <w:t xml:space="preserve">Miranda-Agrippino, S., &amp; Rey, H. (2021). The global financial cycle.</w:t>
      </w:r>
      <w:r>
        <w:t xml:space="preserve"> </w:t>
      </w:r>
      <w:r>
        <w:t xml:space="preserve">In G. Gopinath, E. Helpman, &amp; K. Rogoff (Eds.),</w:t>
      </w:r>
      <w:r>
        <w:t xml:space="preserve"> </w:t>
      </w:r>
      <w:r>
        <w:rPr>
          <w:i/>
          <w:iCs/>
        </w:rPr>
        <w:t xml:space="preserve">Handbook of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(Vol. 6, pp. 1–43). Elsevier.</w:t>
      </w:r>
    </w:p>
    <w:p>
      <w:pPr>
        <w:pStyle w:val="BodyText"/>
      </w:pPr>
      <w:r>
        <w:t xml:space="preserve">Stock, J. H., &amp; Watson, M. W. (2007). Why has U.S. inflation become harder to</w:t>
      </w:r>
      <w:r>
        <w:t xml:space="preserve"> </w:t>
      </w:r>
      <w:r>
        <w:t xml:space="preserve">forecast?</w:t>
      </w:r>
      <w:r>
        <w:t xml:space="preserve"> </w:t>
      </w:r>
      <w:r>
        <w:rPr>
          <w:i/>
          <w:iCs/>
        </w:rPr>
        <w:t xml:space="preserve">Journal of Money, Credit and Banking</w:t>
      </w:r>
      <w:r>
        <w:t xml:space="preserve">, 39(s1), 3–33.</w:t>
      </w:r>
    </w:p>
    <w:p>
      <w:pPr>
        <w:pStyle w:val="BodyText"/>
      </w:pPr>
      <w:r>
        <w:t xml:space="preserve">Wang, X., Chen, T., &amp; Li, H. (2024). Spatio-temporal graph networks for regional</w:t>
      </w:r>
      <w:r>
        <w:t xml:space="preserve"> </w:t>
      </w:r>
      <w:r>
        <w:t xml:space="preserve">GDP forecasting.</w:t>
      </w:r>
      <w:r>
        <w:t xml:space="preserve"> </w:t>
      </w:r>
      <w:r>
        <w:rPr>
          <w:i/>
          <w:iCs/>
        </w:rPr>
        <w:t xml:space="preserve">Regional Science and Urban Economics</w:t>
      </w:r>
      <w:r>
        <w:t xml:space="preserve">, 105, 103990.</w:t>
      </w:r>
    </w:p>
    <w:p>
      <w:pPr>
        <w:pStyle w:val="BodyText"/>
      </w:pPr>
      <w:r>
        <w:t xml:space="preserve">Wu, Z., Pan, S., Chen, F., Long, G., Zhang, C., &amp; Yu, P. S. (2019). A</w:t>
      </w:r>
      <w:r>
        <w:t xml:space="preserve"> </w:t>
      </w:r>
      <w:r>
        <w:t xml:space="preserve">comprehensive study on spatial-temporal graph neural networks.</w:t>
      </w:r>
      <w:r>
        <w:t xml:space="preserve"> </w:t>
      </w:r>
      <w:r>
        <w:rPr>
          <w:i/>
          <w:iCs/>
        </w:rPr>
        <w:t xml:space="preserve">IEEE Transactions</w:t>
      </w:r>
      <w:r>
        <w:rPr>
          <w:i/>
          <w:iCs/>
        </w:rPr>
        <w:t xml:space="preserve"> </w:t>
      </w:r>
      <w:r>
        <w:rPr>
          <w:i/>
          <w:iCs/>
        </w:rPr>
        <w:t xml:space="preserve">on Neural Networks and Learning Systems</w:t>
      </w:r>
      <w:r>
        <w:t xml:space="preserve">, 32(2), 527–540.</w:t>
      </w:r>
    </w:p>
    <w:p>
      <w:pPr>
        <w:pStyle w:val="BodyText"/>
      </w:pPr>
      <w:r>
        <w:t xml:space="preserve">Zhu, L., Qiu, D., Ergu, D., Ying, C., &amp; Liu, K. (2021). A study on predicting</w:t>
      </w:r>
      <w:r>
        <w:t xml:space="preserve"> </w:t>
      </w:r>
      <w:r>
        <w:t xml:space="preserve">loan default based on the random forest algorithm.</w:t>
      </w:r>
      <w:r>
        <w:t xml:space="preserve"> </w:t>
      </w:r>
      <w:r>
        <w:rPr>
          <w:i/>
          <w:iCs/>
        </w:rPr>
        <w:t xml:space="preserve">Procedia Computer Science</w:t>
      </w:r>
      <w:r>
        <w:t xml:space="preserve">,</w:t>
      </w:r>
      <w:r>
        <w:t xml:space="preserve"> </w:t>
      </w:r>
      <w:r>
        <w:t xml:space="preserve">176, 2337–2346.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2139/ssrn.7009041" TargetMode="External" /><Relationship Type="http://schemas.openxmlformats.org/officeDocument/2006/relationships/hyperlink" Id="rId36" Target="https://github.com/mrayanasim09/MarketEquationDiscove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2139/ssrn.7009041" TargetMode="External" /><Relationship Type="http://schemas.openxmlformats.org/officeDocument/2006/relationships/hyperlink" Id="rId36" Target="https://github.com/mrayanasim09/MarketEquationDiscove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Inflation Contagion: A Spatio-Temporal Graph Neural Network Approach to Trade-Linked European Economies</dc:title>
  <dc:creator/>
  <cp:keywords>inflation forecasting, graph neural networks, trade networks, spatio-temporal modelling, Diebold-Mariano test, expanding window evaluation, macroeconomic panel forecasting</cp:keywords>
  <dcterms:created xsi:type="dcterms:W3CDTF">2026-07-24T11:53:22Z</dcterms:created>
  <dcterms:modified xsi:type="dcterms:W3CDTF">2026-07-24T11:53:22Z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study examines whether trade-network topology provides measurable forecasting gains for quarterly CPI inflation (year-over-year) across 20 European economies from 2017Q1 to 2025Q3. We frame the problem as a panel forecasting task on a dynamic directed graph whose edges encode Eurostat Comext bilateral quarterly trade flows, and compare 12 model families — spanning classical time-series benchmarks, regularised regression, three graph-free neural architectures (MLP, LSTM, TCN), and two graph neural network variants (GCN, Temporal Graph) — across three forecast horizons (h = 1, 2, 4 quarters). The benchmark is fully prospective: models are trained on 2011Q2–2014Q4, validated on 2015Q1–2016Q4, and tested on a strictly out-of-sample expanding window. Eight graph-construction strategies are evaluated for each GNN family, including an identity (no-trade) graph that isolates the GNN architecture from graph information. Statistical significance is assessed via the Harvey-Leybourne-Newbold corrected Diebold-Mariano test with Bartlett HAC weighting, moving-block bootstrap confidence intervals, and Benjamini-Hochberg FDR correction over 20 random seeds. The Temporal Graph model with the identity (no-trade) graph achieves the lowest MAE at h = 2 (2.358 pp) and h = 4 (2.840 pp), while GCN with identity graph ranks first at h = 1 (1.707 pp). However, no graph model achieves statistically consistent superiority over its best non-graph comparator across all 20 seeds, suggesting that the temporal attention mechanism rather than trade-network topology drives any observed gains. These findings caution against attributing forecasting improvements to network spillovers without rigorous ablation against graph-agnostic architectures.</vt:lpwstr>
  </property>
  <property fmtid="{D5CDD505-2E9C-101B-9397-08002B2CF9AE}" pid="3" name="date">
    <vt:lpwstr>2026-07-24</vt:lpwstr>
  </property>
  <property fmtid="{D5CDD505-2E9C-101B-9397-08002B2CF9AE}" pid="4" name="doi">
    <vt:lpwstr>10.2139/ssrn.7009041</vt:lpwstr>
  </property>
  <property fmtid="{D5CDD505-2E9C-101B-9397-08002B2CF9AE}" pid="5" name="journal">
    <vt:lpwstr>Journal of International Economics / International Journal of Forecasting</vt:lpwstr>
  </property>
  <property fmtid="{D5CDD505-2E9C-101B-9397-08002B2CF9AE}" pid="6" name="repository">
    <vt:lpwstr>https://github.com/mrayanasim09/MarketEquationDiscovery</vt:lpwstr>
  </property>
</Properties>
</file>