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120" w:before="0"/>
        <w:jc w:val="center"/>
      </w:pPr>
      <w:r>
        <w:rPr>
          <w:rFonts w:ascii="Arial" w:cs="Arial" w:eastAsia="Arial" w:hAnsi="Arial"/>
          <w:b/>
          <w:bCs/>
          <w:color w:val="0EA5E9"/>
          <w:sz w:val="72"/>
          <w:szCs w:val="72"/>
        </w:rPr>
        <w:t xml:space="preserve">OASIS TERMINAL</w:t>
      </w:r>
    </w:p>
    <w:p>
      <w:pPr>
        <w:spacing w:after="80" w:before="0"/>
        <w:jc w:val="center"/>
      </w:pPr>
      <w:r>
        <w:rPr>
          <w:rFonts w:ascii="Arial" w:cs="Arial" w:eastAsia="Arial" w:hAnsi="Arial"/>
          <w:b/>
          <w:bCs/>
          <w:color w:val="0F172A"/>
          <w:sz w:val="34"/>
          <w:szCs w:val="34"/>
        </w:rPr>
        <w:t xml:space="preserve">Product Requirements Document</w:t>
      </w:r>
    </w:p>
    <w:p>
      <w:pPr>
        <w:spacing w:after="360" w:before="0"/>
        <w:jc w:val="center"/>
      </w:pPr>
      <w:r>
        <w:rPr>
          <w:rFonts w:ascii="Arial" w:cs="Arial" w:eastAsia="Arial" w:hAnsi="Arial"/>
          <w:i/>
          <w:iCs/>
          <w:color w:val="475569"/>
          <w:sz w:val="24"/>
          <w:szCs w:val="24"/>
        </w:rPr>
        <w:t xml:space="preserve">Portfolio Construction &amp; Quantitative Research Platform</w:t>
      </w:r>
    </w:p>
    <w:p>
      <w:pPr>
        <w:pBdr>
          <w:bottom w:val="single" w:color="0EA5E9" w:sz="6" w:space="4"/>
        </w:pBdr>
        <w:spacing w:after="200" w:before="0"/>
      </w:pPr>
      <w:r>
        <w:t xml:space="preserve"/>
      </w:r>
    </w:p>
    <w:p>
      <w:pPr>
        <w:spacing w:after="80" w:before="200"/>
        <w:jc w:val="center"/>
      </w:pPr>
      <w:r>
        <w:rPr>
          <w:rFonts w:ascii="Arial" w:cs="Arial" w:eastAsia="Arial" w:hAnsi="Arial"/>
          <w:color w:val="94A3B8"/>
          <w:sz w:val="22"/>
          <w:szCs w:val="22"/>
        </w:rPr>
        <w:t xml:space="preserve">Version 1.0  •  July 2026  •  CONFIDENTIAL</w:t>
      </w:r>
    </w:p>
    <w:p>
      <w:pPr>
        <w:spacing w:after="0" w:before="0"/>
        <w:jc w:val="center"/>
      </w:pPr>
      <w:r>
        <w:rPr>
          <w:rFonts w:ascii="Arial" w:cs="Arial" w:eastAsia="Arial" w:hAnsi="Arial"/>
          <w:color w:val="94A3B8"/>
          <w:sz w:val="22"/>
          <w:szCs w:val="22"/>
        </w:rPr>
        <w:t xml:space="preserve">TradingAgents / Oasis Team</w:t>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1. Executive Summary</w:t>
      </w:r>
    </w:p>
    <w:p>
      <w:pPr>
        <w:spacing w:after="80" w:before="60" w:line="320"/>
        <w:jc w:val="left"/>
      </w:pPr>
      <w:r>
        <w:rPr>
          <w:rFonts w:ascii="Arial" w:cs="Arial" w:eastAsia="Arial" w:hAnsi="Arial"/>
          <w:b w:val="false"/>
          <w:bCs w:val="false"/>
          <w:i w:val="false"/>
          <w:iCs w:val="false"/>
          <w:color w:val="1E293B"/>
          <w:sz w:val="22"/>
          <w:szCs w:val="22"/>
        </w:rPr>
        <w:t xml:space="preserve">Oasis Terminal is an open-source, AI-augmented quantitative research and portfolio construction platform built on top of the TradingAgents multi-agent framework. It makes institutional-grade quantitative methods — Black-Litterman optimisation, Kalman filter pairs trading, Kelly criterion sizing, and multi-agent AI signal debate — accessible to individual investors and small funds at a fraction of the cost of professional terminals.</w:t>
      </w:r>
    </w:p>
    <w:p>
      <w:pPr>
        <w:spacing w:after="60" w:before="60"/>
      </w:pPr>
      <w:r>
        <w:t xml:space="preserve"/>
      </w:r>
    </w:p>
    <w:p>
      <w:pPr>
        <w:spacing w:after="80" w:before="60" w:line="320"/>
        <w:jc w:val="left"/>
      </w:pPr>
      <w:r>
        <w:rPr>
          <w:rFonts w:ascii="Arial" w:cs="Arial" w:eastAsia="Arial" w:hAnsi="Arial"/>
          <w:b w:val="false"/>
          <w:bCs w:val="false"/>
          <w:i w:val="false"/>
          <w:iCs w:val="false"/>
          <w:color w:val="1E293B"/>
          <w:sz w:val="22"/>
          <w:szCs w:val="22"/>
        </w:rPr>
        <w:t xml:space="preserve">The platform targets a clear gap in the market: the space between $0 consumer charting tools (TradingView, Koyfin) and $12,000–$24,000/yr institutional terminals (FactSet, Bloomberg). Oasis delivers 80–90% of institutional methodology at roughly 90% lower infrastructure cost.</w:t>
      </w:r>
    </w:p>
    <w:p>
      <w:pPr>
        <w:spacing w:after="60" w:before="60"/>
      </w:pPr>
      <w:r>
        <w:t xml:space="preserve"/>
      </w:r>
    </w:p>
    <w:p>
      <w:pPr>
        <w:spacing w:after="80" w:before="60" w:line="320"/>
        <w:jc w:val="left"/>
      </w:pPr>
      <w:r>
        <w:rPr>
          <w:rFonts w:ascii="Arial" w:cs="Arial" w:eastAsia="Arial" w:hAnsi="Arial"/>
          <w:b w:val="false"/>
          <w:bCs w:val="false"/>
          <w:i w:val="false"/>
          <w:iCs w:val="false"/>
          <w:color w:val="1E293B"/>
          <w:sz w:val="22"/>
          <w:szCs w:val="22"/>
        </w:rPr>
        <w:t xml:space="preserve">Strategic direction (July 2026): integrate Oasis as a backend analytics plugin for OpenBB Workspace. OpenBB provides the professional frontend (charting, screener, multi-asset view) while Oasis contributes the quantitative analytics layer that OpenBB intentionally keeps thin. This gives Oasis immediate access to a large developer-quant user base with no UI rebuild cost.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BD5E1" w:sz="1"/>
              <w:left w:val="single" w:color="CBD5E1" w:sz="1"/>
              <w:bottom w:val="single" w:color="CBD5E1" w:sz="1"/>
              <w:right w:val="single" w:color="CBD5E1" w:sz="1"/>
            </w:tcBorders>
            <w:shd w:fill="0EA5E9"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Features Built</w:t>
            </w:r>
          </w:p>
        </w:tc>
        <w:tc>
          <w:tcPr>
            <w:tcW w:type="dxa" w:w="2340"/>
            <w:tcBorders>
              <w:top w:val="single" w:color="CBD5E1" w:sz="1"/>
              <w:left w:val="single" w:color="CBD5E1" w:sz="1"/>
              <w:bottom w:val="single" w:color="CBD5E1" w:sz="1"/>
              <w:right w:val="single" w:color="CBD5E1" w:sz="1"/>
            </w:tcBorders>
            <w:shd w:fill="0EA5E9"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Est. Prod Cost / yr</w:t>
            </w:r>
          </w:p>
        </w:tc>
        <w:tc>
          <w:tcPr>
            <w:tcW w:type="dxa" w:w="2340"/>
            <w:tcBorders>
              <w:top w:val="single" w:color="CBD5E1" w:sz="1"/>
              <w:left w:val="single" w:color="CBD5E1" w:sz="1"/>
              <w:bottom w:val="single" w:color="CBD5E1" w:sz="1"/>
              <w:right w:val="single" w:color="CBD5E1" w:sz="1"/>
            </w:tcBorders>
            <w:shd w:fill="0EA5E9"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Primary Market</w:t>
            </w:r>
          </w:p>
        </w:tc>
        <w:tc>
          <w:tcPr>
            <w:tcW w:type="dxa" w:w="2340"/>
            <w:tcBorders>
              <w:top w:val="single" w:color="CBD5E1" w:sz="1"/>
              <w:left w:val="single" w:color="CBD5E1" w:sz="1"/>
              <w:bottom w:val="single" w:color="CBD5E1" w:sz="1"/>
              <w:right w:val="single" w:color="CBD5E1" w:sz="1"/>
            </w:tcBorders>
            <w:shd w:fill="0EA5E9"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vs. Bloomberg</w:t>
            </w:r>
          </w:p>
        </w:tc>
      </w:tr>
      <w:tr>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293B"/>
                <w:sz w:val="20"/>
                <w:szCs w:val="20"/>
              </w:rPr>
              <w:t xml:space="preserve">13 Live or Beta + 11 Planned</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E293B"/>
                <w:sz w:val="20"/>
                <w:szCs w:val="20"/>
              </w:rPr>
              <w:t xml:space="preserve">~$2,640</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Quant / HNW / RIA</w:t>
            </w:r>
          </w:p>
        </w:tc>
        <w:tc>
          <w:tcPr>
            <w:tcW w:type="dxa" w:w="23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~90% cost reduction</w:t>
            </w:r>
          </w:p>
        </w:tc>
      </w:tr>
    </w:tbl>
    <w:p>
      <w:pPr>
        <w:spacing w:after="140" w:before="140"/>
      </w:pPr>
      <w:r>
        <w:t xml:space="preserve"/>
      </w:r>
    </w:p>
    <w:p>
      <w:pPr>
        <w:pStyle w:val="Heading1"/>
        <w:pBdr>
          <w:bottom w:val="single" w:color="0EA5E9" w:sz="5" w:space="5"/>
        </w:pBdr>
        <w:spacing w:after="60" w:before="440"/>
      </w:pPr>
      <w:r>
        <w:rPr>
          <w:rFonts w:ascii="Arial" w:cs="Arial" w:eastAsia="Arial" w:hAnsi="Arial"/>
          <w:b/>
          <w:bCs/>
          <w:color w:val="0F172A"/>
          <w:sz w:val="34"/>
          <w:szCs w:val="34"/>
        </w:rPr>
        <w:t xml:space="preserve">2. Problem Statement</w:t>
      </w:r>
    </w:p>
    <w:p>
      <w:pPr>
        <w:pStyle w:val="Heading2"/>
        <w:spacing w:after="100" w:before="300"/>
      </w:pPr>
      <w:r>
        <w:rPr>
          <w:rFonts w:ascii="Arial" w:cs="Arial" w:eastAsia="Arial" w:hAnsi="Arial"/>
          <w:b/>
          <w:bCs/>
          <w:color w:val="0E4F82"/>
          <w:sz w:val="27"/>
          <w:szCs w:val="27"/>
        </w:rPr>
        <w:t xml:space="preserve">2.1 The Institutional Gap</w:t>
      </w:r>
    </w:p>
    <w:p>
      <w:pPr>
        <w:spacing w:after="80" w:before="60" w:line="320"/>
        <w:jc w:val="left"/>
      </w:pPr>
      <w:r>
        <w:rPr>
          <w:rFonts w:ascii="Arial" w:cs="Arial" w:eastAsia="Arial" w:hAnsi="Arial"/>
          <w:b w:val="false"/>
          <w:bCs w:val="false"/>
          <w:i w:val="false"/>
          <w:iCs w:val="false"/>
          <w:color w:val="1E293B"/>
          <w:sz w:val="22"/>
          <w:szCs w:val="22"/>
        </w:rPr>
        <w:t xml:space="preserve">Professional-grade quantitative tools are bifurcated with nothing in between. Bloomberg Terminal ($24,240/yr) and FactSet ($12,000+/yr) serve institutions but price out individuals and small funds. Consumer-grade tools cover charting and fundamentals but lack portfolio construction, statistical arbitrage, or institutional research intelligence.</w:t>
      </w:r>
    </w:p>
    <w:p>
      <w:pPr>
        <w:spacing w:after="60" w:before="60"/>
      </w:pPr>
      <w:r>
        <w:t xml:space="preserve"/>
      </w:r>
    </w:p>
    <w:p>
      <w:pPr>
        <w:spacing w:after="80" w:before="60" w:line="320"/>
        <w:jc w:val="left"/>
      </w:pPr>
      <w:r>
        <w:rPr>
          <w:rFonts w:ascii="Arial" w:cs="Arial" w:eastAsia="Arial" w:hAnsi="Arial"/>
          <w:b w:val="false"/>
          <w:bCs w:val="false"/>
          <w:i w:val="false"/>
          <w:iCs w:val="false"/>
          <w:color w:val="1E293B"/>
          <w:sz w:val="22"/>
          <w:szCs w:val="22"/>
        </w:rPr>
        <w:t xml:space="preserve">Traders who need institutional methodology — Black-Litterman optimisation, Kalman filter pairs trading, Kelly criterion sizing, multi-agent AI signal debate — must either pay institutional prices or stitch together 5–6 separate subscriptions totalling $3,000–$8,000/yr with no integration between them.</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2.2 The AI Dependency Risk</w:t>
      </w:r>
    </w:p>
    <w:p>
      <w:pPr>
        <w:spacing w:after="80" w:before="60" w:line="320"/>
        <w:jc w:val="left"/>
      </w:pPr>
      <w:r>
        <w:rPr>
          <w:rFonts w:ascii="Arial" w:cs="Arial" w:eastAsia="Arial" w:hAnsi="Arial"/>
          <w:b w:val="false"/>
          <w:bCs w:val="false"/>
          <w:i w:val="false"/>
          <w:iCs w:val="false"/>
          <w:color w:val="1E293B"/>
          <w:sz w:val="22"/>
          <w:szCs w:val="22"/>
        </w:rPr>
        <w:t xml:space="preserve">Platforms that use LLM APIs as their primary differentiator face structural fragility. Model providers change pricing, deprecate models, or build competing features natively. A product whose only moat is an AI wrapper is exposed to displacement at any time. This is a known and valid concern.</w:t>
      </w:r>
    </w:p>
    <w:p>
      <w:pPr>
        <w:spacing w:after="60" w:before="60"/>
      </w:pPr>
      <w:r>
        <w:t xml:space="preserve"/>
      </w:r>
    </w:p>
    <w:p>
      <w:pPr>
        <w:spacing w:after="80" w:before="60" w:line="320"/>
        <w:jc w:val="left"/>
      </w:pPr>
      <w:r>
        <w:rPr>
          <w:rFonts w:ascii="Arial" w:cs="Arial" w:eastAsia="Arial" w:hAnsi="Arial"/>
          <w:b w:val="false"/>
          <w:bCs w:val="false"/>
          <w:i w:val="false"/>
          <w:iCs w:val="false"/>
          <w:color w:val="1E293B"/>
          <w:sz w:val="22"/>
          <w:szCs w:val="22"/>
        </w:rPr>
        <w:t xml:space="preserve">Oasis addresses this by treating AI as infrastructure — interchangeable and model-agnostic — rather than as the product itself. The actual moat candidates are: (1) the quant methodology layer which is model-independent, (2) signal outcome logging creating proprietary backtested data over time, (3) workflow embeddedness as users run daily rebalances and pair screens, and (4) OpenBB ecosystem distribution that competitors are not building toward.</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2.3 Current State Limitations</w:t>
      </w:r>
    </w:p>
    <w:p>
      <w:pPr>
        <w:spacing w:after="80" w:before="60" w:line="320"/>
        <w:jc w:val="left"/>
      </w:pPr>
      <w:r>
        <w:rPr>
          <w:rFonts w:ascii="Arial" w:cs="Arial" w:eastAsia="Arial" w:hAnsi="Arial"/>
          <w:b w:val="false"/>
          <w:bCs w:val="false"/>
          <w:i w:val="false"/>
          <w:iCs w:val="false"/>
          <w:color w:val="1E293B"/>
          <w:sz w:val="22"/>
          <w:szCs w:val="22"/>
        </w:rPr>
        <w:t xml:space="preserve">The current Oasis stack (yfinance + in-memory Python dict + FastAPI on localhost) is a working prototype with several production blockers:</w:t>
      </w:r>
    </w:p>
    <w:p>
      <w:pPr>
        <w:pStyle w:val="ListParagraph"/>
        <w:numPr>
          <w:ilvl w:val="0"/>
          <w:numId w:val="2"/>
        </w:numPr>
        <w:spacing w:after="40" w:before="40"/>
      </w:pPr>
      <w:r>
        <w:rPr>
          <w:rFonts w:ascii="Arial" w:cs="Arial" w:eastAsia="Arial" w:hAnsi="Arial"/>
          <w:color w:val="1E293B"/>
          <w:sz w:val="22"/>
          <w:szCs w:val="22"/>
        </w:rPr>
        <w:t xml:space="preserve">Data latency: yfinance HTTP polling introduces 15–60 second delays and frequent rate-limiting failures</w:t>
      </w:r>
    </w:p>
    <w:p>
      <w:pPr>
        <w:pStyle w:val="ListParagraph"/>
        <w:numPr>
          <w:ilvl w:val="0"/>
          <w:numId w:val="2"/>
        </w:numPr>
        <w:spacing w:after="40" w:before="40"/>
      </w:pPr>
      <w:r>
        <w:rPr>
          <w:rFonts w:ascii="Arial" w:cs="Arial" w:eastAsia="Arial" w:hAnsi="Arial"/>
          <w:color w:val="1E293B"/>
          <w:sz w:val="22"/>
          <w:szCs w:val="22"/>
        </w:rPr>
        <w:t xml:space="preserve">No persistence: price history is re-fetched on every request; cache clears on server restart</w:t>
      </w:r>
    </w:p>
    <w:p>
      <w:pPr>
        <w:pStyle w:val="ListParagraph"/>
        <w:numPr>
          <w:ilvl w:val="0"/>
          <w:numId w:val="2"/>
        </w:numPr>
        <w:spacing w:after="40" w:before="40"/>
      </w:pPr>
      <w:r>
        <w:rPr>
          <w:rFonts w:ascii="Arial" w:cs="Arial" w:eastAsia="Arial" w:hAnsi="Arial"/>
          <w:color w:val="1E293B"/>
          <w:sz w:val="22"/>
          <w:szCs w:val="22"/>
        </w:rPr>
        <w:t xml:space="preserve">Sequential fetches: _build() functions run synchronously, compounding latency for multi-ticker pages</w:t>
      </w:r>
    </w:p>
    <w:p>
      <w:pPr>
        <w:pStyle w:val="ListParagraph"/>
        <w:numPr>
          <w:ilvl w:val="0"/>
          <w:numId w:val="2"/>
        </w:numPr>
        <w:spacing w:after="40" w:before="40"/>
      </w:pPr>
      <w:r>
        <w:rPr>
          <w:rFonts w:ascii="Arial" w:cs="Arial" w:eastAsia="Arial" w:hAnsi="Arial"/>
          <w:color w:val="1E293B"/>
          <w:sz w:val="22"/>
          <w:szCs w:val="22"/>
        </w:rPr>
        <w:t xml:space="preserve">Single process: no horizontal scaling, no worker separation, no background job queue</w:t>
      </w:r>
    </w:p>
    <w:p>
      <w:pPr>
        <w:pStyle w:val="ListParagraph"/>
        <w:numPr>
          <w:ilvl w:val="0"/>
          <w:numId w:val="2"/>
        </w:numPr>
        <w:spacing w:after="40" w:before="40"/>
      </w:pPr>
      <w:r>
        <w:rPr>
          <w:rFonts w:ascii="Arial" w:cs="Arial" w:eastAsia="Arial" w:hAnsi="Arial"/>
          <w:color w:val="1E293B"/>
          <w:sz w:val="22"/>
          <w:szCs w:val="22"/>
        </w:rPr>
        <w:t xml:space="preserve">No real-time feed: WebSocket streaming not implemented; dashboard is point-in-time only</w:t>
      </w:r>
    </w:p>
    <w:p>
      <w:pPr>
        <w:spacing w:after="140" w:before="140"/>
      </w:pPr>
      <w:r>
        <w:t xml:space="preserve"/>
      </w:r>
    </w:p>
    <w:p>
      <w:pPr>
        <w:pStyle w:val="Heading1"/>
        <w:pBdr>
          <w:bottom w:val="single" w:color="0EA5E9" w:sz="5" w:space="5"/>
        </w:pBdr>
        <w:spacing w:after="60" w:before="440"/>
      </w:pPr>
      <w:r>
        <w:rPr>
          <w:rFonts w:ascii="Arial" w:cs="Arial" w:eastAsia="Arial" w:hAnsi="Arial"/>
          <w:b/>
          <w:bCs/>
          <w:color w:val="0F172A"/>
          <w:sz w:val="34"/>
          <w:szCs w:val="34"/>
        </w:rPr>
        <w:t xml:space="preserve">3. Product Vision &amp; Strategy</w:t>
      </w:r>
    </w:p>
    <w:p>
      <w:pPr>
        <w:pStyle w:val="Heading2"/>
        <w:spacing w:after="100" w:before="300"/>
      </w:pPr>
      <w:r>
        <w:rPr>
          <w:rFonts w:ascii="Arial" w:cs="Arial" w:eastAsia="Arial" w:hAnsi="Arial"/>
          <w:b/>
          <w:bCs/>
          <w:color w:val="0E4F82"/>
          <w:sz w:val="27"/>
          <w:szCs w:val="27"/>
        </w:rPr>
        <w:t xml:space="preserve">3.1 Vision Statement</w:t>
      </w:r>
    </w:p>
    <w:p>
      <w:pPr>
        <w:spacing w:after="80" w:before="60" w:line="320"/>
        <w:jc w:val="left"/>
      </w:pPr>
      <w:r>
        <w:rPr>
          <w:rFonts w:ascii="Arial" w:cs="Arial" w:eastAsia="Arial" w:hAnsi="Arial"/>
          <w:b w:val="false"/>
          <w:bCs w:val="false"/>
          <w:i w:val="false"/>
          <w:iCs w:val="false"/>
          <w:color w:val="1E293B"/>
          <w:sz w:val="22"/>
          <w:szCs w:val="22"/>
        </w:rPr>
        <w:t xml:space="preserve">An open-source quantitative research terminal that gives individual investors and small funds access to institutional portfolio construction methodology, AI-augmented signal analysis, and statistical arbitrage screening — at prosumer cost, with no vendor lock-in.</w:t>
      </w:r>
    </w:p>
    <w:p>
      <w:pPr>
        <w:spacing w:after="100" w:before="100"/>
      </w:pPr>
      <w:r>
        <w:t xml:space="preserve"/>
      </w:r>
    </w:p>
    <w:p>
      <w:pPr>
        <w:pStyle w:val="Heading2"/>
        <w:spacing w:after="100" w:before="300"/>
      </w:pPr>
      <w:r>
        <w:rPr>
          <w:rFonts w:ascii="Arial" w:cs="Arial" w:eastAsia="Arial" w:hAnsi="Arial"/>
          <w:b/>
          <w:bCs/>
          <w:color w:val="0E4F82"/>
          <w:sz w:val="27"/>
          <w:szCs w:val="27"/>
        </w:rPr>
        <w:t xml:space="preserve">3.2 Strategic Pillars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r>
              <w:rPr>
                <w:rFonts w:ascii="Arial" w:cs="Arial" w:eastAsia="Arial" w:hAnsi="Arial"/>
                <w:b/>
                <w:bCs/>
                <w:color w:val="FFFFFF"/>
                <w:sz w:val="19"/>
                <w:szCs w:val="19"/>
              </w:rPr>
              <w:t xml:space="preserve">Pillar</w:t>
            </w:r>
          </w:p>
        </w:tc>
        <w:tc>
          <w:tcPr>
            <w:tcW w:type="dxa" w:w="71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r>
              <w:rPr>
                <w:rFonts w:ascii="Arial" w:cs="Arial" w:eastAsia="Arial" w:hAnsi="Arial"/>
                <w:b/>
                <w:bCs/>
                <w:color w:val="FFFFFF"/>
                <w:sz w:val="19"/>
                <w:szCs w:val="19"/>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Methodology First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The quant methods (BL, Kelly, OU, Kalman) are the product. LLMs are the computation engine — interchangeable when a better or cheaper model becomes available. The methodology itself is model-agnostic by design.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Open Source Moat</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Built on and contributing to TradingAgents (open source). The moat is not secrecy but depth of methodology, quality of track record, and ecosystem integration that competitors cannot replicate quickly.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OpenBB Distribution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OpenBB Workspace as frontend, Oasis as the analytics backend. This decouples UI from analytics, reaches the entire OpenBB developer-quant user base, and removes frontend quality as a constraint on adoption.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Proprietary Data</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Every signal generated, every thesis produced, every pair trade flagged is a loggable data point. Logging outcomes and building a verified backtested signal track record creates proprietary data that grows in value over time.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LLM-Agnostic Design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OpenRouter routing already provides model fallback. Extending to local models via Ollama eliminates API dependency for routine tasks. Methodology and UX remain unchanged regardless of which model is underneath.</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4. Customer Segments</w:t>
      </w:r>
    </w:p>
    <w:p>
      <w:pPr>
        <w:spacing w:after="80" w:before="60" w:line="320"/>
        <w:jc w:val="left"/>
      </w:pPr>
      <w:r>
        <w:rPr>
          <w:rFonts w:ascii="Arial" w:cs="Arial" w:eastAsia="Arial" w:hAnsi="Arial"/>
          <w:b w:val="false"/>
          <w:bCs w:val="false"/>
          <w:i w:val="false"/>
          <w:iCs w:val="false"/>
          <w:color w:val="1E293B"/>
          <w:sz w:val="22"/>
          <w:szCs w:val="22"/>
        </w:rPr>
        <w:t xml:space="preserve">Four distinct segments with different tool footprints, spending levels, and pain points. Each represents a distinct use case and willingness-to-pay profile.</w:t>
      </w:r>
    </w:p>
    <w:p>
      <w:pPr>
        <w:spacing w:after="100" w:before="100"/>
      </w:pPr>
      <w:r>
        <w:t xml:space="preserve"/>
      </w:r>
    </w:p>
    <w:p>
      <w:pPr>
        <w:pStyle w:val="Heading2"/>
        <w:spacing w:after="100" w:before="300"/>
      </w:pPr>
      <w:r>
        <w:rPr>
          <w:rFonts w:ascii="Arial" w:cs="Arial" w:eastAsia="Arial" w:hAnsi="Arial"/>
          <w:b/>
          <w:bCs/>
          <w:color w:val="0E4F82"/>
          <w:sz w:val="27"/>
          <w:szCs w:val="27"/>
        </w:rPr>
        <w:t xml:space="preserve">4.1 Independent Quant / Developer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Attribute</w:t>
            </w:r>
          </w:p>
        </w:tc>
        <w:tc>
          <w:tcPr>
            <w:tcW w:type="dxa" w:w="716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Profile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Software engineer or data scientist who trades systematically on the side or builds algorithmic strategies. Strong in Python/data; does not want to build a full research UI from scratch.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Annual Tech Spend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$0–$1,500 (yfinance free, OpenBB free, occasionally Polygon.io or Alpaca)</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Current Tool Stack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yfinance · Pandas · OpenBB Terminal · Alpaca Markets API · Jupyter Notebooks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Key Pain Points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Time-consuming to assemble a complete research stack. No portfolio optimisation layer. No institutional 13F data. No multi-agent reasoning for signal generation.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Oasis Value Prop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Pre-built quant stack with BL, Kelly, pairs trading, and 13F analytics. OpenBB integration means no frontend to build. Extend and customise via FastAPI.</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Willingness to Pay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$0 (open source, self-hosted) to $20–$50/mo for managed cloud hosting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Segment Size (est.)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Large — 200,000+ developers globally building on Python financial data stacks</w:t>
            </w:r>
          </w:p>
        </w:tc>
      </w:tr>
    </w:tbl>
    <w:p>
      <w:pPr>
        <w:spacing w:after="140" w:before="140"/>
      </w:pPr>
      <w:r>
        <w:t xml:space="preserve"/>
      </w:r>
    </w:p>
    <w:p>
      <w:pPr>
        <w:pStyle w:val="Heading2"/>
        <w:spacing w:after="100" w:before="300"/>
      </w:pPr>
      <w:r>
        <w:rPr>
          <w:rFonts w:ascii="Arial" w:cs="Arial" w:eastAsia="Arial" w:hAnsi="Arial"/>
          <w:b/>
          <w:bCs/>
          <w:color w:val="0E4F82"/>
          <w:sz w:val="27"/>
          <w:szCs w:val="27"/>
        </w:rPr>
        <w:t xml:space="preserve">4.2 Self-Directed HNW Investor / Family Office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Attribute</w:t>
            </w:r>
          </w:p>
        </w:tc>
        <w:tc>
          <w:tcPr>
            <w:tcW w:type="dxa" w:w="716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Profile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Manages $500K–$10M+ of personal or family capital. Financially sophisticated, reads 13F filings and SEC documents, runs own positions. Wants institutional tools without Bloomberg pricing.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Annual Tech Spend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$1,800–$27,000 (Koyfin $1,200–$2,400 + TIKR $240–$480 + TradingView $360–$720; Bloomberg for family offices $24,240)</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Current Tool Stack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Koyfin · TIKR · TradingView · Bloomberg (if family office) · SEC EDGAR direct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Key Pain Points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Bloomberg is expensive with many unused features. Koyfin lacks portfolio construction. No systematic pairs/stat arb available at this price tier. No AI-driven signal generation.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Oasis Value Prop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Institutional methodology (BL optimisation, Kelly sizing, Kalman pairs) at ~$2,640/yr production infrastructure cost. 13F analytics replaces manual EDGAR research.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Willingness to Pay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$100–$300/mo for a managed, polished version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Segment Size (est.)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Medium — 1–3M HNW self-directed investors globally</w:t>
            </w:r>
          </w:p>
        </w:tc>
      </w:tr>
    </w:tbl>
    <w:p>
      <w:pPr>
        <w:spacing w:after="140" w:before="140"/>
      </w:pPr>
      <w:r>
        <w:t xml:space="preserve"/>
      </w:r>
    </w:p>
    <w:p>
      <w:pPr>
        <w:pStyle w:val="Heading2"/>
        <w:spacing w:after="100" w:before="300"/>
      </w:pPr>
      <w:r>
        <w:rPr>
          <w:rFonts w:ascii="Arial" w:cs="Arial" w:eastAsia="Arial" w:hAnsi="Arial"/>
          <w:b/>
          <w:bCs/>
          <w:color w:val="0E4F82"/>
          <w:sz w:val="27"/>
          <w:szCs w:val="27"/>
        </w:rPr>
        <w:t xml:space="preserve">4.3 RIA / Boutique Fund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Attribute</w:t>
            </w:r>
          </w:p>
        </w:tc>
        <w:tc>
          <w:tcPr>
            <w:tcW w:type="dxa" w:w="716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Profile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Manages $10M–$500M AUM with fiduciary duty to clients. Requires audit trail for investment decisions, compliance-ready reporting, and a repeatable, documented process.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Annual Tech Spend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$12,000–$25,000 (FactSet or Bloomberg Terminal, often both)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Current Tool Stack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Bloomberg Terminal · FactSet · Morningstar · Excel/VBA · Portfolio management software</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Key Pain Points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High cost for features not used. Bloomberg’s AI capabilities are limited and bolted on. No open methodology — hard to audit or explain decisions to clients or regulators.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Oasis Value Prop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80–90% of institutional methodology at 10–20% of cost. Multi-agent AI debate produces an auditable reasoning chain. BL optimisation with documented views satisfies fiduciary process requirements.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Willingness to Pay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$500–$2,000/mo for an auditable, compliant, managed version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Segment Size (est.)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Targeted — 15,000 RIA firms in the US; boutique hedge funds globally add 10,000+</w:t>
            </w:r>
          </w:p>
        </w:tc>
      </w:tr>
    </w:tbl>
    <w:p>
      <w:pPr>
        <w:spacing w:after="140" w:before="140"/>
      </w:pPr>
      <w:r>
        <w:t xml:space="preserve"/>
      </w:r>
    </w:p>
    <w:p>
      <w:pPr>
        <w:pStyle w:val="Heading2"/>
        <w:spacing w:after="100" w:before="300"/>
      </w:pPr>
      <w:r>
        <w:rPr>
          <w:rFonts w:ascii="Arial" w:cs="Arial" w:eastAsia="Arial" w:hAnsi="Arial"/>
          <w:b/>
          <w:bCs/>
          <w:color w:val="0E4F82"/>
          <w:sz w:val="27"/>
          <w:szCs w:val="27"/>
        </w:rPr>
        <w:t xml:space="preserve">4.4 Active / Technical Retail Trader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Attribute</w:t>
            </w:r>
          </w:p>
        </w:tc>
        <w:tc>
          <w:tcPr>
            <w:tcW w:type="dxa" w:w="716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r>
              <w:rPr>
                <w:rFonts w:ascii="Arial" w:cs="Arial" w:eastAsia="Arial" w:hAnsi="Arial"/>
                <w:b/>
                <w:bCs/>
                <w:color w:val="FFFFFF"/>
                <w:sz w:val="19"/>
                <w:szCs w:val="19"/>
              </w:rPr>
              <w:t xml:space="preserve">Detail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Profile</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Trades multiple times per week. Technically confident. Uses TA but wants to add a systematic quant layer. Likely already uses TradingView and a news platform.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Annual Tech Spend</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$500–$1,500 (TradingView $360–$720 + Benzinga Pro $444 + WallStreetZen up to $468)</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Current Tool Stack</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TradingView · Benzinga Pro · WallStreetZen · Reddit / Twitter for sentiment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Key Pain Points</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Charting tools do not help with portfolio allocation decisions. News tools lack systematic analysis framework. Options flow is scattered. No pairs trading at this price tier.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Oasis Value Prop</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Pairs trading screener, options flow and IV analysis, AI signal debate — all unavailable in current stack at this price point. Macro dashboard adds cross-asset context missing from TA-only approach.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Willingness to Pay</w:t>
            </w:r>
          </w:p>
        </w:tc>
        <w:tc>
          <w:tcPr>
            <w:tcW w:type="dxa" w:w="7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$20–$80/mo for a polished self-serve version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Segment Size (est.)</w:t>
            </w:r>
          </w:p>
        </w:tc>
        <w:tc>
          <w:tcPr>
            <w:tcW w:type="dxa" w:w="7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Very large — 10–15M active retail traders globally; 1–3M technically sophisticated subset</w:t>
            </w:r>
          </w:p>
        </w:tc>
      </w:tr>
    </w:tbl>
    <w:p>
      <w:pPr>
        <w:spacing w:after="140" w:before="14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5. Feature Inventory</w:t>
      </w:r>
    </w:p>
    <w:p>
      <w:pPr>
        <w:pStyle w:val="Heading2"/>
        <w:spacing w:after="100" w:before="300"/>
      </w:pPr>
      <w:r>
        <w:rPr>
          <w:rFonts w:ascii="Arial" w:cs="Arial" w:eastAsia="Arial" w:hAnsi="Arial"/>
          <w:b/>
          <w:bCs/>
          <w:color w:val="0E4F82"/>
          <w:sz w:val="27"/>
          <w:szCs w:val="27"/>
        </w:rPr>
        <w:t xml:space="preserve">5.1 Current Features (Live &amp;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60"/>
        <w:gridCol w:w="1300"/>
        <w:gridCol w:w="1120"/>
        <w:gridCol w:w="2380"/>
        <w:gridCol w:w="2600"/>
      </w:tblGrid>
      <w:tr>
        <w:tc>
          <w:tcPr>
            <w:tcW w:type="dxa" w:w="19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Feature</w:t>
            </w:r>
          </w:p>
        </w:tc>
        <w:tc>
          <w:tcPr>
            <w:tcW w:type="dxa" w:w="13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Category</w:t>
            </w:r>
          </w:p>
        </w:tc>
        <w:tc>
          <w:tcPr>
            <w:tcW w:type="dxa" w:w="11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c>
          <w:tcPr>
            <w:tcW w:type="dxa" w:w="23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Current Source</w:t>
            </w:r>
          </w:p>
        </w:tc>
        <w:tc>
          <w:tcPr>
            <w:tcW w:type="dxa" w:w="26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Production Source</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Macro Dashboard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Intelligence</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 CBOE · FRED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 WS · FRED</w:t>
            </w:r>
          </w:p>
        </w:tc>
      </w:tr>
      <w:tr>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Scanner (AI)</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Intelligence</w:t>
            </w:r>
          </w:p>
        </w:tc>
        <w:tc>
          <w:tcPr>
            <w:tcW w:type="dxa" w:w="1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 Claude Haiku</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 · Haiku / Ollama</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Portfolio Construct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 scipy optimiser</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 + TimescaleDB</w:t>
            </w:r>
          </w:p>
        </w:tc>
      </w:tr>
      <w:tr>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Benchmark (SPY/QQQ/DIA)</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Correlation Matrix</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Risk</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 numpy</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TimescaleDB precomputed</w:t>
            </w:r>
          </w:p>
        </w:tc>
      </w:tr>
      <w:tr>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Kelly Sizing</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 in-memory compute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TimescaleDB returns cache</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Rebalance Engine</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In-memory compute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Redis cached weights</w:t>
            </w:r>
          </w:p>
        </w:tc>
      </w:tr>
      <w:tr>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Institutions / 13F</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Institutional</w:t>
            </w:r>
          </w:p>
        </w:tc>
        <w:tc>
          <w:tcPr>
            <w:tcW w:type="dxa" w:w="1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SEC EDGAR (free)</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SEC EDGAR + Redis</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13F Cross-Fund Analytics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Institutional</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SEC EDGAR aggregated</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SEC EDGAR + Redis</w:t>
            </w:r>
          </w:p>
        </w:tc>
      </w:tr>
      <w:tr>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Valuation Scorecard</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Analytics</w:t>
            </w:r>
          </w:p>
        </w:tc>
        <w:tc>
          <w:tcPr>
            <w:tcW w:type="dxa" w:w="1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FRED · manual quarterly constants</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FRED · Nasdaq Data Link</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Reports Library</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Analytics</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 Live</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Markdown + Jinja2</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Same + S3 storage</w:t>
            </w:r>
          </w:p>
        </w:tc>
      </w:tr>
      <w:tr>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Options Action</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Intelligence</w:t>
            </w:r>
          </w:p>
        </w:tc>
        <w:tc>
          <w:tcPr>
            <w:tcW w:type="dxa" w:w="1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92400E"/>
                <w:sz w:val="20"/>
                <w:szCs w:val="20"/>
              </w:rPr>
              <w:t xml:space="preserve">◐ Beta</w:t>
            </w:r>
          </w:p>
        </w:tc>
        <w:tc>
          <w:tcPr>
            <w:tcW w:type="dxa" w:w="23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options chain</w:t>
            </w:r>
          </w:p>
        </w:tc>
        <w:tc>
          <w:tcPr>
            <w:tcW w:type="dxa" w:w="2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 Options (bundled)</w:t>
            </w:r>
          </w:p>
        </w:tc>
      </w:tr>
      <w:tr>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Pair Trades (RenTec)</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Risk</w:t>
            </w:r>
          </w:p>
        </w:tc>
        <w:tc>
          <w:tcPr>
            <w:tcW w:type="dxa" w:w="1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92400E"/>
                <w:sz w:val="20"/>
                <w:szCs w:val="20"/>
              </w:rPr>
              <w:t xml:space="preserve">◐ Beta</w:t>
            </w:r>
          </w:p>
        </w:tc>
        <w:tc>
          <w:tcPr>
            <w:tcW w:type="dxa" w:w="23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Synthetic + yfinance</w:t>
            </w:r>
          </w:p>
        </w:tc>
        <w:tc>
          <w:tcPr>
            <w:tcW w:type="dxa" w:w="2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 · scipy cointegration</w:t>
            </w:r>
          </w:p>
        </w:tc>
      </w:tr>
    </w:tbl>
    <w:p>
      <w:pPr>
        <w:spacing w:after="120" w:before="120"/>
      </w:pPr>
      <w:r>
        <w:t xml:space="preserve"/>
      </w:r>
    </w:p>
    <w:p>
      <w:pPr>
        <w:pStyle w:val="Heading2"/>
        <w:spacing w:after="100" w:before="300"/>
      </w:pPr>
      <w:r>
        <w:rPr>
          <w:rFonts w:ascii="Arial" w:cs="Arial" w:eastAsia="Arial" w:hAnsi="Arial"/>
          <w:b/>
          <w:bCs/>
          <w:color w:val="0E4F82"/>
          <w:sz w:val="27"/>
          <w:szCs w:val="27"/>
        </w:rPr>
        <w:t xml:space="preserve">5.2 Planned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1500"/>
        <w:gridCol w:w="4660"/>
      </w:tblGrid>
      <w:tr>
        <w:tc>
          <w:tcPr>
            <w:tcW w:type="dxa" w:w="21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Feature</w:t>
            </w:r>
          </w:p>
        </w:tc>
        <w:tc>
          <w:tcPr>
            <w:tcW w:type="dxa" w:w="11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Priority</w:t>
            </w:r>
          </w:p>
        </w:tc>
        <w:tc>
          <w:tcPr>
            <w:tcW w:type="dxa" w:w="15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Phase</w:t>
            </w:r>
          </w:p>
        </w:tc>
        <w:tc>
          <w:tcPr>
            <w:tcW w:type="dxa" w:w="46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Real-Time Price Feed</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91B1B"/>
                <w:sz w:val="20"/>
                <w:szCs w:val="20"/>
              </w:rPr>
              <w:t xml:space="preserve">P0</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Polygon.io WebSocket replacing HTTP polling. Sub-second price updates for all watched tickers. Eliminates the primary latency bottleneck.</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Redis Cache Layer</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91B1B"/>
                <w:sz w:val="20"/>
                <w:szCs w:val="20"/>
              </w:rPr>
              <w:t xml:space="preserve">P0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w:t>
            </w:r>
          </w:p>
        </w:tc>
        <w:tc>
          <w:tcPr>
            <w:tcW w:type="dxa" w:w="4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Redis replaces in-memory Python dict. Per-key TTLs, pub/sub for WebSocket fanout. Cache hit rate target: &gt;90% for repeated dashboard loads.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APScheduler Jobs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91B1B"/>
                <w:sz w:val="20"/>
                <w:szCs w:val="20"/>
              </w:rPr>
              <w:t xml:space="preserve">P0</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Background pre-computation of expensive endpoints. Signals, scorecard, and macro pre-computed nightly so first load is instant.</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OpenBB Integration</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91B1B"/>
                <w:sz w:val="20"/>
                <w:szCs w:val="20"/>
              </w:rPr>
              <w:t xml:space="preserve">P0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w:t>
            </w:r>
          </w:p>
        </w:tc>
        <w:tc>
          <w:tcPr>
            <w:tcW w:type="dxa" w:w="4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widgets.json + apps.json + CORS update. All Oasis endpoints exposed as native OpenBB Workspace widgets across 6 tabs.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TimescaleDB History</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P1</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2</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5-year OHLCV stored in TimescaleDB. Eliminates all re-fetch latency on historical queries. Backfill on startup from Polygon.io.</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Earnings Calendar</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P1</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EPS estimates, revenue, beat/miss tracking. Polygon.io earnings endpoint (bundled in the $199/mo plan).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News + Sentiment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P1</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2</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Polygon.io news feed with Haiku-powered per-ticker sentiment scoring and configurable alert thresholds.</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Outcome Logging</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P1</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2</w:t>
            </w:r>
          </w:p>
        </w:tc>
        <w:tc>
          <w:tcPr>
            <w:tcW w:type="dxa" w:w="4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Every AI signal logged with timestamp, thesis, and subsequent price action. Builds proprietary track record and data moat.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Local Model Support</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P2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3</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Ollama integration for Llama 3.1 8B. Routine analysis runs locally, eliminating API cost and third-party dependency.</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Backtested Track Record</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P2</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3</w:t>
            </w:r>
          </w:p>
        </w:tc>
        <w:tc>
          <w:tcPr>
            <w:tcW w:type="dxa" w:w="4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Signal quality dashboard: precision, recall, average return per signal at 30/90 days. Core proprietary data asset.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Alerts Engine</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P2</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3</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User-defined price, Z-score, and macro threshold alerts delivered via email or webhook.</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Crypto Data Feed</w:t>
            </w:r>
          </w:p>
        </w:tc>
        <w:tc>
          <w:tcPr>
            <w:tcW w:type="dxa" w:w="1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4A3B8"/>
                <w:sz w:val="20"/>
                <w:szCs w:val="20"/>
              </w:rPr>
              <w:t xml:space="preserve">P3</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Future</w:t>
            </w:r>
          </w:p>
        </w:tc>
        <w:tc>
          <w:tcPr>
            <w:tcW w:type="dxa" w:w="4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Bitcoin, Ethereum, and top-cap crypto via Polygon.io crypto endpoint (included in existing plan) or CCXT aggregator. Crypto-equity pairs analysis, BTC/DXY/risk-asset spread monitoring, and macro correlation view vs. equities and commodities.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Commodities &amp; Futures</w:t>
            </w:r>
          </w:p>
        </w:tc>
        <w:tc>
          <w:tcPr>
            <w:tcW w:type="dxa" w:w="1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4A3B8"/>
                <w:sz w:val="20"/>
                <w:szCs w:val="20"/>
              </w:rPr>
              <w:t xml:space="preserve">P3</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Future</w:t>
            </w:r>
          </w:p>
        </w:tc>
        <w:tc>
          <w:tcPr>
            <w:tcW w:type="dxa" w:w="4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WTI crude, Brent, Natural Gas, Gold, Silver, and major CME futures contracts via Polygon.io or Nasdaq Data Link. Commodity exposure analysis, futures curve visualisation, and commodity-equity pair screens (e.g. oil majors vs. WTI futures).</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6. Competitive Landscape</w:t>
      </w:r>
    </w:p>
    <w:p>
      <w:pPr>
        <w:spacing w:after="80" w:before="60" w:line="320"/>
        <w:jc w:val="left"/>
      </w:pPr>
      <w:r>
        <w:rPr>
          <w:rFonts w:ascii="Arial" w:cs="Arial" w:eastAsia="Arial" w:hAnsi="Arial"/>
          <w:b w:val="false"/>
          <w:bCs w:val="false"/>
          <w:i w:val="false"/>
          <w:iCs w:val="false"/>
          <w:color w:val="1E293B"/>
          <w:sz w:val="22"/>
          <w:szCs w:val="22"/>
        </w:rPr>
        <w:t xml:space="preserve">Oasis occupies an uncontested position at the intersection of institutional quant methodology, open-source customisability, and prosumer pricing. The table below maps key competitors across dimensions relevant to Oasis’s target users. ● Full  ◐ Partial  ○ None.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40"/>
        <w:gridCol w:w="800"/>
        <w:gridCol w:w="800"/>
        <w:gridCol w:w="800"/>
        <w:gridCol w:w="800"/>
        <w:gridCol w:w="800"/>
        <w:gridCol w:w="800"/>
        <w:gridCol w:w="840"/>
      </w:tblGrid>
      <w:tr>
        <w:tc>
          <w:tcPr>
            <w:tcW w:type="dxa" w:w="16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Tool</w:t>
            </w:r>
          </w:p>
        </w:tc>
        <w:tc>
          <w:tcPr>
            <w:tcW w:type="dxa" w:w="124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Pricing / yr</w:t>
            </w:r>
          </w:p>
        </w:tc>
        <w:tc>
          <w:tcPr>
            <w:tcW w:type="dxa" w:w="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RT Data</w:t>
            </w:r>
          </w:p>
        </w:tc>
        <w:tc>
          <w:tcPr>
            <w:tcW w:type="dxa" w:w="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AI</w:t>
            </w:r>
          </w:p>
        </w:tc>
        <w:tc>
          <w:tcPr>
            <w:tcW w:type="dxa" w:w="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Portfolio</w:t>
            </w:r>
          </w:p>
        </w:tc>
        <w:tc>
          <w:tcPr>
            <w:tcW w:type="dxa" w:w="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Pairs</w:t>
            </w:r>
          </w:p>
        </w:tc>
        <w:tc>
          <w:tcPr>
            <w:tcW w:type="dxa" w:w="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13F</w:t>
            </w:r>
          </w:p>
        </w:tc>
        <w:tc>
          <w:tcPr>
            <w:tcW w:type="dxa" w:w="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Open Src</w:t>
            </w:r>
          </w:p>
        </w:tc>
        <w:tc>
          <w:tcPr>
            <w:tcW w:type="dxa" w:w="84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Best For</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Bloomberg Terminal</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$24,240</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Institutional</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LSEG Workspace</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$3,600–$22,000</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Institutional</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FactSet</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~$12,000</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Fund Managers</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Koyfin</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$0–$2,400</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HNW / RIA</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Benzinga Pro</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$444+</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Day Traders</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TradingView</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$0–$720</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Technical</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TIKR</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$0–$480</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Screening</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WallStreetZen</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$0–$468</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Retail</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NowNews</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€180–€720</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News / AI</w:t>
            </w:r>
          </w:p>
        </w:tc>
      </w:tr>
      <w:tr>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OpenBB</w:t>
            </w:r>
          </w:p>
        </w:tc>
        <w:tc>
          <w:tcPr>
            <w:tcW w:type="dxa" w:w="12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Free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8FAFC"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Dev / Quant</w:t>
            </w:r>
          </w:p>
        </w:tc>
      </w:tr>
      <w:tr>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Finbox</w:t>
            </w:r>
          </w:p>
        </w:tc>
        <w:tc>
          <w:tcPr>
            <w:tcW w:type="dxa" w:w="12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$0–$99/mo</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2400E"/>
                <w:sz w:val="20"/>
                <w:szCs w:val="20"/>
              </w:rPr>
              <w:t xml:space="preserve">◐</w:t>
            </w:r>
          </w:p>
        </w:tc>
        <w:tc>
          <w:tcPr>
            <w:tcW w:type="dxa" w:w="800"/>
            <w:tcBorders>
              <w:top w:val="single" w:color="CBD5E1" w:sz="1"/>
              <w:left w:val="single" w:color="CBD5E1" w:sz="1"/>
              <w:bottom w:val="single" w:color="CBD5E1" w:sz="1"/>
              <w:right w:val="single" w:color="CBD5E1" w:sz="1"/>
            </w:tcBorders>
            <w:shd w:fill="FFFFFF"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Valuation / DCF</w:t>
            </w:r>
          </w:p>
        </w:tc>
      </w:tr>
      <w:tr>
        <w:tc>
          <w:tcPr>
            <w:tcW w:type="dxa" w:w="168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Oasis (Current)</w:t>
            </w:r>
          </w:p>
        </w:tc>
        <w:tc>
          <w:tcPr>
            <w:tcW w:type="dxa" w:w="124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 self-hosted</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94A3B8"/>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4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Quant / Dev</w:t>
            </w:r>
          </w:p>
        </w:tc>
      </w:tr>
      <w:tr>
        <w:tc>
          <w:tcPr>
            <w:tcW w:type="dxa" w:w="168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Oasis (Prod)</w:t>
            </w:r>
          </w:p>
        </w:tc>
        <w:tc>
          <w:tcPr>
            <w:tcW w:type="dxa" w:w="124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~$2,640/yr infra</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00"/>
            <w:tcBorders>
              <w:top w:val="single" w:color="CBD5E1" w:sz="1"/>
              <w:left w:val="single" w:color="CBD5E1" w:sz="1"/>
              <w:bottom w:val="single" w:color="CBD5E1" w:sz="1"/>
              <w:right w:val="single" w:color="CBD5E1" w:sz="1"/>
            </w:tcBorders>
            <w:shd w:fill="E8F5FD" w:val="clear"/>
            <w:tcMar>
              <w:top w:type="dxa" w:w="60"/>
              <w:left w:type="dxa" w:w="60"/>
              <w:bottom w:type="dxa" w:w="60"/>
              <w:right w:type="dxa" w:w="60"/>
            </w:tcMar>
            <w:vAlign w:val="center"/>
          </w:tcPr>
          <w:p>
            <w:pPr>
              <w:jc w:val="center"/>
            </w:pPr>
            <w:r>
              <w:rPr>
                <w:rFonts w:ascii="Arial" w:cs="Arial" w:eastAsia="Arial" w:hAnsi="Arial"/>
                <w:b/>
                <w:bCs/>
                <w:color w:val="166534"/>
                <w:sz w:val="20"/>
                <w:szCs w:val="20"/>
              </w:rPr>
              <w:t xml:space="preserve">●</w:t>
            </w:r>
          </w:p>
        </w:tc>
        <w:tc>
          <w:tcPr>
            <w:tcW w:type="dxa" w:w="84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Quant / HNW</w:t>
            </w:r>
          </w:p>
        </w:tc>
      </w:tr>
    </w:tbl>
    <w:p>
      <w:pPr>
        <w:spacing w:after="120" w:before="120"/>
      </w:pPr>
      <w:r>
        <w:t xml:space="preserve"/>
      </w:r>
    </w:p>
    <w:p>
      <w:pPr>
        <w:pStyle w:val="Heading2"/>
        <w:spacing w:after="100" w:before="300"/>
      </w:pPr>
      <w:r>
        <w:rPr>
          <w:rFonts w:ascii="Arial" w:cs="Arial" w:eastAsia="Arial" w:hAnsi="Arial"/>
          <w:b/>
          <w:bCs/>
          <w:color w:val="0E4F82"/>
          <w:sz w:val="27"/>
          <w:szCs w:val="27"/>
        </w:rPr>
        <w:t xml:space="preserve">6.1 Positioning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166534" w:val="clear"/>
            <w:tcMar>
              <w:top w:type="dxa" w:w="100"/>
              <w:left w:type="dxa" w:w="130"/>
              <w:bottom w:type="dxa" w:w="100"/>
              <w:right w:type="dxa" w:w="130"/>
            </w:tcMar>
            <w:vAlign w:val="center"/>
          </w:tcPr>
          <w:p>
            <w:r>
              <w:rPr>
                <w:rFonts w:ascii="Arial" w:cs="Arial" w:eastAsia="Arial" w:hAnsi="Arial"/>
                <w:b/>
                <w:bCs/>
                <w:color w:val="FFFFFF"/>
                <w:sz w:val="19"/>
                <w:szCs w:val="19"/>
              </w:rPr>
              <w:t xml:space="preserve">Strength</w:t>
            </w:r>
          </w:p>
        </w:tc>
        <w:tc>
          <w:tcPr>
            <w:tcW w:type="dxa" w:w="7360"/>
            <w:tcBorders>
              <w:top w:val="single" w:color="CBD5E1" w:sz="1"/>
              <w:left w:val="single" w:color="CBD5E1" w:sz="1"/>
              <w:bottom w:val="single" w:color="CBD5E1" w:sz="1"/>
              <w:right w:val="single" w:color="CBD5E1" w:sz="1"/>
            </w:tcBorders>
            <w:shd w:fill="166534" w:val="clear"/>
            <w:tcMar>
              <w:top w:type="dxa" w:w="100"/>
              <w:left w:type="dxa" w:w="130"/>
              <w:bottom w:type="dxa" w:w="100"/>
              <w:right w:type="dxa" w:w="130"/>
            </w:tcMar>
            <w:vAlign w:val="center"/>
          </w:tcPr>
          <w:p>
            <w:r>
              <w:rPr>
                <w:rFonts w:ascii="Arial" w:cs="Arial" w:eastAsia="Arial" w:hAnsi="Arial"/>
                <w:b/>
                <w:bCs/>
                <w:color w:val="FFFFFF"/>
                <w:sz w:val="19"/>
                <w:szCs w:val="19"/>
              </w:rPr>
              <w:t xml:space="preserve">Detail</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Unique Methodology</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Only tool combining Black-Litterman portfolio construction, Kalman-filter pairs trading, and multi-agent AI debate signal analysis in a single open-source system at this price tier.</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Cost Advantage</w:t>
            </w:r>
          </w:p>
        </w:tc>
        <w:tc>
          <w:tcPr>
            <w:tcW w:type="dxa" w:w="7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~90% cheaper than Bloomberg and FactSet. ~$2,640/yr infrastructure cost vs $12,000–$24,240/yr for nearest comparable institutional tools.</w:t>
            </w:r>
          </w:p>
        </w:tc>
      </w:tr>
      <w:tr>
        <w:tc>
          <w:tcPr>
            <w:tcW w:type="dxa" w:w="20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OpenBB Ecosystem</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Only platform in this list actively building as an OpenBB Workspace plugin. Immediate access to the developer-quant community with no frontend rebuild cost.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991B1B" w:val="clear"/>
            <w:tcMar>
              <w:top w:type="dxa" w:w="100"/>
              <w:left w:type="dxa" w:w="130"/>
              <w:bottom w:type="dxa" w:w="100"/>
              <w:right w:type="dxa" w:w="130"/>
            </w:tcMar>
            <w:vAlign w:val="center"/>
          </w:tcPr>
          <w:p>
            <w:r>
              <w:rPr>
                <w:rFonts w:ascii="Arial" w:cs="Arial" w:eastAsia="Arial" w:hAnsi="Arial"/>
                <w:b/>
                <w:bCs/>
                <w:color w:val="FFFFFF"/>
                <w:sz w:val="19"/>
                <w:szCs w:val="19"/>
              </w:rPr>
              <w:t xml:space="preserve">Gap</w:t>
            </w:r>
          </w:p>
        </w:tc>
        <w:tc>
          <w:tcPr>
            <w:tcW w:type="dxa" w:w="7360"/>
            <w:tcBorders>
              <w:top w:val="single" w:color="CBD5E1" w:sz="1"/>
              <w:left w:val="single" w:color="CBD5E1" w:sz="1"/>
              <w:bottom w:val="single" w:color="CBD5E1" w:sz="1"/>
              <w:right w:val="single" w:color="CBD5E1" w:sz="1"/>
            </w:tcBorders>
            <w:shd w:fill="991B1B" w:val="clear"/>
            <w:tcMar>
              <w:top w:type="dxa" w:w="100"/>
              <w:left w:type="dxa" w:w="130"/>
              <w:bottom w:type="dxa" w:w="100"/>
              <w:right w:type="dxa" w:w="130"/>
            </w:tcMar>
            <w:vAlign w:val="center"/>
          </w:tcPr>
          <w:p>
            <w:r>
              <w:rPr>
                <w:rFonts w:ascii="Arial" w:cs="Arial" w:eastAsia="Arial" w:hAnsi="Arial"/>
                <w:b/>
                <w:bCs/>
                <w:color w:val="FFFFFF"/>
                <w:sz w:val="19"/>
                <w:szCs w:val="19"/>
              </w:rPr>
              <w:t xml:space="preserve">Detail</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No Technical Analysis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TradingView dominates charting. Oasis is a research and portfolio layer — a complement to TradingView, not a replacement. No candlestick charts or drawing tools.</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No News Feed (yet)</w:t>
            </w:r>
          </w:p>
        </w:tc>
        <w:tc>
          <w:tcPr>
            <w:tcW w:type="dxa" w:w="7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Bloomberg, Benzinga, and NowNews own real-time news. Polygon.io news endpoint (bundled in $199/mo plan) closes most of this gap in Phase 2.</w:t>
            </w:r>
          </w:p>
        </w:tc>
      </w:tr>
      <w:tr>
        <w:tc>
          <w:tcPr>
            <w:tcW w:type="dxa" w:w="2000"/>
            <w:tcBorders>
              <w:top w:val="single" w:color="CBD5E1" w:sz="1"/>
              <w:left w:val="single" w:color="CBD5E1" w:sz="1"/>
              <w:bottom w:val="single" w:color="CBD5E1" w:sz="1"/>
              <w:right w:val="single" w:color="CBD5E1" w:sz="1"/>
            </w:tcBorders>
            <w:shd w:fill="FEE2E2"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Fundamentals Depth</w:t>
            </w:r>
          </w:p>
        </w:tc>
        <w:tc>
          <w:tcPr>
            <w:tcW w:type="dxa" w:w="7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TIKR and WallStreetZen have deeper global financials. Nasdaq Data Link free tier would address this without added cost.</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7. Technical Architecture</w:t>
      </w:r>
    </w:p>
    <w:p>
      <w:pPr>
        <w:pStyle w:val="Heading2"/>
        <w:spacing w:after="100" w:before="300"/>
      </w:pPr>
      <w:r>
        <w:rPr>
          <w:rFonts w:ascii="Arial" w:cs="Arial" w:eastAsia="Arial" w:hAnsi="Arial"/>
          <w:b/>
          <w:bCs/>
          <w:color w:val="0E4F82"/>
          <w:sz w:val="27"/>
          <w:szCs w:val="27"/>
        </w:rPr>
        <w:t xml:space="preserve">7.1 Stack: Current vs.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Layer</w:t>
            </w:r>
          </w:p>
        </w:tc>
        <w:tc>
          <w:tcPr>
            <w:tcW w:type="dxa" w:w="37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Current (Prototype)</w:t>
            </w:r>
          </w:p>
        </w:tc>
        <w:tc>
          <w:tcPr>
            <w:tcW w:type="dxa" w:w="37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Production Target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Data Feed</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HTTP polling (15–60s delay, rate limits)</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Polygon.io WebSocket (sub-second, no rate limits)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Cache</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In-memory Python dict — cleared on restart</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Redis with per-key TTLs (Upstash or self-hosted)</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Database</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None — re-fetched on every request</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TimescaleDB: 5yr OHLCV, partitioned by ticker + date</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Background Jobs</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None — on-demand only (slow first load)</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APScheduler: nightly signal pre-compute and scorecard refresh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Streaming</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HTTP polling only</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Kafka / Redpanda → TimescaleDB writer + WebSocket broadcaster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AI / LLM</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Claude Haiku via Anthropic API (OpenRouter fallback)</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Same + Ollama local models (Llama 3.1 8B) for routine tasks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Backend</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FastAPI single process, localhost:8765</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FastAPI + uvicorn workers + nginx, Hetzner CX41 VPS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Frontend</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Next.js TradingDesk-preview portal</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OpenBB Workspace (primary) + Next.js (secondary)</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Data Abstraction</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yfinance direct calls scattered across endpoints</w:t>
            </w:r>
          </w:p>
        </w:tc>
        <w:tc>
          <w:tcPr>
            <w:tcW w:type="dxa" w:w="37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ODP Python / Polygon.io SDK as unified data layer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Macro Data</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FRED API (free) + CBOE VIX direct endpoint</w:t>
            </w:r>
          </w:p>
        </w:tc>
        <w:tc>
          <w:tcPr>
            <w:tcW w:type="dxa" w:w="37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Same + Nasdaq Data Link for fundamentals enrichment</w:t>
            </w:r>
          </w:p>
        </w:tc>
      </w:tr>
    </w:tbl>
    <w:p>
      <w:pPr>
        <w:spacing w:after="160" w:before="160"/>
      </w:pPr>
      <w:r>
        <w:t xml:space="preserve"/>
      </w:r>
    </w:p>
    <w:p>
      <w:pPr>
        <w:pStyle w:val="Heading1"/>
        <w:pBdr>
          <w:bottom w:val="single" w:color="0EA5E9" w:sz="5" w:space="5"/>
        </w:pBdr>
        <w:spacing w:after="60" w:before="440"/>
      </w:pPr>
      <w:r>
        <w:rPr>
          <w:rFonts w:ascii="Arial" w:cs="Arial" w:eastAsia="Arial" w:hAnsi="Arial"/>
          <w:b/>
          <w:bCs/>
          <w:color w:val="0F172A"/>
          <w:sz w:val="34"/>
          <w:szCs w:val="34"/>
        </w:rPr>
        <w:t xml:space="preserve">8. OpenBB Integration Strategy</w:t>
      </w:r>
    </w:p>
    <w:p>
      <w:pPr>
        <w:spacing w:after="80" w:before="60" w:line="320"/>
        <w:jc w:val="left"/>
      </w:pPr>
      <w:r>
        <w:rPr>
          <w:rFonts w:ascii="Arial" w:cs="Arial" w:eastAsia="Arial" w:hAnsi="Arial"/>
          <w:b w:val="false"/>
          <w:bCs w:val="false"/>
          <w:i w:val="false"/>
          <w:iCs w:val="false"/>
          <w:color w:val="1E293B"/>
          <w:sz w:val="22"/>
          <w:szCs w:val="22"/>
        </w:rPr>
        <w:t xml:space="preserve">OpenBB Workspace is an open-source professional quant terminal with native charting, multi-asset screeners, and a large developer-quant user base. Oasis integrates as a custom backend via the OpenBB widget manifest protocol — no new frontend engineering required.</w:t>
      </w:r>
    </w:p>
    <w:p>
      <w:pPr>
        <w:spacing w:after="80" w:before="80"/>
      </w:pPr>
      <w:r>
        <w:t xml:space="preserve"/>
      </w:r>
    </w:p>
    <w:p>
      <w:pPr>
        <w:pStyle w:val="Heading2"/>
        <w:spacing w:after="100" w:before="300"/>
      </w:pPr>
      <w:r>
        <w:rPr>
          <w:rFonts w:ascii="Arial" w:cs="Arial" w:eastAsia="Arial" w:hAnsi="Arial"/>
          <w:b/>
          <w:bCs/>
          <w:color w:val="0E4F82"/>
          <w:sz w:val="27"/>
          <w:szCs w:val="27"/>
        </w:rPr>
        <w:t xml:space="preserve">8.1 Integration Steps</w:t>
      </w:r>
    </w:p>
    <w:p>
      <w:pPr>
        <w:pStyle w:val="ListParagraph"/>
        <w:numPr>
          <w:ilvl w:val="0"/>
          <w:numId w:val="2"/>
        </w:numPr>
        <w:spacing w:after="40" w:before="40"/>
      </w:pPr>
      <w:r>
        <w:rPr>
          <w:rFonts w:ascii="Arial" w:cs="Arial" w:eastAsia="Arial" w:hAnsi="Arial"/>
          <w:color w:val="1E293B"/>
          <w:sz w:val="22"/>
          <w:szCs w:val="22"/>
        </w:rPr>
        <w:t xml:space="preserve">Add https://pro.openbb.co to CORS origins in desk_server/app.py</w:t>
      </w:r>
    </w:p>
    <w:p>
      <w:pPr>
        <w:pStyle w:val="ListParagraph"/>
        <w:numPr>
          <w:ilvl w:val="0"/>
          <w:numId w:val="2"/>
        </w:numPr>
        <w:spacing w:after="40" w:before="40"/>
      </w:pPr>
      <w:r>
        <w:rPr>
          <w:rFonts w:ascii="Arial" w:cs="Arial" w:eastAsia="Arial" w:hAnsi="Arial"/>
          <w:color w:val="1E293B"/>
          <w:sz w:val="22"/>
          <w:szCs w:val="22"/>
        </w:rPr>
        <w:t xml:space="preserve">Create desk_server/widgets.json — maps all Oasis endpoints to OpenBB widget types (table, metric, markdown, chart)</w:t>
      </w:r>
    </w:p>
    <w:p>
      <w:pPr>
        <w:pStyle w:val="ListParagraph"/>
        <w:numPr>
          <w:ilvl w:val="0"/>
          <w:numId w:val="2"/>
        </w:numPr>
        <w:spacing w:after="40" w:before="40"/>
      </w:pPr>
      <w:r>
        <w:rPr>
          <w:rFonts w:ascii="Arial" w:cs="Arial" w:eastAsia="Arial" w:hAnsi="Arial"/>
          <w:color w:val="1E293B"/>
          <w:sz w:val="22"/>
          <w:szCs w:val="22"/>
        </w:rPr>
        <w:t xml:space="preserve">Create desk_server/apps.json — defines 6-tab layout: Research, Portfolio, Macro, Strategies, Institutions, Valuation</w:t>
      </w:r>
    </w:p>
    <w:p>
      <w:pPr>
        <w:pStyle w:val="ListParagraph"/>
        <w:numPr>
          <w:ilvl w:val="0"/>
          <w:numId w:val="2"/>
        </w:numPr>
        <w:spacing w:after="40" w:before="40"/>
      </w:pPr>
      <w:r>
        <w:rPr>
          <w:rFonts w:ascii="Arial" w:cs="Arial" w:eastAsia="Arial" w:hAnsi="Arial"/>
          <w:color w:val="1E293B"/>
          <w:sz w:val="22"/>
          <w:szCs w:val="22"/>
        </w:rPr>
        <w:t xml:space="preserve">Add GET /widgets.json and GET /apps.json to app.py</w:t>
      </w:r>
    </w:p>
    <w:p>
      <w:pPr>
        <w:pStyle w:val="ListParagraph"/>
        <w:numPr>
          <w:ilvl w:val="0"/>
          <w:numId w:val="2"/>
        </w:numPr>
        <w:spacing w:after="40" w:before="40"/>
      </w:pPr>
      <w:r>
        <w:rPr>
          <w:rFonts w:ascii="Arial" w:cs="Arial" w:eastAsia="Arial" w:hAnsi="Arial"/>
          <w:color w:val="1E293B"/>
          <w:sz w:val="22"/>
          <w:szCs w:val="22"/>
        </w:rPr>
        <w:t xml:space="preserve">Convert POST-only endpoints to GET equivalents for OpenBB table widget compatibility</w:t>
      </w:r>
    </w:p>
    <w:p>
      <w:pPr>
        <w:pStyle w:val="ListParagraph"/>
        <w:numPr>
          <w:ilvl w:val="0"/>
          <w:numId w:val="2"/>
        </w:numPr>
        <w:spacing w:after="40" w:before="40"/>
      </w:pPr>
      <w:r>
        <w:rPr>
          <w:rFonts w:ascii="Arial" w:cs="Arial" w:eastAsia="Arial" w:hAnsi="Arial"/>
          <w:color w:val="1E293B"/>
          <w:sz w:val="22"/>
          <w:szCs w:val="22"/>
        </w:rPr>
        <w:t xml:space="preserve">Flatten nested JSON responses where OpenBB table widgets expect row-level arrays</w:t>
      </w:r>
    </w:p>
    <w:p>
      <w:pPr>
        <w:pStyle w:val="ListParagraph"/>
        <w:numPr>
          <w:ilvl w:val="0"/>
          <w:numId w:val="2"/>
        </w:numPr>
        <w:spacing w:after="40" w:before="40"/>
      </w:pPr>
      <w:r>
        <w:rPr>
          <w:rFonts w:ascii="Arial" w:cs="Arial" w:eastAsia="Arial" w:hAnsi="Arial"/>
          <w:color w:val="1E293B"/>
          <w:sz w:val="22"/>
          <w:szCs w:val="22"/>
        </w:rPr>
        <w:t xml:space="preserve">Build real GET /pairs/screen backend endpoint using live Polygon.io cointegration data</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8.2 Widget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700"/>
        <w:gridCol w:w="3860"/>
      </w:tblGrid>
      <w:tr>
        <w:tc>
          <w:tcPr>
            <w:tcW w:type="dxa" w:w="21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Widget</w:t>
            </w:r>
          </w:p>
        </w:tc>
        <w:tc>
          <w:tcPr>
            <w:tcW w:type="dxa" w:w="17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OpenBB Tab</w:t>
            </w:r>
          </w:p>
        </w:tc>
        <w:tc>
          <w:tcPr>
            <w:tcW w:type="dxa" w:w="17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Type</w:t>
            </w:r>
          </w:p>
        </w:tc>
        <w:tc>
          <w:tcPr>
            <w:tcW w:type="dxa" w:w="38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Endpoint</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Macro HUD</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Macro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metric</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/macro/dashboard</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Scanner</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Research</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/portfolio/signals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Portfolio Weights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/portfolio/construct</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Benchmark Chart</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chart</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/portfolio/benchmark</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Correlation Matrix</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chart</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/portfolio/correlation</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Kelly Sizing</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/portfolio/sizing</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Rebalance List</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/portfolio/rebalance</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13F Holdings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Institutions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/portfolio/institutions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13F Analytics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Institutions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/portfolio/institutions/analytics</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Options Flow</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Strategies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/portfolio/options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Pair Screener</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Strategies</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/pairs/screen</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Pair Thesis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Strategies</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markdown</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POST /pairs/thesis</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Valuation Score</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Valuation</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metric</w:t>
            </w:r>
          </w:p>
        </w:tc>
        <w:tc>
          <w:tcPr>
            <w:tcW w:type="dxa" w:w="3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/portfolio/scorecard</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Reports Library</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Research</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table</w:t>
            </w:r>
          </w:p>
        </w:tc>
        <w:tc>
          <w:tcPr>
            <w:tcW w:type="dxa" w:w="3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GET /portfolio/reports</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9. Path to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60"/>
        <w:gridCol w:w="1520"/>
        <w:gridCol w:w="1360"/>
        <w:gridCol w:w="5120"/>
      </w:tblGrid>
      <w:tr>
        <w:tc>
          <w:tcPr>
            <w:tcW w:type="dxa" w:w="13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Phase</w:t>
            </w:r>
          </w:p>
        </w:tc>
        <w:tc>
          <w:tcPr>
            <w:tcW w:type="dxa" w:w="15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Timeline</w:t>
            </w:r>
          </w:p>
        </w:tc>
        <w:tc>
          <w:tcPr>
            <w:tcW w:type="dxa" w:w="13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Cost Delta</w:t>
            </w:r>
          </w:p>
        </w:tc>
        <w:tc>
          <w:tcPr>
            <w:tcW w:type="dxa" w:w="51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Deliverables</w:t>
            </w:r>
          </w:p>
        </w:tc>
      </w:tr>
      <w:tr>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1 — Fix the Latency</w:t>
            </w:r>
          </w:p>
        </w:tc>
        <w:tc>
          <w:tcPr>
            <w:tcW w:type="dxa" w:w="1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Weeks 1–4</w:t>
            </w:r>
          </w:p>
        </w:tc>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+$224/mo</w:t>
            </w:r>
          </w:p>
        </w:tc>
        <w:tc>
          <w:tcPr>
            <w:tcW w:type="dxa" w:w="5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Polygon.io Developer subscription. Deploy FastAPI to Hetzner CX41. Add Redis on same VPS. Replace yfinance with Polygon.io HTTP. Add asyncio.gather() for parallel fetches. App becomes globally accessible with &lt;2s load times.</w:t>
            </w:r>
          </w:p>
        </w:tc>
      </w:tr>
      <w:tr>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2 — Add Persistence</w:t>
            </w:r>
          </w:p>
        </w:tc>
        <w:tc>
          <w:tcPr>
            <w:tcW w:type="dxa" w:w="1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Weeks 5–8</w:t>
            </w:r>
          </w:p>
        </w:tc>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+$47/mo</w:t>
            </w:r>
          </w:p>
        </w:tc>
        <w:tc>
          <w:tcPr>
            <w:tcW w:type="dxa" w:w="5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TimescaleDB: create ohlcv, signals, and pair_trades tables. Backfill 5yr OHLCV for watchlist tickers. APScheduler for nightly pre-compute jobs. Dashboard loads from DB, not re-fetched.</w:t>
            </w:r>
          </w:p>
        </w:tc>
      </w:tr>
      <w:tr>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3 — Real-Time Streaming</w:t>
            </w:r>
          </w:p>
        </w:tc>
        <w:tc>
          <w:tcPr>
            <w:tcW w:type="dxa" w:w="1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Weeks 9–12</w:t>
            </w:r>
          </w:p>
        </w:tc>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c>
          <w:tcPr>
            <w:tcW w:type="dxa" w:w="5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Switch from HTTP polling to Polygon.io WebSocket for live price updates. Redis pub/sub for fanout to multiple connected clients. Pair Trades Z-scores generated from live feed.</w:t>
            </w:r>
          </w:p>
        </w:tc>
      </w:tr>
      <w:tr>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4 — OpenBB Launch</w:t>
            </w:r>
          </w:p>
        </w:tc>
        <w:tc>
          <w:tcPr>
            <w:tcW w:type="dxa" w:w="1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Weeks 13–16</w:t>
            </w:r>
          </w:p>
        </w:tc>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c>
          <w:tcPr>
            <w:tcW w:type="dxa" w:w="5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CORS update, widgets.json, apps.json, GET endpoint variants, flattened JSON responses. Full Oasis-on-OpenBB Workspace integration live and publicly accessible.</w:t>
            </w:r>
          </w:p>
        </w:tc>
      </w:tr>
      <w:tr>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5 — Data Moat</w:t>
            </w:r>
          </w:p>
        </w:tc>
        <w:tc>
          <w:tcPr>
            <w:tcW w:type="dxa" w:w="1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Ongoing</w:t>
            </w:r>
          </w:p>
        </w:tc>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c>
          <w:tcPr>
            <w:tcW w:type="dxa" w:w="5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Signal outcome logging table. Track: signal generated, thesis, entry price, 30d and 90d price action. Build signal quality dashboard. This is the long-term proprietary data asset and primary moat.</w:t>
            </w:r>
          </w:p>
        </w:tc>
      </w:tr>
      <w:tr>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6 — International</w:t>
            </w:r>
          </w:p>
        </w:tc>
        <w:tc>
          <w:tcPr>
            <w:tcW w:type="dxa" w:w="1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Months 6+</w:t>
            </w:r>
          </w:p>
        </w:tc>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+$20/mo</w:t>
            </w:r>
          </w:p>
        </w:tc>
        <w:tc>
          <w:tcPr>
            <w:tcW w:type="dxa" w:w="5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Add EODHD All-World plan ($19.99/mo) for EU and Asia market coverage. Route tickers by exchange suffix: EODHD handles .DE (XETRA), .L (LSE), .PA (Euronext Paris), .AS (Amsterdam), .T (Tokyo), .HK (Hong Kong), .SI (Singapore), .AX (ASX), .KS (Korea). Polygon.io stays as the US feed. Opens European and Asian trader segments without degrading US latency.</w:t>
            </w:r>
          </w:p>
        </w:tc>
      </w:tr>
      <w:tr>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7 — Crypto Assets</w:t>
            </w:r>
          </w:p>
        </w:tc>
        <w:tc>
          <w:tcPr>
            <w:tcW w:type="dxa" w:w="1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Months 9+</w:t>
            </w:r>
          </w:p>
        </w:tc>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c>
          <w:tcPr>
            <w:tcW w:type="dxa" w:w="5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BTC-USD, ETH-USD, SOL-USD, XRP-USD, and top-cap crypto via Polygon.io crypto endpoint — already bundled in the existing Developer plan at zero additional infrastructure cost. Price feed, correlation matrix, pairs trading, and portfolio BL engine are all compatible today with no changes. Two targeted code patches: (1) add is_non_equity() helper to screener.py that detects -USD suffix and bypasses equity-specific hard filters (marketCap, FCF, P/E gates); (2) fundamentals analyst fallback to on-chain reasoning prompt when balance sheet data is unavailable. New crypto-specific AI signal context: BTC dominance, funding rates, fear/greed index, on-chain flow. BTC/DXY correlation panel and stablecoin dominance tile added to Macro Dashboard.</w:t>
            </w:r>
          </w:p>
        </w:tc>
      </w:tr>
      <w:tr>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8 — Commodities</w:t>
            </w:r>
          </w:p>
        </w:tc>
        <w:tc>
          <w:tcPr>
            <w:tcW w:type="dxa" w:w="1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Months 12+</w:t>
            </w:r>
          </w:p>
        </w:tc>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c>
          <w:tcPr>
            <w:tcW w:type="dxa" w:w="5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GC=F (gold), CL=F (WTI crude), NG=F (natural gas), SI=F (silver), HG=F (copper) via Polygon.io futures feed — bundled in plan. The same is_non_equity() patch from Phase 7 covers all =F symbols in one change — no additional screener work. Supply/demand AI analyst prompt path replaces equity fundamentals: EIA inventory data (free API), OPEC decision context, USD/commodity correlation. New Futures Curve UI page: term structure visualisation (contango/backwardation), roll calendar, and commodity-equity pair screens (e.g. XOM vs. CL=F, GDX vs. GC=F).</w:t>
            </w:r>
          </w:p>
        </w:tc>
      </w:tr>
      <w:tr>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9 — Equity Futures</w:t>
            </w:r>
          </w:p>
        </w:tc>
        <w:tc>
          <w:tcPr>
            <w:tcW w:type="dxa" w:w="1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Months 12+</w:t>
            </w:r>
          </w:p>
        </w:tc>
        <w:tc>
          <w:tcPr>
            <w:tcW w:type="dxa" w:w="1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c>
          <w:tcPr>
            <w:tcW w:type="dxa" w:w="5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ES=F (S&amp;P 500 e-mini), NQ=F (Nasdaq e-mini), ZN=F (10yr Treasury), ZB=F (30yr Treasury), 6E=F (EUR/USD futures) via Polygon.io — no new data provider. Macro-oriented AI prompts incorporating COT report positioning, open interest, and contract roll date context. Futures term structure view shared with Phase 8 (no duplicate build). Portfolio Hedge Overlay: calculates ES=F or NQ=F notional required to offset current portfolio beta, displayed as a hedge sizing recommendation alongside the existing Black-Litterman optimisation output.</w:t>
            </w:r>
          </w:p>
        </w:tc>
      </w:tr>
      <w:tr>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Phase 10 — Community</w:t>
            </w:r>
          </w:p>
        </w:tc>
        <w:tc>
          <w:tcPr>
            <w:tcW w:type="dxa" w:w="1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Months 18+</w:t>
            </w:r>
          </w:p>
        </w:tc>
        <w:tc>
          <w:tcPr>
            <w:tcW w:type="dxa" w:w="1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+$10/mo</w:t>
            </w:r>
          </w:p>
        </w:tc>
        <w:tc>
          <w:tcPr>
            <w:tcW w:type="dxa" w:w="5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Creator publishing platform: Markdown editor with live Oasis chart embeds, ticker-tagged articles surfaced in the instrument news panel alongside Polygon.io data, author profiles with verifiable signal track records drawn from Phase 2 signal_log. Reader subscription monetisation via Stripe Connect (80% creator / 20% platform). Platform revenue share fund distributing 5% of subscription revenue to top creators by engagement. AI moderation via Claude Haiku (within existing LLM budget). Email digest via Resend free tier. New Creator Add-on (+$19/mo) unlocks unlimited publishing and revenue share eligibility. Full architecture in Section 14.</w:t>
            </w:r>
          </w:p>
        </w:tc>
      </w:tr>
    </w:tbl>
    <w:p>
      <w:pPr>
        <w:spacing w:after="160" w:before="160"/>
      </w:pPr>
      <w:r>
        <w:t xml:space="preserve"/>
      </w:r>
    </w:p>
    <w:p>
      <w:pPr>
        <w:pStyle w:val="Heading1"/>
        <w:pBdr>
          <w:bottom w:val="single" w:color="0EA5E9" w:sz="5" w:space="5"/>
        </w:pBdr>
        <w:spacing w:after="60" w:before="440"/>
      </w:pPr>
      <w:r>
        <w:rPr>
          <w:rFonts w:ascii="Arial" w:cs="Arial" w:eastAsia="Arial" w:hAnsi="Arial"/>
          <w:b/>
          <w:bCs/>
          <w:color w:val="0F172A"/>
          <w:sz w:val="34"/>
          <w:szCs w:val="34"/>
        </w:rPr>
        <w:t xml:space="preserve">10. Cost Structure</w:t>
      </w:r>
    </w:p>
    <w:p>
      <w:pPr>
        <w:pStyle w:val="Heading2"/>
        <w:spacing w:after="100" w:before="300"/>
      </w:pPr>
      <w:r>
        <w:rPr>
          <w:rFonts w:ascii="Arial" w:cs="Arial" w:eastAsia="Arial" w:hAnsi="Arial"/>
          <w:b/>
          <w:bCs/>
          <w:color w:val="0E4F82"/>
          <w:sz w:val="27"/>
          <w:szCs w:val="27"/>
        </w:rPr>
        <w:t xml:space="preserve">10.1 Infrastructure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20"/>
        <w:gridCol w:w="2220"/>
        <w:gridCol w:w="2220"/>
      </w:tblGrid>
      <w:tr>
        <w:tc>
          <w:tcPr>
            <w:tcW w:type="dxa" w:w="27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Item</w:t>
            </w:r>
          </w:p>
        </w:tc>
        <w:tc>
          <w:tcPr>
            <w:tcW w:type="dxa" w:w="22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Personal / Dev</w:t>
            </w:r>
          </w:p>
        </w:tc>
        <w:tc>
          <w:tcPr>
            <w:tcW w:type="dxa" w:w="22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Small SaaS (10–50 users)</w:t>
            </w:r>
          </w:p>
        </w:tc>
        <w:tc>
          <w:tcPr>
            <w:tcW w:type="dxa" w:w="22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Growth (100–500 users)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Polygon.io (data feed)</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$199/mo</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$199/mo</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$500–$1,000/mo</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VPS / Hosting</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$15/mo (Hetzner CX41)</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$35/mo (2× CX41)</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$60/mo (3+ nodes)</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Redis</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Self-hosted (incl.)</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$10/mo (Upstash)</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$100/mo (Redis Cloud)</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TimescaleDB</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Self-hosted (incl.)</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$47/mo (Timescale Cloud)</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$200/mo (Growth)</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Kafka / Redpanda</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$0 (free tier)</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$0 (free tier)</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$50–$100/mo</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LLM APIs</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~$5/mo</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~$30/mo</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~$150/mo</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CDN / DDoS (Cloudflare)</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$0</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$0–$20/mo</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E293B"/>
                <w:sz w:val="20"/>
                <w:szCs w:val="20"/>
              </w:rPr>
              <w:t xml:space="preserve">$20/mo</w:t>
            </w:r>
          </w:p>
        </w:tc>
      </w:tr>
      <w:tr>
        <w:tc>
          <w:tcPr>
            <w:tcW w:type="dxa" w:w="27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TOTAL / month</w:t>
            </w:r>
          </w:p>
        </w:tc>
        <w:tc>
          <w:tcPr>
            <w:tcW w:type="dxa" w:w="222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~$220/mo</w:t>
            </w:r>
          </w:p>
        </w:tc>
        <w:tc>
          <w:tcPr>
            <w:tcW w:type="dxa" w:w="222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~$320–$340/mo</w:t>
            </w:r>
          </w:p>
        </w:tc>
        <w:tc>
          <w:tcPr>
            <w:tcW w:type="dxa" w:w="222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~$1,000–$1,600/mo</w:t>
            </w:r>
          </w:p>
        </w:tc>
      </w:tr>
      <w:tr>
        <w:tc>
          <w:tcPr>
            <w:tcW w:type="dxa" w:w="27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TOTAL / year</w:t>
            </w:r>
          </w:p>
        </w:tc>
        <w:tc>
          <w:tcPr>
            <w:tcW w:type="dxa" w:w="222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~$2,640/yr</w:t>
            </w:r>
          </w:p>
        </w:tc>
        <w:tc>
          <w:tcPr>
            <w:tcW w:type="dxa" w:w="222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~$3,840–$4,080/yr</w:t>
            </w:r>
          </w:p>
        </w:tc>
        <w:tc>
          <w:tcPr>
            <w:tcW w:type="dxa" w:w="222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~$12,000–$19,200/yr</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11. Pricing Strategy</w:t>
      </w:r>
    </w:p>
    <w:p>
      <w:pPr>
        <w:spacing w:after="80" w:before="60" w:line="320"/>
        <w:jc w:val="left"/>
      </w:pPr>
      <w:r>
        <w:rPr>
          <w:rFonts w:ascii="Arial" w:cs="Arial" w:eastAsia="Arial" w:hAnsi="Arial"/>
          <w:b w:val="false"/>
          <w:bCs w:val="false"/>
          <w:i w:val="false"/>
          <w:iCs w:val="false"/>
          <w:color w:val="1E293B"/>
          <w:sz w:val="22"/>
          <w:szCs w:val="22"/>
        </w:rPr>
        <w:t xml:space="preserve">Oasis offers two subscription tiers designed to serve different user sophistication levels while maintaining healthy gross margins across all realistic growth scenarios. Pricing is benchmarked against the competitive landscape: significantly below institutional terminals (Bloomberg, FactSet) while priced above retail charting tools (TradingView, WallStreetZen) to reflect the depth of quant methodology delivered.</w:t>
      </w:r>
    </w:p>
    <w:p>
      <w:pPr>
        <w:spacing w:after="100" w:before="100"/>
      </w:pPr>
      <w:r>
        <w:t xml:space="preserve"/>
      </w:r>
    </w:p>
    <w:p>
      <w:pPr>
        <w:pStyle w:val="Heading2"/>
        <w:spacing w:after="100" w:before="300"/>
      </w:pPr>
      <w:r>
        <w:rPr>
          <w:rFonts w:ascii="Arial" w:cs="Arial" w:eastAsia="Arial" w:hAnsi="Arial"/>
          <w:b/>
          <w:bCs/>
          <w:color w:val="0E4F82"/>
          <w:sz w:val="27"/>
          <w:szCs w:val="27"/>
        </w:rPr>
        <w:t xml:space="preserve">11.1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c>
          <w:tcPr>
            <w:tcW w:type="dxa" w:w="43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r>
              <w:rPr>
                <w:rFonts w:ascii="Arial" w:cs="Arial" w:eastAsia="Arial" w:hAnsi="Arial"/>
                <w:b/>
                <w:bCs/>
                <w:color w:val="FFFFFF"/>
                <w:sz w:val="19"/>
                <w:szCs w:val="19"/>
              </w:rPr>
              <w:t xml:space="preserve">Feature</w:t>
            </w:r>
          </w:p>
        </w:tc>
        <w:tc>
          <w:tcPr>
            <w:tcW w:type="dxa" w:w="250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Starter  $199 / mo</w:t>
            </w:r>
          </w:p>
        </w:tc>
        <w:tc>
          <w:tcPr>
            <w:tcW w:type="dxa" w:w="2500"/>
            <w:tcBorders>
              <w:top w:val="single" w:color="CBD5E1" w:sz="1"/>
              <w:left w:val="single" w:color="CBD5E1" w:sz="1"/>
              <w:bottom w:val="single" w:color="CBD5E1" w:sz="1"/>
              <w:right w:val="single" w:color="CBD5E1" w:sz="1"/>
            </w:tcBorders>
            <w:shd w:fill="0EA5E9"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Pro  $399 / mo</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OpenBB Workspace integration (all 14 widgets)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Portfolio construction (BL, Kelly, Rebalance)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Macro Dashboard + Valuation Scorecard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Pairs Trading screener (RenTec method)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13F Institutional tracker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AI Signal Scanner</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0F172A"/>
                <w:sz w:val="20"/>
                <w:szCs w:val="20"/>
              </w:rPr>
              <w:t xml:space="preserve">100 signals / mo</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0EA5E9"/>
                <w:sz w:val="20"/>
                <w:szCs w:val="20"/>
              </w:rPr>
              <w:t xml:space="preserve">Unlimited</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Watchlist tickers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F172A"/>
                <w:sz w:val="20"/>
                <w:szCs w:val="20"/>
              </w:rPr>
              <w:t xml:space="preserve">Up to 20</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EA5E9"/>
                <w:sz w:val="20"/>
                <w:szCs w:val="20"/>
              </w:rPr>
              <w:t xml:space="preserve">Unlimited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Data refresh rate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0F172A"/>
                <w:sz w:val="20"/>
                <w:szCs w:val="20"/>
              </w:rPr>
              <w:t xml:space="preserve">Every 5 minutes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0EA5E9"/>
                <w:sz w:val="20"/>
                <w:szCs w:val="20"/>
              </w:rPr>
              <w:t xml:space="preserve">Real-time WebSocket</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Multi-agent AI Debate Engine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94A3B8"/>
                <w:sz w:val="20"/>
                <w:szCs w:val="20"/>
              </w:rPr>
              <w:t xml:space="preser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Options Flow &amp; IV surface analysis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94A3B8"/>
                <w:sz w:val="20"/>
                <w:szCs w:val="20"/>
              </w:rPr>
              <w:t xml:space="preserv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Advanced 13F cross-fund analytics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94A3B8"/>
                <w:sz w:val="20"/>
                <w:szCs w:val="20"/>
              </w:rPr>
              <w:t xml:space="preser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Signal outcome track record dashboard</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94A3B8"/>
                <w:sz w:val="20"/>
                <w:szCs w:val="20"/>
              </w:rPr>
              <w:t xml:space="preserv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Price, Z-score &amp; macro alerts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94A3B8"/>
                <w:sz w:val="20"/>
                <w:szCs w:val="20"/>
              </w:rPr>
              <w:t xml:space="preserve">—</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API access (FastAPI direct)</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94A3B8"/>
                <w:sz w:val="20"/>
                <w:szCs w:val="20"/>
              </w:rPr>
              <w:t xml:space="preserv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166534"/>
                <w:sz w:val="20"/>
                <w:szCs w:val="20"/>
              </w:rPr>
              <w:t xml:space="preserve">Included</w:t>
            </w:r>
          </w:p>
        </w:tc>
      </w:tr>
      <w:tr>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Support</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F172A"/>
                <w:sz w:val="20"/>
                <w:szCs w:val="20"/>
              </w:rPr>
              <w:t xml:space="preserve">Community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EA5E9"/>
                <w:sz w:val="20"/>
                <w:szCs w:val="20"/>
              </w:rPr>
              <w:t xml:space="preserve">Priority email</w:t>
            </w:r>
          </w:p>
        </w:tc>
      </w:tr>
      <w:tr>
        <w:tc>
          <w:tcPr>
            <w:tcW w:type="dxa" w:w="436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Annual price (billed yearly)</w:t>
            </w:r>
          </w:p>
        </w:tc>
        <w:tc>
          <w:tcPr>
            <w:tcW w:type="dxa" w:w="25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F172A"/>
                <w:sz w:val="20"/>
                <w:szCs w:val="20"/>
              </w:rPr>
              <w:t xml:space="preserve">$2,388 / yr</w:t>
            </w:r>
          </w:p>
        </w:tc>
        <w:tc>
          <w:tcPr>
            <w:tcW w:type="dxa" w:w="25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A5E9"/>
                <w:sz w:val="20"/>
                <w:szCs w:val="20"/>
              </w:rPr>
              <w:t xml:space="preserve">$4,788 / yr</w:t>
            </w:r>
          </w:p>
        </w:tc>
      </w:tr>
    </w:tbl>
    <w:p>
      <w:pPr>
        <w:spacing w:after="140" w:before="140"/>
      </w:pPr>
      <w:r>
        <w:t xml:space="preserve"/>
      </w:r>
    </w:p>
    <w:p>
      <w:pPr>
        <w:pStyle w:val="Heading2"/>
        <w:spacing w:after="100" w:before="300"/>
      </w:pPr>
      <w:r>
        <w:rPr>
          <w:rFonts w:ascii="Arial" w:cs="Arial" w:eastAsia="Arial" w:hAnsi="Arial"/>
          <w:b/>
          <w:bCs/>
          <w:color w:val="0E4F82"/>
          <w:sz w:val="27"/>
          <w:szCs w:val="27"/>
        </w:rPr>
        <w:t xml:space="preserve">11.2 Unit Economics &amp; Break-Even Analysis</w:t>
      </w:r>
    </w:p>
    <w:p>
      <w:pPr>
        <w:spacing w:after="80" w:before="60" w:line="320"/>
        <w:jc w:val="left"/>
      </w:pPr>
      <w:r>
        <w:rPr>
          <w:rFonts w:ascii="Arial" w:cs="Arial" w:eastAsia="Arial" w:hAnsi="Arial"/>
          <w:b w:val="false"/>
          <w:bCs w:val="false"/>
          <w:i w:val="false"/>
          <w:iCs w:val="false"/>
          <w:color w:val="1E293B"/>
          <w:sz w:val="22"/>
          <w:szCs w:val="22"/>
        </w:rPr>
        <w:t xml:space="preserve">The pricing model is structurally advantageous because the primary infrastructure cost — Polygon.io ($199/mo) — is fixed regardless of user count. A single Starter subscriber at $199/mo essentially covers the data feed. Every incremental subscriber is high-margin from day one.</w:t>
      </w:r>
    </w:p>
    <w:p>
      <w:pPr>
        <w:spacing w:after="80" w:before="80"/>
      </w:pPr>
      <w:r>
        <w:t xml:space="preserve"/>
      </w:r>
    </w:p>
    <w:p>
      <w:pPr>
        <w:spacing w:after="80" w:before="60" w:line="320"/>
        <w:jc w:val="left"/>
      </w:pPr>
      <w:r>
        <w:rPr>
          <w:rFonts w:ascii="Arial" w:cs="Arial" w:eastAsia="Arial" w:hAnsi="Arial"/>
          <w:b w:val="false"/>
          <w:bCs w:val="false"/>
          <w:i w:val="false"/>
          <w:iCs w:val="false"/>
          <w:color w:val="1E293B"/>
          <w:sz w:val="22"/>
          <w:szCs w:val="22"/>
        </w:rPr>
        <w:t xml:space="preserve">The table below models a 50/50 Starter/Pro subscriber mix ($299 average revenue per user). Infrastructure includes Polygon.io, compute (Hetzner), Redis, TimescaleDB, and LLM API costs. Payment fees are Stripe at 2.9%.</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900"/>
        <w:gridCol w:w="1700"/>
        <w:gridCol w:w="1500"/>
        <w:gridCol w:w="1660"/>
      </w:tblGrid>
      <w:tr>
        <w:tc>
          <w:tcPr>
            <w:tcW w:type="dxa" w:w="1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Users</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Revenue / mo</w:t>
            </w:r>
          </w:p>
        </w:tc>
        <w:tc>
          <w:tcPr>
            <w:tcW w:type="dxa" w:w="19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Infrastructure</w:t>
            </w:r>
          </w:p>
        </w:tc>
        <w:tc>
          <w:tcPr>
            <w:tcW w:type="dxa" w:w="17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Stripe Fees (2.9%)</w:t>
            </w:r>
          </w:p>
        </w:tc>
        <w:tc>
          <w:tcPr>
            <w:tcW w:type="dxa" w:w="15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Gross Profit</w:t>
            </w:r>
          </w:p>
        </w:tc>
        <w:tc>
          <w:tcPr>
            <w:tcW w:type="dxa" w:w="16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Gross Margin</w:t>
            </w:r>
          </w:p>
        </w:tc>
      </w:tr>
      <w:tr>
        <w:tc>
          <w:tcPr>
            <w:tcW w:type="dxa" w:w="10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left"/>
            </w:pPr>
            <w:r>
              <w:rPr>
                <w:rFonts w:ascii="Arial" w:cs="Arial" w:eastAsia="Arial" w:hAnsi="Arial"/>
                <w:b/>
                <w:bCs/>
                <w:color w:val="92400E"/>
                <w:sz w:val="20"/>
                <w:szCs w:val="20"/>
              </w:rPr>
              <w:t xml:space="preserve">2 users</w:t>
            </w:r>
          </w:p>
        </w:tc>
        <w:tc>
          <w:tcPr>
            <w:tcW w:type="dxa" w:w="16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$598</w:t>
            </w:r>
          </w:p>
        </w:tc>
        <w:tc>
          <w:tcPr>
            <w:tcW w:type="dxa" w:w="19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$273</w:t>
            </w:r>
          </w:p>
        </w:tc>
        <w:tc>
          <w:tcPr>
            <w:tcW w:type="dxa" w:w="17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$17</w:t>
            </w:r>
          </w:p>
        </w:tc>
        <w:tc>
          <w:tcPr>
            <w:tcW w:type="dxa" w:w="15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$308</w:t>
            </w:r>
          </w:p>
        </w:tc>
        <w:tc>
          <w:tcPr>
            <w:tcW w:type="dxa" w:w="166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52%</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5 users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$1,495</w:t>
            </w:r>
          </w:p>
        </w:tc>
        <w:tc>
          <w:tcPr>
            <w:tcW w:type="dxa" w:w="1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$276</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$43</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$1,176</w:t>
            </w:r>
          </w:p>
        </w:tc>
        <w:tc>
          <w:tcPr>
            <w:tcW w:type="dxa" w:w="1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79%</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10 users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$2,990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$281</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$87</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$2,622</w:t>
            </w:r>
          </w:p>
        </w:tc>
        <w:tc>
          <w:tcPr>
            <w:tcW w:type="dxa" w:w="1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88%</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25 users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$7,475</w:t>
            </w:r>
          </w:p>
        </w:tc>
        <w:tc>
          <w:tcPr>
            <w:tcW w:type="dxa" w:w="1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$286</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$217</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$6,972</w:t>
            </w:r>
          </w:p>
        </w:tc>
        <w:tc>
          <w:tcPr>
            <w:tcW w:type="dxa" w:w="1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93%</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50 users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$14,950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$291</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$435</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$14,224</w:t>
            </w:r>
          </w:p>
        </w:tc>
        <w:tc>
          <w:tcPr>
            <w:tcW w:type="dxa" w:w="1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95%</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100 users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$29,900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$336</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$870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$28,694</w:t>
            </w:r>
          </w:p>
        </w:tc>
        <w:tc>
          <w:tcPr>
            <w:tcW w:type="dxa" w:w="1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96%</w:t>
            </w:r>
          </w:p>
        </w:tc>
      </w:tr>
      <w:tr>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200 users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$59,800</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$1,120</w:t>
            </w:r>
          </w:p>
        </w:tc>
        <w:tc>
          <w:tcPr>
            <w:tcW w:type="dxa" w:w="1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$1,740</w:t>
            </w:r>
          </w:p>
        </w:tc>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$56,940</w:t>
            </w:r>
          </w:p>
        </w:tc>
        <w:tc>
          <w:tcPr>
            <w:tcW w:type="dxa" w:w="16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95%</w:t>
            </w:r>
          </w:p>
        </w:tc>
      </w:tr>
      <w:tr>
        <w:tc>
          <w:tcPr>
            <w:tcW w:type="dxa" w:w="1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F172A"/>
                <w:sz w:val="20"/>
                <w:szCs w:val="20"/>
              </w:rPr>
              <w:t xml:space="preserve">500 users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D4ED8"/>
                <w:sz w:val="20"/>
                <w:szCs w:val="20"/>
              </w:rPr>
              <w:t xml:space="preserve">$149,500</w:t>
            </w:r>
          </w:p>
        </w:tc>
        <w:tc>
          <w:tcPr>
            <w:tcW w:type="dxa" w:w="1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$1,550</w:t>
            </w:r>
          </w:p>
        </w:tc>
        <w:tc>
          <w:tcPr>
            <w:tcW w:type="dxa" w:w="1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$4,350</w:t>
            </w:r>
          </w:p>
        </w:tc>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$143,600</w:t>
            </w:r>
          </w:p>
        </w:tc>
        <w:tc>
          <w:tcPr>
            <w:tcW w:type="dxa" w:w="16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5B21B6"/>
                <w:sz w:val="20"/>
                <w:szCs w:val="20"/>
              </w:rPr>
              <w:t xml:space="preserve">96%</w:t>
            </w:r>
          </w:p>
        </w:tc>
      </w:tr>
    </w:tbl>
    <w:p>
      <w:pPr>
        <w:spacing w:after="80" w:before="80"/>
      </w:pPr>
      <w:r>
        <w:t xml:space="preserve"/>
      </w:r>
    </w:p>
    <w:p>
      <w:pPr>
        <w:spacing w:after="80" w:before="60" w:line="320"/>
        <w:jc w:val="left"/>
      </w:pPr>
      <w:r>
        <w:rPr>
          <w:rFonts w:ascii="Arial" w:cs="Arial" w:eastAsia="Arial" w:hAnsi="Arial"/>
          <w:b w:val="false"/>
          <w:bCs w:val="false"/>
          <w:i w:val="false"/>
          <w:iCs w:val="false"/>
          <w:color w:val="475569"/>
          <w:sz w:val="22"/>
          <w:szCs w:val="22"/>
        </w:rPr>
        <w:t xml:space="preserve">Note: Infrastructure costs jump at 200 users when Polygon.io upgrades from Developer ($199/mo) to Enterprise ($500/mo) and TimescaleDB moves to the Growth tier ($200/mo). This explains the slight margin dip from 96% to 95% at that inflection point — it recovers immediately with further growth.</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11.3 Competitive Pricing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80"/>
        <w:gridCol w:w="1680"/>
        <w:gridCol w:w="1950"/>
        <w:gridCol w:w="1950"/>
      </w:tblGrid>
      <w:tr>
        <w:tc>
          <w:tcPr>
            <w:tcW w:type="dxa" w:w="21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Tool</w:t>
            </w:r>
          </w:p>
        </w:tc>
        <w:tc>
          <w:tcPr>
            <w:tcW w:type="dxa" w:w="16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Monthly</w:t>
            </w:r>
          </w:p>
        </w:tc>
        <w:tc>
          <w:tcPr>
            <w:tcW w:type="dxa" w:w="16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Annual</w:t>
            </w:r>
          </w:p>
        </w:tc>
        <w:tc>
          <w:tcPr>
            <w:tcW w:type="dxa" w:w="195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vs. Oasis Starter</w:t>
            </w:r>
          </w:p>
        </w:tc>
        <w:tc>
          <w:tcPr>
            <w:tcW w:type="dxa" w:w="195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vs. Oasis Pro</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Bloomberg Terminal</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$2,020</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$24,240</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10.1× more expensive</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5.1× more expensive</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FactSet</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~$1,000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~$12,000</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5× more expensive</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2.5× more expensive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LSEG Workspace</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$300–$1,833</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$3,600–$22,000</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1.5–9× more</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~0.8–4.6× more</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Koyfin Pro</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$200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$2,400</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Comparable — fewer features</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Half of Pro price</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Benzinga Pro</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$37+</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$444+</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Cheaper — news only, no quant</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5.5× cheaper but no quant</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TradingView Premium</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$60</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$720</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3.3× cheaper — TA only</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6.7× cheaper — TA only</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Finbox Pro</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~$99</w:t>
            </w:r>
          </w:p>
        </w:tc>
        <w:tc>
          <w:tcPr>
            <w:tcW w:type="dxa" w:w="16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~$1,188</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Cheaper — valuation only</w:t>
            </w:r>
          </w:p>
        </w:tc>
        <w:tc>
          <w:tcPr>
            <w:tcW w:type="dxa" w:w="195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4× cheaper — no portfolio</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OpenBB</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Free</w:t>
            </w:r>
          </w:p>
        </w:tc>
        <w:tc>
          <w:tcPr>
            <w:tcW w:type="dxa" w:w="16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Free</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Oasis is the analytics backend</w:t>
            </w:r>
          </w:p>
        </w:tc>
        <w:tc>
          <w:tcPr>
            <w:tcW w:type="dxa" w:w="195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Same — complementary</w:t>
            </w:r>
          </w:p>
        </w:tc>
      </w:tr>
    </w:tbl>
    <w:p>
      <w:pPr>
        <w:spacing w:after="80" w:before="80"/>
      </w:pPr>
      <w:r>
        <w:t xml:space="preserve"/>
      </w:r>
    </w:p>
    <w:p>
      <w:pPr>
        <w:spacing w:after="80" w:before="60" w:line="320"/>
        <w:jc w:val="left"/>
      </w:pPr>
      <w:r>
        <w:rPr>
          <w:rFonts w:ascii="Arial" w:cs="Arial" w:eastAsia="Arial" w:hAnsi="Arial"/>
          <w:b w:val="false"/>
          <w:bCs w:val="false"/>
          <w:i w:val="false"/>
          <w:iCs w:val="false"/>
          <w:color w:val="475569"/>
          <w:sz w:val="22"/>
          <w:szCs w:val="22"/>
        </w:rPr>
        <w:t xml:space="preserve">The $199–$399/mo range positions Oasis directly between retail charting tools and institutional research terminals — the only tier offering institutional-grade methodology (portfolio construction, stat arb, 13F analytics) at what is effectively a prosumer price.</w:t>
      </w:r>
    </w:p>
    <w:p>
      <w:pPr>
        <w:spacing w:after="160" w:before="160"/>
      </w:pPr>
      <w:r>
        <w:t xml:space="preserve"/>
      </w:r>
    </w:p>
    <w:p>
      <w:pPr>
        <w:pStyle w:val="Heading2"/>
        <w:spacing w:after="100" w:before="300"/>
      </w:pPr>
      <w:r>
        <w:rPr>
          <w:rFonts w:ascii="Arial" w:cs="Arial" w:eastAsia="Arial" w:hAnsi="Arial"/>
          <w:b/>
          <w:bCs/>
          <w:color w:val="0E4F82"/>
          <w:sz w:val="27"/>
          <w:szCs w:val="27"/>
        </w:rPr>
        <w:t xml:space="preserve">11.4 International Market Add-Ons</w:t>
      </w:r>
    </w:p>
    <w:p>
      <w:pPr>
        <w:spacing w:after="80" w:before="60" w:line="320"/>
        <w:jc w:val="left"/>
      </w:pPr>
      <w:r>
        <w:rPr>
          <w:rFonts w:ascii="Arial" w:cs="Arial" w:eastAsia="Arial" w:hAnsi="Arial"/>
          <w:b w:val="false"/>
          <w:bCs w:val="false"/>
          <w:i w:val="false"/>
          <w:iCs w:val="false"/>
          <w:color w:val="1E293B"/>
          <w:sz w:val="22"/>
          <w:szCs w:val="22"/>
        </w:rPr>
        <w:t xml:space="preserve">Subscribers can unlock non-US market data through optional regional add-ons, sold on top of any base plan. All international data is routed through EODHD All-World ($19.99/mo) — a single backend subscription keyed by exchange suffix (.TO for TSX, .PA for Euronext Paris, .MC for BME Madrid, etc.). The EODHD cost is shared across all international subscribers on a single server instance, making the marginal infrastructure cost of each additional country subscriber essentially zero once the first international add-on is active.</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60"/>
        <w:gridCol w:w="1200"/>
        <w:gridCol w:w="1200"/>
        <w:gridCol w:w="2400"/>
      </w:tblGrid>
      <w:tr>
        <w:tc>
          <w:tcPr>
            <w:tcW w:type="dxa" w:w="15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Add-on</w:t>
            </w:r>
          </w:p>
        </w:tc>
        <w:tc>
          <w:tcPr>
            <w:tcW w:type="dxa" w:w="30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Exchanges Covered</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Monthly</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Annual</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Ideal For</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Canada</w:t>
            </w:r>
          </w:p>
        </w:tc>
        <w:tc>
          <w:tcPr>
            <w:tcW w:type="dxa" w:w="3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TSX · TSXV · Montreal Exchange (.TO) — 1,600+ listings: mining, energy, financials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+$29/mo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+$348/yr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Resources, commodities, TSX pairs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United Kingdom</w:t>
            </w:r>
          </w:p>
        </w:tc>
        <w:tc>
          <w:tcPr>
            <w:tcW w:type="dxa" w:w="30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London Stock Exchange · AIM (.L) — FTSE 100, FTSE 250, and growth stocks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+$29/mo</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+$348/yr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UK large-caps, LSE sector exposure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Europe Core</w:t>
            </w:r>
          </w:p>
        </w:tc>
        <w:tc>
          <w:tcPr>
            <w:tcW w:type="dxa" w:w="3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France (.PA) · Spain (.MC) · Germany (.DE) · Netherlands (.AS) · Belgium (.BR)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+$49/mo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+$588/yr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CAC 40 · IBEX 35 · DAX screens</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Europe Extended</w:t>
            </w:r>
          </w:p>
        </w:tc>
        <w:tc>
          <w:tcPr>
            <w:tcW w:type="dxa" w:w="30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Europe Core + Italy (.MI) · Switzerland (.SW) · Sweden (.ST) · Norway (.OL) · Portugal (.LS)</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+$69/mo</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+$828/yr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Full pan-European portfolio</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Asia Pacific</w:t>
            </w:r>
          </w:p>
        </w:tc>
        <w:tc>
          <w:tcPr>
            <w:tcW w:type="dxa" w:w="30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Japan (.T) · Hong Kong (.HK) · Singapore (.SI) · Australia (.AX) · Korea (.KS/.KQ)</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+$49/mo</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+$588/yr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Asia macro, HK tech, ASX miners</w:t>
            </w:r>
          </w:p>
        </w:tc>
      </w:tr>
      <w:tr>
        <w:tc>
          <w:tcPr>
            <w:tcW w:type="dxa" w:w="15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Global Bundle</w:t>
            </w:r>
          </w:p>
        </w:tc>
        <w:tc>
          <w:tcPr>
            <w:tcW w:type="dxa" w:w="306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Canada + UK + Europe Extended + Asia Pacific. All 70+ EODHD exchanges. Saves $46/mo vs. buying all regions individually.</w:t>
            </w:r>
          </w:p>
        </w:tc>
        <w:tc>
          <w:tcPr>
            <w:tcW w:type="dxa" w:w="12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+$129/mo</w:t>
            </w:r>
          </w:p>
        </w:tc>
        <w:tc>
          <w:tcPr>
            <w:tcW w:type="dxa" w:w="12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+$1,548/yr</w:t>
            </w:r>
          </w:p>
        </w:tc>
        <w:tc>
          <w:tcPr>
            <w:tcW w:type="dxa" w:w="24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Full global equity universe</w:t>
            </w:r>
          </w:p>
        </w:tc>
      </w:tr>
    </w:tbl>
    <w:p>
      <w:pPr>
        <w:spacing w:after="120" w:before="120"/>
      </w:pPr>
      <w:r>
        <w:t xml:space="preserve"/>
      </w:r>
    </w:p>
    <w:p>
      <w:pPr>
        <w:pStyle w:val="Heading3"/>
        <w:spacing w:after="80" w:before="200"/>
      </w:pPr>
      <w:r>
        <w:rPr>
          <w:rFonts w:ascii="Arial" w:cs="Arial" w:eastAsia="Arial" w:hAnsi="Arial"/>
          <w:b/>
          <w:bCs/>
          <w:color w:val="1E293B"/>
          <w:sz w:val="24"/>
          <w:szCs w:val="24"/>
        </w:rPr>
        <w:t xml:space="preserve">11.4.1 Sample Plan Configurations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460"/>
        <w:gridCol w:w="1600"/>
        <w:gridCol w:w="1600"/>
      </w:tblGrid>
      <w:tr>
        <w:tc>
          <w:tcPr>
            <w:tcW w:type="dxa" w:w="27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Configuration</w:t>
            </w:r>
          </w:p>
        </w:tc>
        <w:tc>
          <w:tcPr>
            <w:tcW w:type="dxa" w:w="34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Markets Included</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Monthly</w:t>
            </w:r>
          </w:p>
        </w:tc>
        <w:tc>
          <w:tcPr>
            <w:tcW w:type="dxa" w:w="16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Annual</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Starter — US Only</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NYSE · NASDAQ · AMEX · CBOE · CME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$199</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$2,388</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Starter + Canada</w:t>
            </w:r>
          </w:p>
        </w:tc>
        <w:tc>
          <w:tcPr>
            <w:tcW w:type="dxa" w:w="34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TSX · TSXV</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$228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$2,736</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Starter + Europe Core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France (.PA) · Spain (.MC) · Germany (.DE) · Netherlands (.AS)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$248</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$2,976</w:t>
            </w:r>
          </w:p>
        </w:tc>
      </w:tr>
      <w:tr>
        <w:tc>
          <w:tcPr>
            <w:tcW w:type="dxa" w:w="2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Starter + Asia Pacific</w:t>
            </w:r>
          </w:p>
        </w:tc>
        <w:tc>
          <w:tcPr>
            <w:tcW w:type="dxa" w:w="34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Japan (.T) · Hong Kong (.HK) · Singapore (.SI) · Australia (.AX) · Korea</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$248</w:t>
            </w:r>
          </w:p>
        </w:tc>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$2,976</w:t>
            </w:r>
          </w:p>
        </w:tc>
      </w:tr>
      <w:tr>
        <w:tc>
          <w:tcPr>
            <w:tcW w:type="dxa" w:w="2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Starter + Global Bundle</w:t>
            </w:r>
          </w:p>
        </w:tc>
        <w:tc>
          <w:tcPr>
            <w:tcW w:type="dxa" w:w="3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All 70+ international exchanges via EODHD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$328</w:t>
            </w:r>
          </w:p>
        </w:tc>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$3,936</w:t>
            </w:r>
          </w:p>
        </w:tc>
      </w:tr>
      <w:tr>
        <w:tc>
          <w:tcPr>
            <w:tcW w:type="dxa" w:w="27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left"/>
            </w:pPr>
            <w:r>
              <w:rPr>
                <w:rFonts w:ascii="Arial" w:cs="Arial" w:eastAsia="Arial" w:hAnsi="Arial"/>
                <w:b/>
                <w:bCs/>
                <w:color w:val="0EA5E9"/>
                <w:sz w:val="20"/>
                <w:szCs w:val="20"/>
              </w:rPr>
              <w:t xml:space="preserve">Pro — US Only</w:t>
            </w:r>
          </w:p>
        </w:tc>
        <w:tc>
          <w:tcPr>
            <w:tcW w:type="dxa" w:w="346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NYSE · NASDAQ · AMEX · CBOE — Real-time WebSocket</w:t>
            </w:r>
          </w:p>
        </w:tc>
        <w:tc>
          <w:tcPr>
            <w:tcW w:type="dxa" w:w="16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$399</w:t>
            </w:r>
          </w:p>
        </w:tc>
        <w:tc>
          <w:tcPr>
            <w:tcW w:type="dxa" w:w="16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$4,788</w:t>
            </w:r>
          </w:p>
        </w:tc>
      </w:tr>
      <w:tr>
        <w:tc>
          <w:tcPr>
            <w:tcW w:type="dxa" w:w="27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left"/>
            </w:pPr>
            <w:r>
              <w:rPr>
                <w:rFonts w:ascii="Arial" w:cs="Arial" w:eastAsia="Arial" w:hAnsi="Arial"/>
                <w:b/>
                <w:bCs/>
                <w:color w:val="0EA5E9"/>
                <w:sz w:val="20"/>
                <w:szCs w:val="20"/>
              </w:rPr>
              <w:t xml:space="preserve">Pro + Canada</w:t>
            </w:r>
          </w:p>
        </w:tc>
        <w:tc>
          <w:tcPr>
            <w:tcW w:type="dxa" w:w="346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TSX · TSXV — Real-time WebSocket</w:t>
            </w:r>
          </w:p>
        </w:tc>
        <w:tc>
          <w:tcPr>
            <w:tcW w:type="dxa" w:w="16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$428</w:t>
            </w:r>
          </w:p>
        </w:tc>
        <w:tc>
          <w:tcPr>
            <w:tcW w:type="dxa" w:w="16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$5,136</w:t>
            </w:r>
          </w:p>
        </w:tc>
      </w:tr>
      <w:tr>
        <w:tc>
          <w:tcPr>
            <w:tcW w:type="dxa" w:w="27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left"/>
            </w:pPr>
            <w:r>
              <w:rPr>
                <w:rFonts w:ascii="Arial" w:cs="Arial" w:eastAsia="Arial" w:hAnsi="Arial"/>
                <w:b/>
                <w:bCs/>
                <w:color w:val="0EA5E9"/>
                <w:sz w:val="20"/>
                <w:szCs w:val="20"/>
              </w:rPr>
              <w:t xml:space="preserve">Pro + Europe Core</w:t>
            </w:r>
          </w:p>
        </w:tc>
        <w:tc>
          <w:tcPr>
            <w:tcW w:type="dxa" w:w="346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France · Spain · Germany · Netherlands — Real-time WebSocket</w:t>
            </w:r>
          </w:p>
        </w:tc>
        <w:tc>
          <w:tcPr>
            <w:tcW w:type="dxa" w:w="16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$448</w:t>
            </w:r>
          </w:p>
        </w:tc>
        <w:tc>
          <w:tcPr>
            <w:tcW w:type="dxa" w:w="160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$5,376</w:t>
            </w:r>
          </w:p>
        </w:tc>
      </w:tr>
      <w:tr>
        <w:tc>
          <w:tcPr>
            <w:tcW w:type="dxa" w:w="27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A5E9"/>
                <w:sz w:val="20"/>
                <w:szCs w:val="20"/>
              </w:rPr>
              <w:t xml:space="preserve">Pro + Global Bundle</w:t>
            </w:r>
          </w:p>
        </w:tc>
        <w:tc>
          <w:tcPr>
            <w:tcW w:type="dxa" w:w="346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 + All 70+ international exchanges — Real-time WebSocket</w:t>
            </w:r>
          </w:p>
        </w:tc>
        <w:tc>
          <w:tcPr>
            <w:tcW w:type="dxa" w:w="16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0E4F82"/>
                <w:sz w:val="20"/>
                <w:szCs w:val="20"/>
              </w:rPr>
              <w:t xml:space="preserve">$528</w:t>
            </w:r>
          </w:p>
        </w:tc>
        <w:tc>
          <w:tcPr>
            <w:tcW w:type="dxa" w:w="16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$6,336</w:t>
            </w:r>
          </w:p>
        </w:tc>
      </w:tr>
    </w:tbl>
    <w:p>
      <w:pPr>
        <w:spacing w:after="80" w:before="80"/>
      </w:pPr>
      <w:r>
        <w:t xml:space="preserve"/>
      </w:r>
    </w:p>
    <w:p>
      <w:pPr>
        <w:spacing w:after="80" w:before="60" w:line="320"/>
        <w:jc w:val="left"/>
      </w:pPr>
      <w:r>
        <w:rPr>
          <w:rFonts w:ascii="Arial" w:cs="Arial" w:eastAsia="Arial" w:hAnsi="Arial"/>
          <w:b w:val="false"/>
          <w:bCs w:val="false"/>
          <w:i w:val="false"/>
          <w:iCs w:val="false"/>
          <w:color w:val="475569"/>
          <w:sz w:val="22"/>
          <w:szCs w:val="22"/>
        </w:rPr>
        <w:t xml:space="preserve">Infrastructure note: all international add-ons share a single EODHD All-World subscription at $19.99/mo — fixed regardless of how many users or exchanges are active. At 10 Canada subscribers the add-on stream generates $290/mo against $20/mo infrastructure, yielding a 93% gross margin on that revenue. France and Spain are included in the Europe Core add-on; both are covered within the same EODHD plan at no additional provider cost.</w:t>
      </w:r>
    </w:p>
    <w:p>
      <w:pPr>
        <w:spacing w:after="80" w:before="80"/>
      </w:pPr>
      <w:r>
        <w:t xml:space="preserve"/>
      </w:r>
    </w:p>
    <w:p>
      <w:pPr>
        <w:spacing w:after="80" w:before="60" w:line="320"/>
        <w:jc w:val="left"/>
      </w:pPr>
      <w:r>
        <w:rPr>
          <w:rFonts w:ascii="Arial" w:cs="Arial" w:eastAsia="Arial" w:hAnsi="Arial"/>
          <w:b w:val="false"/>
          <w:bCs w:val="false"/>
          <w:i/>
          <w:iCs/>
          <w:color w:val="94A3B8"/>
          <w:sz w:val="22"/>
          <w:szCs w:val="22"/>
        </w:rPr>
        <w:t xml:space="preserve">Roadmap: Crypto (Bitcoin, Ethereum, top-cap assets) and Commodities &amp; Futures (WTI, Brent, Gold, Silver, CME contracts) are not supported in the current product and are intentionally deferred to a future phase. Polygon.io crypto data is already bundled in the existing Developer plan — no new provider is required. Commodities and futures data would be sourced from Polygon.io or Nasdaq Data Link. When launched, these will be offered as standalone add-ons at pricing to be determined. See Section 5.2 for the full feature roadmap.</w:t>
      </w:r>
    </w:p>
    <w:p>
      <w:pPr>
        <w:spacing w:after="100" w:before="100"/>
      </w:pPr>
      <w:r>
        <w:t xml:space="preserve"/>
      </w:r>
    </w:p>
    <w:p>
      <w:pPr>
        <w:pStyle w:val="Heading2"/>
        <w:spacing w:after="100" w:before="300"/>
      </w:pPr>
      <w:r>
        <w:rPr>
          <w:rFonts w:ascii="Arial" w:cs="Arial" w:eastAsia="Arial" w:hAnsi="Arial"/>
          <w:b/>
          <w:bCs/>
          <w:color w:val="0E4F82"/>
          <w:sz w:val="27"/>
          <w:szCs w:val="27"/>
        </w:rPr>
        <w:t xml:space="preserve">11.5 Future Asset Class Add-Ons (Roadmap)</w:t>
      </w:r>
    </w:p>
    <w:p>
      <w:pPr>
        <w:spacing w:after="80" w:before="60" w:line="320"/>
        <w:jc w:val="left"/>
      </w:pPr>
      <w:r>
        <w:rPr>
          <w:rFonts w:ascii="Arial" w:cs="Arial" w:eastAsia="Arial" w:hAnsi="Arial"/>
          <w:b w:val="false"/>
          <w:bCs w:val="false"/>
          <w:i w:val="false"/>
          <w:iCs w:val="false"/>
          <w:color w:val="1E293B"/>
          <w:sz w:val="22"/>
          <w:szCs w:val="22"/>
        </w:rPr>
        <w:t xml:space="preserve">Crypto, commodities, and equity/rates futures are planned as standalone optional add-ons available on top of any base plan. All three are already data-provider ready — Polygon.io crypto and futures feeds are bundled in the existing Developer plan at zero incremental infrastructure cost. The build effort is concentrated in two shared code patches and new asset-class-specific AI analyst prompt paths. Pricing below is indicative and subject to change at launch.</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1300"/>
        <w:gridCol w:w="1300"/>
        <w:gridCol w:w="1000"/>
        <w:gridCol w:w="1860"/>
      </w:tblGrid>
      <w:tr>
        <w:tc>
          <w:tcPr>
            <w:tcW w:type="dxa" w:w="15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Add-on</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Assets Covered</w:t>
            </w:r>
          </w:p>
        </w:tc>
        <w:tc>
          <w:tcPr>
            <w:tcW w:type="dxa" w:w="13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Monthly</w:t>
            </w:r>
          </w:p>
        </w:tc>
        <w:tc>
          <w:tcPr>
            <w:tcW w:type="dxa" w:w="13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Annual</w:t>
            </w:r>
          </w:p>
        </w:tc>
        <w:tc>
          <w:tcPr>
            <w:tcW w:type="dxa" w:w="1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Phase</w:t>
            </w:r>
          </w:p>
        </w:tc>
        <w:tc>
          <w:tcPr>
            <w:tcW w:type="dxa" w:w="18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Status</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Crypto</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BTC-USD · ETH-USD · SOL-USD · XRP-USD · top-cap assets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+$19/mo</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+$228/yr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7</w:t>
            </w:r>
          </w:p>
        </w:tc>
        <w:tc>
          <w:tcPr>
            <w:tcW w:type="dxa" w:w="1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 Coming Soon</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Commodities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GC=F (gold) · CL=F (crude) · NG=F (gas) · SI=F (silver) · HG=F (copper)</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+$19/mo</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+$228/yr</w:t>
            </w:r>
          </w:p>
        </w:tc>
        <w:tc>
          <w:tcPr>
            <w:tcW w:type="dxa" w:w="1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8</w:t>
            </w:r>
          </w:p>
        </w:tc>
        <w:tc>
          <w:tcPr>
            <w:tcW w:type="dxa" w:w="18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 Coming Soon</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Equity Futures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ES=F (S&amp;P) · NQ=F (Nasdaq) · ZN=F (10yr) · ZB=F (30yr) · 6E=F (EUR/USD)</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+$29/mo</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+$348/yr</w:t>
            </w:r>
          </w:p>
        </w:tc>
        <w:tc>
          <w:tcPr>
            <w:tcW w:type="dxa" w:w="1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9</w:t>
            </w:r>
          </w:p>
        </w:tc>
        <w:tc>
          <w:tcPr>
            <w:tcW w:type="dxa" w:w="18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 Coming Soon</w:t>
            </w:r>
          </w:p>
        </w:tc>
      </w:tr>
      <w:tr>
        <w:tc>
          <w:tcPr>
            <w:tcW w:type="dxa" w:w="15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Alt Assets Bundle</w:t>
            </w:r>
          </w:p>
        </w:tc>
        <w:tc>
          <w:tcPr>
            <w:tcW w:type="dxa" w:w="24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All three — Crypto + Commodities + Equity Futures</w:t>
            </w:r>
          </w:p>
        </w:tc>
        <w:tc>
          <w:tcPr>
            <w:tcW w:type="dxa" w:w="13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+$49/mo</w:t>
            </w:r>
          </w:p>
        </w:tc>
        <w:tc>
          <w:tcPr>
            <w:tcW w:type="dxa" w:w="13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+$588/yr</w:t>
            </w:r>
          </w:p>
        </w:tc>
        <w:tc>
          <w:tcPr>
            <w:tcW w:type="dxa" w:w="10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9+</w:t>
            </w:r>
          </w:p>
        </w:tc>
        <w:tc>
          <w:tcPr>
            <w:tcW w:type="dxa" w:w="186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 Saves $18/mo</w:t>
            </w:r>
          </w:p>
        </w:tc>
      </w:tr>
    </w:tbl>
    <w:p>
      <w:pPr>
        <w:spacing w:after="120" w:before="120"/>
      </w:pPr>
      <w:r>
        <w:t xml:space="preserve"/>
      </w:r>
    </w:p>
    <w:p>
      <w:pPr>
        <w:pStyle w:val="Heading3"/>
        <w:spacing w:after="80" w:before="200"/>
      </w:pPr>
      <w:r>
        <w:rPr>
          <w:rFonts w:ascii="Arial" w:cs="Arial" w:eastAsia="Arial" w:hAnsi="Arial"/>
          <w:b/>
          <w:bCs/>
          <w:color w:val="1E293B"/>
          <w:sz w:val="24"/>
          <w:szCs w:val="24"/>
        </w:rPr>
        <w:t xml:space="preserve">11.5.1 Architecture Readiness by Asset Class</w:t>
      </w:r>
    </w:p>
    <w:p>
      <w:pPr>
        <w:spacing w:after="80" w:before="60" w:line="320"/>
        <w:jc w:val="left"/>
      </w:pPr>
      <w:r>
        <w:rPr>
          <w:rFonts w:ascii="Arial" w:cs="Arial" w:eastAsia="Arial" w:hAnsi="Arial"/>
          <w:b w:val="false"/>
          <w:bCs w:val="false"/>
          <w:i w:val="false"/>
          <w:iCs w:val="false"/>
          <w:color w:val="1E293B"/>
          <w:sz w:val="22"/>
          <w:szCs w:val="22"/>
        </w:rPr>
        <w:t xml:space="preserve">The price data, correlation matrix, pairs trading engine, and Black-Litterman portfolio engine are already fully compatible with all three asset classes — no code changes required. The only shared blocker is the screener's equity-centric hard filters. One ~20-line patch to tradingagents/agents/portfolio/screener.py unlocks all three asset classes simultaneously. The remaining build effort is asset-class-specific AI prompts and new UI pages.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System Component</w:t>
            </w:r>
          </w:p>
        </w:tc>
        <w:tc>
          <w:tcPr>
            <w:tcW w:type="dxa" w:w="242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Crypto  (BTC / ETH / SOL)</w:t>
            </w:r>
          </w:p>
        </w:tc>
        <w:tc>
          <w:tcPr>
            <w:tcW w:type="dxa" w:w="242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Commodities  (GC / CL / NG)</w:t>
            </w:r>
          </w:p>
        </w:tc>
        <w:tc>
          <w:tcPr>
            <w:tcW w:type="dxa" w:w="2420"/>
            <w:tcBorders>
              <w:top w:val="single" w:color="CBD5E1" w:sz="1"/>
              <w:left w:val="single" w:color="CBD5E1" w:sz="1"/>
              <w:bottom w:val="single" w:color="CBD5E1" w:sz="1"/>
              <w:right w:val="single" w:color="CBD5E1" w:sz="1"/>
            </w:tcBorders>
            <w:shd w:fill="0E4F82"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Equity Futures  (ES / ZN)</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Price Data (yfinance / Polygon.io)</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Correlation Matrix</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Pairs Trading Engine</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Portfolio / BL Engine</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c>
          <w:tcPr>
            <w:tcW w:type="dxa" w:w="242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Works Now</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Screener Filters</w:t>
            </w:r>
          </w:p>
        </w:tc>
        <w:tc>
          <w:tcPr>
            <w:tcW w:type="dxa" w:w="242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~20-line patch</w:t>
            </w:r>
          </w:p>
        </w:tc>
        <w:tc>
          <w:tcPr>
            <w:tcW w:type="dxa" w:w="242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~20-line patch</w:t>
            </w:r>
          </w:p>
        </w:tc>
        <w:tc>
          <w:tcPr>
            <w:tcW w:type="dxa" w:w="242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~20-line patch</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Fundamentals Analyst</w:t>
            </w:r>
          </w:p>
        </w:tc>
        <w:tc>
          <w:tcPr>
            <w:tcW w:type="dxa" w:w="242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~20-line patch</w:t>
            </w:r>
          </w:p>
        </w:tc>
        <w:tc>
          <w:tcPr>
            <w:tcW w:type="dxa" w:w="242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~20-line patch</w:t>
            </w:r>
          </w:p>
        </w:tc>
        <w:tc>
          <w:tcPr>
            <w:tcW w:type="dxa" w:w="24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94A3B8"/>
                <w:sz w:val="20"/>
                <w:szCs w:val="20"/>
              </w:rPr>
              <w:t xml:space="preserve">N/A</w:t>
            </w:r>
          </w:p>
        </w:tc>
      </w:tr>
      <w:tr>
        <w:tc>
          <w:tcPr>
            <w:tcW w:type="dxa" w:w="21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AI Signal Prompts</w:t>
            </w:r>
          </w:p>
        </w:tc>
        <w:tc>
          <w:tcPr>
            <w:tcW w:type="dxa" w:w="242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Build (Phase 7)</w:t>
            </w:r>
          </w:p>
        </w:tc>
        <w:tc>
          <w:tcPr>
            <w:tcW w:type="dxa" w:w="242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Build (Phase 8)</w:t>
            </w:r>
          </w:p>
        </w:tc>
        <w:tc>
          <w:tcPr>
            <w:tcW w:type="dxa" w:w="242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Build (Phase 9)</w:t>
            </w:r>
          </w:p>
        </w:tc>
      </w:tr>
      <w:tr>
        <w:tc>
          <w:tcPr>
            <w:tcW w:type="dxa" w:w="21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Dedicated UI Page</w:t>
            </w:r>
          </w:p>
        </w:tc>
        <w:tc>
          <w:tcPr>
            <w:tcW w:type="dxa" w:w="242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Build (Phase 7)</w:t>
            </w:r>
          </w:p>
        </w:tc>
        <w:tc>
          <w:tcPr>
            <w:tcW w:type="dxa" w:w="242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Build (Phase 8)</w:t>
            </w:r>
          </w:p>
        </w:tc>
        <w:tc>
          <w:tcPr>
            <w:tcW w:type="dxa" w:w="2420"/>
            <w:tcBorders>
              <w:top w:val="single" w:color="CBD5E1" w:sz="1"/>
              <w:left w:val="single" w:color="CBD5E1" w:sz="1"/>
              <w:bottom w:val="single" w:color="CBD5E1" w:sz="1"/>
              <w:right w:val="single" w:color="CBD5E1" w:sz="1"/>
            </w:tcBorders>
            <w:shd w:fill="DBEAFE" w:val="clear"/>
            <w:tcMar>
              <w:top w:type="dxa" w:w="80"/>
              <w:left w:type="dxa" w:w="130"/>
              <w:bottom w:type="dxa" w:w="80"/>
              <w:right w:type="dxa" w:w="130"/>
            </w:tcMar>
            <w:vAlign w:val="center"/>
          </w:tcPr>
          <w:p>
            <w:pPr>
              <w:jc w:val="center"/>
            </w:pPr>
            <w:r>
              <w:rPr>
                <w:rFonts w:ascii="Arial" w:cs="Arial" w:eastAsia="Arial" w:hAnsi="Arial"/>
                <w:b/>
                <w:bCs/>
                <w:color w:val="1D4ED8"/>
                <w:sz w:val="20"/>
                <w:szCs w:val="20"/>
              </w:rPr>
              <w:t xml:space="preserve">Build (Phase 9)</w:t>
            </w:r>
          </w:p>
        </w:tc>
      </w:tr>
    </w:tbl>
    <w:p>
      <w:pPr>
        <w:spacing w:after="80" w:before="80"/>
      </w:pPr>
      <w:r>
        <w:t xml:space="preserve"/>
      </w:r>
    </w:p>
    <w:p>
      <w:pPr>
        <w:spacing w:after="80" w:before="60" w:line="320"/>
        <w:jc w:val="left"/>
      </w:pPr>
      <w:r>
        <w:rPr>
          <w:rFonts w:ascii="Arial" w:cs="Arial" w:eastAsia="Arial" w:hAnsi="Arial"/>
          <w:b w:val="false"/>
          <w:bCs w:val="false"/>
          <w:i w:val="false"/>
          <w:iCs w:val="false"/>
          <w:color w:val="475569"/>
          <w:sz w:val="22"/>
          <w:szCs w:val="22"/>
        </w:rPr>
        <w:t xml:space="preserve">Shared patch detail: is_non_equity(symbol) detects =F suffix (all futures and commodities) and -USD suffix (crypto). The same function is imported by the fundamentals analyst to select the macro/contract reasoning prompt path instead of the balance sheet path. This single change is the only prerequisite before Phase 7 data integration can begin.</w:t>
      </w:r>
    </w:p>
    <w:p>
      <w:pPr>
        <w:spacing w:after="100" w:before="100"/>
      </w:pPr>
      <w:r>
        <w:t xml:space="preserve"/>
      </w:r>
    </w:p>
    <w:p>
      <w:pPr>
        <w:pStyle w:val="Heading2"/>
        <w:spacing w:after="100" w:before="300"/>
      </w:pPr>
      <w:r>
        <w:rPr>
          <w:rFonts w:ascii="Arial" w:cs="Arial" w:eastAsia="Arial" w:hAnsi="Arial"/>
          <w:b/>
          <w:bCs/>
          <w:color w:val="0E4F82"/>
          <w:sz w:val="27"/>
          <w:szCs w:val="27"/>
        </w:rPr>
        <w:t xml:space="preserve">11.6 Community &amp; Creator Pricing</w:t>
      </w:r>
    </w:p>
    <w:p>
      <w:pPr>
        <w:spacing w:after="80" w:before="60" w:line="320"/>
        <w:jc w:val="left"/>
      </w:pPr>
      <w:r>
        <w:rPr>
          <w:rFonts w:ascii="Arial" w:cs="Arial" w:eastAsia="Arial" w:hAnsi="Arial"/>
          <w:b w:val="false"/>
          <w:bCs w:val="false"/>
          <w:i w:val="false"/>
          <w:iCs w:val="false"/>
          <w:color w:val="1E293B"/>
          <w:sz w:val="22"/>
          <w:szCs w:val="22"/>
        </w:rPr>
        <w:t xml:space="preserve">Community reading is included in all base plans at no additional cost. Content publishing and creator monetisation are unlocked via the Creator Add-on or are bundled in future Pro plan evolution. The Creator Add-on is designed to be self-funding: a creator generating $100/mo in reader subscriptions earns $80/mo, more than covering the $19/mo add-on cost.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353"/>
        <w:gridCol w:w="2353"/>
        <w:gridCol w:w="2354"/>
      </w:tblGrid>
      <w:tr>
        <w:tc>
          <w:tcPr>
            <w:tcW w:type="dxa" w:w="23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Plan / Add-on</w:t>
            </w:r>
          </w:p>
        </w:tc>
        <w:tc>
          <w:tcPr>
            <w:tcW w:type="dxa" w:w="2353"/>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Community Reading</w:t>
            </w:r>
          </w:p>
        </w:tc>
        <w:tc>
          <w:tcPr>
            <w:tcW w:type="dxa" w:w="2353"/>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Content Publishing</w:t>
            </w:r>
          </w:p>
        </w:tc>
        <w:tc>
          <w:tcPr>
            <w:tcW w:type="dxa" w:w="2354"/>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Creator Monetisation</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Starter ($199/mo)</w:t>
            </w:r>
          </w:p>
        </w:tc>
        <w:tc>
          <w:tcPr>
            <w:tcW w:type="dxa" w:w="2353"/>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All community articles — read-only</w:t>
            </w:r>
          </w:p>
        </w:tc>
        <w:tc>
          <w:tcPr>
            <w:tcW w:type="dxa" w:w="2353"/>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4A3B8"/>
                <w:sz w:val="20"/>
                <w:szCs w:val="20"/>
              </w:rPr>
              <w:t xml:space="preserve">—</w:t>
            </w:r>
          </w:p>
        </w:tc>
        <w:tc>
          <w:tcPr>
            <w:tcW w:type="dxa" w:w="235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4A3B8"/>
                <w:sz w:val="20"/>
                <w:szCs w:val="20"/>
              </w:rPr>
              <w:t xml:space="preserve">—</w:t>
            </w:r>
          </w:p>
        </w:tc>
      </w:tr>
      <w:tr>
        <w:tc>
          <w:tcPr>
            <w:tcW w:type="dxa" w:w="2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Pro ($399/mo)</w:t>
            </w:r>
          </w:p>
        </w:tc>
        <w:tc>
          <w:tcPr>
            <w:tcW w:type="dxa" w:w="2353"/>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All articles + contributor access</w:t>
            </w:r>
          </w:p>
        </w:tc>
        <w:tc>
          <w:tcPr>
            <w:tcW w:type="dxa" w:w="2353"/>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Up to 5 articles / month</w:t>
            </w:r>
          </w:p>
        </w:tc>
        <w:tc>
          <w:tcPr>
            <w:tcW w:type="dxa" w:w="2354"/>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94A3B8"/>
                <w:sz w:val="20"/>
                <w:szCs w:val="20"/>
              </w:rPr>
              <w:t xml:space="preserve">—</w:t>
            </w:r>
          </w:p>
        </w:tc>
      </w:tr>
      <w:tr>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Creator Add-on (+$19/mo)</w:t>
            </w:r>
          </w:p>
        </w:tc>
        <w:tc>
          <w:tcPr>
            <w:tcW w:type="dxa" w:w="2353"/>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All articles + contribution</w:t>
            </w:r>
          </w:p>
        </w:tc>
        <w:tc>
          <w:tcPr>
            <w:tcW w:type="dxa" w:w="2353"/>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Unlimited articles + analytics dashboard</w:t>
            </w:r>
          </w:p>
        </w:tc>
        <w:tc>
          <w:tcPr>
            <w:tcW w:type="dxa" w:w="2354"/>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80% of reader subscription revenue (Stripe Connect)</w:t>
            </w:r>
          </w:p>
        </w:tc>
      </w:tr>
      <w:tr>
        <w:tc>
          <w:tcPr>
            <w:tcW w:type="dxa" w:w="23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A5E9"/>
                <w:sz w:val="20"/>
                <w:szCs w:val="20"/>
              </w:rPr>
              <w:t xml:space="preserve">Verified Analyst (earned)</w:t>
            </w:r>
          </w:p>
        </w:tc>
        <w:tc>
          <w:tcPr>
            <w:tcW w:type="dxa" w:w="2353"/>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All + Featured placement in discovery</w:t>
            </w:r>
          </w:p>
        </w:tc>
        <w:tc>
          <w:tcPr>
            <w:tcW w:type="dxa" w:w="2353"/>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Unlimited + Priority distribution</w:t>
            </w:r>
          </w:p>
        </w:tc>
        <w:tc>
          <w:tcPr>
            <w:tcW w:type="dxa" w:w="2354"/>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Enhanced share + platform fund priority</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12.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900"/>
        <w:gridCol w:w="5360"/>
      </w:tblGrid>
      <w:tr>
        <w:tc>
          <w:tcPr>
            <w:tcW w:type="dxa" w:w="7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ID</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Risk</w:t>
            </w:r>
          </w:p>
        </w:tc>
        <w:tc>
          <w:tcPr>
            <w:tcW w:type="dxa" w:w="9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Severity</w:t>
            </w:r>
          </w:p>
        </w:tc>
        <w:tc>
          <w:tcPr>
            <w:tcW w:type="dxa" w:w="53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Mitigation</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475569"/>
                <w:sz w:val="20"/>
                <w:szCs w:val="20"/>
              </w:rPr>
              <w:t xml:space="preserve">R1</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LLM API pricing change or model deprecation</w:t>
            </w:r>
          </w:p>
        </w:tc>
        <w:tc>
          <w:tcPr>
            <w:tcW w:type="dxa" w:w="900"/>
            <w:tcBorders>
              <w:top w:val="single" w:color="CBD5E1" w:sz="1"/>
              <w:left w:val="single" w:color="CBD5E1" w:sz="1"/>
              <w:bottom w:val="single" w:color="CBD5E1" w:sz="1"/>
              <w:right w:val="single" w:color="CBD5E1" w:sz="1"/>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20"/>
                <w:szCs w:val="20"/>
              </w:rPr>
              <w:t xml:space="preserve">High</w:t>
            </w:r>
          </w:p>
        </w:tc>
        <w:tc>
          <w:tcPr>
            <w:tcW w:type="dxa" w:w="5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LLM-agnostic architecture via OpenRouter. Local model support (Ollama) in Phase 3 eliminates API dependency for routine tasks. Quant methodology layer is model-independent and unchanged by model swaps.</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475569"/>
                <w:sz w:val="20"/>
                <w:szCs w:val="20"/>
              </w:rPr>
              <w:t xml:space="preserve">R2</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Polygon.io pricing increase or API changes</w:t>
            </w:r>
          </w:p>
        </w:tc>
        <w:tc>
          <w:tcPr>
            <w:tcW w:type="dxa" w:w="9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Medium</w:t>
            </w:r>
          </w:p>
        </w:tc>
        <w:tc>
          <w:tcPr>
            <w:tcW w:type="dxa" w:w="5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Data abstraction layer (ODP Python) so the provider is swappable. Alpaca Markets is a credible fallback at similar pricing. FRED and EDGAR remain free regardless.</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475569"/>
                <w:sz w:val="20"/>
                <w:szCs w:val="20"/>
              </w:rPr>
              <w:t xml:space="preserve">R3</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OpenBB changes widget manifest protocol</w:t>
            </w:r>
          </w:p>
        </w:tc>
        <w:tc>
          <w:tcPr>
            <w:tcW w:type="dxa" w:w="9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Low</w:t>
            </w:r>
          </w:p>
        </w:tc>
        <w:tc>
          <w:tcPr>
            <w:tcW w:type="dxa" w:w="5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widgets.json is a thin adapter layer. Core Oasis endpoints are unchanged. Re-adapting to a new manifest format is a days-long engineering effort.</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475569"/>
                <w:sz w:val="20"/>
                <w:szCs w:val="20"/>
              </w:rPr>
              <w:t xml:space="preserve">R4</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Competitor ships equivalent quant analytics</w:t>
            </w:r>
          </w:p>
        </w:tc>
        <w:tc>
          <w:tcPr>
            <w:tcW w:type="dxa" w:w="9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Medium</w:t>
            </w:r>
          </w:p>
        </w:tc>
        <w:tc>
          <w:tcPr>
            <w:tcW w:type="dxa" w:w="5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Speed to market on signal track record (Phase 2) and OpenBB integration (Phase 4). Proprietary signal data logged from Phase 2 onward creates a growing data moat competitors cannot replicate.</w:t>
            </w:r>
          </w:p>
        </w:tc>
      </w:tr>
      <w:tr>
        <w:tc>
          <w:tcPr>
            <w:tcW w:type="dxa" w:w="7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475569"/>
                <w:sz w:val="20"/>
                <w:szCs w:val="20"/>
              </w:rPr>
              <w:t xml:space="preserve">R5</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SEC EDGAR rate limiting or schema changes</w:t>
            </w:r>
          </w:p>
        </w:tc>
        <w:tc>
          <w:tcPr>
            <w:tcW w:type="dxa" w:w="900"/>
            <w:tcBorders>
              <w:top w:val="single" w:color="CBD5E1" w:sz="1"/>
              <w:left w:val="single" w:color="CBD5E1" w:sz="1"/>
              <w:bottom w:val="single" w:color="CBD5E1" w:sz="1"/>
              <w:right w:val="single" w:color="CBD5E1" w:sz="1"/>
            </w:tcBorders>
            <w:shd w:fill="FEF3C7" w:val="clear"/>
            <w:tcMar>
              <w:top w:type="dxa" w:w="80"/>
              <w:left w:type="dxa" w:w="130"/>
              <w:bottom w:type="dxa" w:w="80"/>
              <w:right w:type="dxa" w:w="130"/>
            </w:tcMar>
            <w:vAlign w:val="center"/>
          </w:tcPr>
          <w:p>
            <w:pPr>
              <w:jc w:val="center"/>
            </w:pPr>
            <w:r>
              <w:rPr>
                <w:rFonts w:ascii="Arial" w:cs="Arial" w:eastAsia="Arial" w:hAnsi="Arial"/>
                <w:b/>
                <w:bCs/>
                <w:color w:val="92400E"/>
                <w:sz w:val="20"/>
                <w:szCs w:val="20"/>
              </w:rPr>
              <w:t xml:space="preserve">Medium</w:t>
            </w:r>
          </w:p>
        </w:tc>
        <w:tc>
          <w:tcPr>
            <w:tcW w:type="dxa" w:w="5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Cache 13F data in TimescaleDB. 13F filings are quarterly so daily re-fetches are unnecessary. EDGAR data is legally public so no lock-in risk from the source.</w:t>
            </w:r>
          </w:p>
        </w:tc>
      </w:tr>
      <w:tr>
        <w:tc>
          <w:tcPr>
            <w:tcW w:type="dxa" w:w="7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475569"/>
                <w:sz w:val="20"/>
                <w:szCs w:val="20"/>
              </w:rPr>
              <w:t xml:space="preserve">R6</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yfinance continued degradation (current, pre-Phase 1)</w:t>
            </w:r>
          </w:p>
        </w:tc>
        <w:tc>
          <w:tcPr>
            <w:tcW w:type="dxa" w:w="900"/>
            <w:tcBorders>
              <w:top w:val="single" w:color="CBD5E1" w:sz="1"/>
              <w:left w:val="single" w:color="CBD5E1" w:sz="1"/>
              <w:bottom w:val="single" w:color="CBD5E1" w:sz="1"/>
              <w:right w:val="single" w:color="CBD5E1" w:sz="1"/>
            </w:tcBorders>
            <w:shd w:fill="FEE2E2" w:val="clear"/>
            <w:tcMar>
              <w:top w:type="dxa" w:w="80"/>
              <w:left w:type="dxa" w:w="130"/>
              <w:bottom w:type="dxa" w:w="80"/>
              <w:right w:type="dxa" w:w="130"/>
            </w:tcMar>
            <w:vAlign w:val="center"/>
          </w:tcPr>
          <w:p>
            <w:pPr>
              <w:jc w:val="center"/>
            </w:pPr>
            <w:r>
              <w:rPr>
                <w:rFonts w:ascii="Arial" w:cs="Arial" w:eastAsia="Arial" w:hAnsi="Arial"/>
                <w:b/>
                <w:bCs/>
                <w:color w:val="991B1B"/>
                <w:sz w:val="20"/>
                <w:szCs w:val="20"/>
              </w:rPr>
              <w:t xml:space="preserve">High (now)</w:t>
            </w:r>
          </w:p>
        </w:tc>
        <w:tc>
          <w:tcPr>
            <w:tcW w:type="dxa" w:w="5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Fully resolved in Phase 1 by switching to Polygon.io. Zero long-term risk post-migration. Highest priority.</w:t>
            </w:r>
          </w:p>
        </w:tc>
      </w:tr>
    </w:tbl>
    <w:p>
      <w:pPr>
        <w:spacing w:after="160" w:before="160"/>
      </w:pPr>
      <w:r>
        <w:t xml:space="preserve"/>
      </w:r>
    </w:p>
    <w:p>
      <w:pPr>
        <w:pStyle w:val="Heading1"/>
        <w:pBdr>
          <w:bottom w:val="single" w:color="0EA5E9" w:sz="5" w:space="5"/>
        </w:pBdr>
        <w:spacing w:after="60" w:before="440"/>
      </w:pPr>
      <w:r>
        <w:rPr>
          <w:rFonts w:ascii="Arial" w:cs="Arial" w:eastAsia="Arial" w:hAnsi="Arial"/>
          <w:b/>
          <w:bCs/>
          <w:color w:val="0F172A"/>
          <w:sz w:val="34"/>
          <w:szCs w:val="34"/>
        </w:rPr>
        <w:t xml:space="preserve">13. Success Metrics</w:t>
      </w:r>
    </w:p>
    <w:p>
      <w:pPr>
        <w:pStyle w:val="Heading2"/>
        <w:spacing w:after="100" w:before="300"/>
      </w:pPr>
      <w:r>
        <w:rPr>
          <w:rFonts w:ascii="Arial" w:cs="Arial" w:eastAsia="Arial" w:hAnsi="Arial"/>
          <w:b/>
          <w:bCs/>
          <w:color w:val="0E4F82"/>
          <w:sz w:val="27"/>
          <w:szCs w:val="27"/>
        </w:rPr>
        <w:t xml:space="preserve">12.1 Technical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Metric</w:t>
            </w:r>
          </w:p>
        </w:tc>
        <w:tc>
          <w:tcPr>
            <w:tcW w:type="dxa" w:w="21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Current</w:t>
            </w:r>
          </w:p>
        </w:tc>
        <w:tc>
          <w:tcPr>
            <w:tcW w:type="dxa" w:w="21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Phase 1 Target</w:t>
            </w:r>
          </w:p>
        </w:tc>
        <w:tc>
          <w:tcPr>
            <w:tcW w:type="dxa" w:w="21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Phase 4 Target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Dashboard load time (P95)</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91B1B"/>
                <w:sz w:val="20"/>
                <w:szCs w:val="20"/>
              </w:rPr>
              <w:t xml:space="preserve">8–30s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2400E"/>
                <w:sz w:val="20"/>
                <w:szCs w:val="20"/>
              </w:rPr>
              <w:t xml:space="preserve">&lt; 2s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&lt; 500ms</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endpoint latency</w:t>
            </w:r>
          </w:p>
        </w:tc>
        <w:tc>
          <w:tcPr>
            <w:tcW w:type="dxa" w:w="2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991B1B"/>
                <w:sz w:val="20"/>
                <w:szCs w:val="20"/>
              </w:rPr>
              <w:t xml:space="preserve">10–45s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92400E"/>
                <w:sz w:val="20"/>
                <w:szCs w:val="20"/>
              </w:rPr>
              <w:t xml:space="preserve">&lt; 3s</w:t>
            </w:r>
          </w:p>
        </w:tc>
        <w:tc>
          <w:tcPr>
            <w:tcW w:type="dxa" w:w="2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&lt; 1s</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Price data freshness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91B1B"/>
                <w:sz w:val="20"/>
                <w:szCs w:val="20"/>
              </w:rPr>
              <w:t xml:space="preserve">15–60s</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2400E"/>
                <w:sz w:val="20"/>
                <w:szCs w:val="20"/>
              </w:rPr>
              <w:t xml:space="preserve">&lt; 5s HTTP</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&lt; 1s (WebSocket)</w:t>
            </w:r>
          </w:p>
        </w:tc>
      </w:tr>
      <w:tr>
        <w:tc>
          <w:tcPr>
            <w:tcW w:type="dxa" w:w="3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Cache hit rate</w:t>
            </w:r>
          </w:p>
        </w:tc>
        <w:tc>
          <w:tcPr>
            <w:tcW w:type="dxa" w:w="2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991B1B"/>
                <w:sz w:val="20"/>
                <w:szCs w:val="20"/>
              </w:rPr>
              <w:t xml:space="preserve">0% (none)</w:t>
            </w:r>
          </w:p>
        </w:tc>
        <w:tc>
          <w:tcPr>
            <w:tcW w:type="dxa" w:w="2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92400E"/>
                <w:sz w:val="20"/>
                <w:szCs w:val="20"/>
              </w:rPr>
              <w:t xml:space="preserve">60–70%</w:t>
            </w:r>
          </w:p>
        </w:tc>
        <w:tc>
          <w:tcPr>
            <w:tcW w:type="dxa" w:w="21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90%+</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API uptime</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91B1B"/>
                <w:sz w:val="20"/>
                <w:szCs w:val="20"/>
              </w:rPr>
              <w:t xml:space="preserve">localhost only</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92400E"/>
                <w:sz w:val="20"/>
                <w:szCs w:val="20"/>
              </w:rPr>
              <w:t xml:space="preserve">99%</w:t>
            </w:r>
          </w:p>
        </w:tc>
        <w:tc>
          <w:tcPr>
            <w:tcW w:type="dxa" w:w="21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99.9%</w:t>
            </w:r>
          </w:p>
        </w:tc>
      </w:tr>
    </w:tbl>
    <w:p>
      <w:pPr>
        <w:spacing w:after="100" w:before="100"/>
      </w:pPr>
      <w:r>
        <w:t xml:space="preserve"/>
      </w:r>
    </w:p>
    <w:p>
      <w:pPr>
        <w:pStyle w:val="Heading2"/>
        <w:spacing w:after="100" w:before="300"/>
      </w:pPr>
      <w:r>
        <w:rPr>
          <w:rFonts w:ascii="Arial" w:cs="Arial" w:eastAsia="Arial" w:hAnsi="Arial"/>
          <w:b/>
          <w:bCs/>
          <w:color w:val="0E4F82"/>
          <w:sz w:val="27"/>
          <w:szCs w:val="27"/>
        </w:rPr>
        <w:t xml:space="preserve">12.2 Product &amp; Moat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Metric</w:t>
            </w:r>
          </w:p>
        </w:tc>
        <w:tc>
          <w:tcPr>
            <w:tcW w:type="dxa" w:w="32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Definition</w:t>
            </w:r>
          </w:p>
        </w:tc>
        <w:tc>
          <w:tcPr>
            <w:tcW w:type="dxa" w:w="328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12-Month Target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Track Record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Signals logged with outcome validation at 30d and 90d</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500+ logged signals with outcomes tracked</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Win Rate</w:t>
            </w:r>
          </w:p>
        </w:tc>
        <w:tc>
          <w:tcPr>
            <w:tcW w:type="dxa" w:w="32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 of signals where price moved in predicted direction within 30d</w:t>
            </w:r>
          </w:p>
        </w:tc>
        <w:tc>
          <w:tcPr>
            <w:tcW w:type="dxa" w:w="32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Baseline established; target above 55%</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OpenBB Plugin Connections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Unique users connecting Oasis backend via OpenBB Workspace</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100+ active connections post-launch</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Daily Active Workflow Users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Users running rebalance or screener at least 3 times per week</w:t>
            </w:r>
          </w:p>
        </w:tc>
        <w:tc>
          <w:tcPr>
            <w:tcW w:type="dxa" w:w="328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50+ DAUs after public launch</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Methodology Documentation</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Core quant methods documented with academic citations and backtest</w:t>
            </w:r>
          </w:p>
        </w:tc>
        <w:tc>
          <w:tcPr>
            <w:tcW w:type="dxa" w:w="328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All 5 core methods documented and published</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14. Community &amp; Creator Platform</w:t>
      </w:r>
    </w:p>
    <w:p>
      <w:pPr>
        <w:spacing w:after="80" w:before="60" w:line="320"/>
        <w:jc w:val="left"/>
      </w:pPr>
      <w:r>
        <w:rPr>
          <w:rFonts w:ascii="Arial" w:cs="Arial" w:eastAsia="Arial" w:hAnsi="Arial"/>
          <w:b w:val="false"/>
          <w:bCs w:val="false"/>
          <w:i w:val="false"/>
          <w:iCs w:val="false"/>
          <w:color w:val="1E293B"/>
          <w:sz w:val="22"/>
          <w:szCs w:val="22"/>
        </w:rPr>
        <w:t xml:space="preserve">Oasis Terminal is a research platform built on real-time quant signals and AI-augmented analysis. Those signals gain credibility and audience when accompanied by expert human commentary. The Community &amp; Creator Platform allows traders and analysts to publish research, stock theses, and market commentary directly on Oasis, where it surfaces alongside Polygon.io news and AI-generated signals in the instrument view.</w:t>
      </w:r>
    </w:p>
    <w:p>
      <w:pPr>
        <w:spacing w:after="60" w:before="60"/>
      </w:pPr>
      <w:r>
        <w:t xml:space="preserve"/>
      </w:r>
    </w:p>
    <w:p>
      <w:pPr>
        <w:spacing w:after="80" w:before="60" w:line="320"/>
        <w:jc w:val="left"/>
      </w:pPr>
      <w:r>
        <w:rPr>
          <w:rFonts w:ascii="Arial" w:cs="Arial" w:eastAsia="Arial" w:hAnsi="Arial"/>
          <w:b w:val="false"/>
          <w:bCs w:val="false"/>
          <w:i w:val="false"/>
          <w:iCs w:val="false"/>
          <w:color w:val="1E293B"/>
          <w:sz w:val="22"/>
          <w:szCs w:val="22"/>
        </w:rPr>
        <w:t xml:space="preserve">The long-term flywheel: quality research attracts engaged readers, readers become paying subscribers, subscription revenue enables creator payouts, competitive payouts attract higher-quality creators. The key differentiator versus Seeking Alpha or Substack is verifiability — creator track records are quantitative, auditable, and permanently linked to the platform's signal outcome logging system. Readers can see whether an author's past calls actually worked before they pay for access.</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14.1 Creator Tiers</w:t>
      </w:r>
    </w:p>
    <w:p>
      <w:pPr>
        <w:spacing w:after="80" w:before="60" w:line="320"/>
        <w:jc w:val="left"/>
      </w:pPr>
      <w:r>
        <w:rPr>
          <w:rFonts w:ascii="Arial" w:cs="Arial" w:eastAsia="Arial" w:hAnsi="Arial"/>
          <w:b w:val="false"/>
          <w:bCs w:val="false"/>
          <w:i w:val="false"/>
          <w:iCs w:val="false"/>
          <w:color w:val="1E293B"/>
          <w:sz w:val="22"/>
          <w:szCs w:val="22"/>
        </w:rPr>
        <w:t xml:space="preserve">Oasis screens creator applicants who hold recognised financial credentials — CFA, CFP, or any FINRA/NFA Series licence — and grants them a Credentialed Creator badge after verification. This creates a two-track credibility system: credential-based trust (who the person is) and track-record-based trust (how their past calls performed). A creator can qualify for both simultaneously.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400"/>
        <w:gridCol w:w="2260"/>
        <w:gridCol w:w="2300"/>
      </w:tblGrid>
      <w:tr>
        <w:tc>
          <w:tcPr>
            <w:tcW w:type="dxa" w:w="15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Tier</w:t>
            </w:r>
          </w:p>
        </w:tc>
        <w:tc>
          <w:tcPr>
            <w:tcW w:type="dxa" w:w="19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Entry</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Publish / mo</w:t>
            </w:r>
          </w:p>
        </w:tc>
        <w:tc>
          <w:tcPr>
            <w:tcW w:type="dxa" w:w="22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Credential / Track Record</w:t>
            </w:r>
          </w:p>
        </w:tc>
        <w:tc>
          <w:tcPr>
            <w:tcW w:type="dxa" w:w="23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Revenue Share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Reader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Any Starter or Pro subscriber</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Read-only</w:t>
            </w:r>
          </w:p>
        </w:tc>
        <w:tc>
          <w:tcPr>
            <w:tcW w:type="dxa" w:w="2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w:t>
            </w:r>
          </w:p>
        </w:tc>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t>
            </w:r>
          </w:p>
        </w:tc>
      </w:tr>
      <w:tr>
        <w:tc>
          <w:tcPr>
            <w:tcW w:type="dxa" w:w="1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Contributor</w:t>
            </w:r>
          </w:p>
        </w:tc>
        <w:tc>
          <w:tcPr>
            <w:tcW w:type="dxa" w:w="1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Any base plan — no add-on required</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Up to 5 articles</w:t>
            </w:r>
          </w:p>
        </w:tc>
        <w:tc>
          <w:tcPr>
            <w:tcW w:type="dxa" w:w="22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Optional</w:t>
            </w:r>
          </w:p>
        </w:tc>
        <w:tc>
          <w:tcPr>
            <w:tcW w:type="dxa" w:w="2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w:t>
            </w:r>
          </w:p>
        </w:tc>
      </w:tr>
      <w:tr>
        <w:tc>
          <w:tcPr>
            <w:tcW w:type="dxa" w:w="1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Creator</w:t>
            </w:r>
          </w:p>
        </w:tc>
        <w:tc>
          <w:tcPr>
            <w:tcW w:type="dxa" w:w="1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Creator Add-on (+$19/mo)</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Unlimited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Optional — signal_log track record displayed if opted in</w:t>
            </w:r>
          </w:p>
        </w:tc>
        <w:tc>
          <w:tcPr>
            <w:tcW w:type="dxa" w:w="2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80% of reader subscription revenue via Stripe Connect</w:t>
            </w:r>
          </w:p>
        </w:tc>
      </w:tr>
      <w:tr>
        <w:tc>
          <w:tcPr>
            <w:tcW w:type="dxa" w:w="15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Credentialed Creator</w:t>
            </w:r>
          </w:p>
        </w:tc>
        <w:tc>
          <w:tcPr>
            <w:tcW w:type="dxa" w:w="19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CFA · CFP · Series 3/6/7/63/65/66 · CAIA · CMT — verified</w:t>
            </w:r>
          </w:p>
        </w:tc>
        <w:tc>
          <w:tcPr>
            <w:tcW w:type="dxa" w:w="14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Unlimited + Badge</w:t>
            </w:r>
          </w:p>
        </w:tc>
        <w:tc>
          <w:tcPr>
            <w:tcW w:type="dxa" w:w="226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Credential badge on profile and every article. Disclosure required.</w:t>
            </w:r>
          </w:p>
        </w:tc>
        <w:tc>
          <w:tcPr>
            <w:tcW w:type="dxa" w:w="2300"/>
            <w:tcBorders>
              <w:top w:val="single" w:color="CBD5E1" w:sz="1"/>
              <w:left w:val="single" w:color="CBD5E1" w:sz="1"/>
              <w:bottom w:val="single" w:color="CBD5E1" w:sz="1"/>
              <w:right w:val="single" w:color="CBD5E1" w:sz="1"/>
            </w:tcBorders>
            <w:shd w:fill="DCFCE7"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80% of reader subscription revenue via Stripe Connect</w:t>
            </w:r>
          </w:p>
        </w:tc>
      </w:tr>
      <w:tr>
        <w:tc>
          <w:tcPr>
            <w:tcW w:type="dxa" w:w="15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0EA5E9"/>
                <w:sz w:val="20"/>
                <w:szCs w:val="20"/>
              </w:rPr>
              <w:t xml:space="preserve">Verified Analyst</w:t>
            </w:r>
          </w:p>
        </w:tc>
        <w:tc>
          <w:tcPr>
            <w:tcW w:type="dxa" w:w="19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Creator tier + 90-day live track record above 55% win rate</w:t>
            </w:r>
          </w:p>
        </w:tc>
        <w:tc>
          <w:tcPr>
            <w:tcW w:type="dxa" w:w="14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Unlimited + Featured</w:t>
            </w:r>
          </w:p>
        </w:tc>
        <w:tc>
          <w:tcPr>
            <w:tcW w:type="dxa" w:w="226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Required — public badge: win rate, signal count, 30/90d returns</w:t>
            </w:r>
          </w:p>
        </w:tc>
        <w:tc>
          <w:tcPr>
            <w:tcW w:type="dxa" w:w="2300"/>
            <w:tcBorders>
              <w:top w:val="single" w:color="CBD5E1" w:sz="1"/>
              <w:left w:val="single" w:color="CBD5E1" w:sz="1"/>
              <w:bottom w:val="single" w:color="CBD5E1" w:sz="1"/>
              <w:right w:val="single" w:color="CBD5E1" w:sz="1"/>
            </w:tcBorders>
            <w:shd w:fill="E8F5FD" w:val="clear"/>
            <w:tcMar>
              <w:top w:type="dxa" w:w="80"/>
              <w:left w:type="dxa" w:w="130"/>
              <w:bottom w:type="dxa" w:w="80"/>
              <w:right w:type="dxa" w:w="130"/>
            </w:tcMar>
            <w:vAlign w:val="center"/>
          </w:tcPr>
          <w:p>
            <w:pPr>
              <w:jc w:val="left"/>
            </w:pPr>
            <w:r>
              <w:rPr>
                <w:rFonts w:ascii="Arial" w:cs="Arial" w:eastAsia="Arial" w:hAnsi="Arial"/>
                <w:b/>
                <w:bCs/>
                <w:color w:val="166534"/>
                <w:sz w:val="20"/>
                <w:szCs w:val="20"/>
              </w:rPr>
              <w:t xml:space="preserve">Enhanced share + platform fund priority</w:t>
            </w:r>
          </w:p>
        </w:tc>
      </w:tr>
    </w:tbl>
    <w:p>
      <w:pPr>
        <w:spacing w:after="120" w:before="120"/>
      </w:pPr>
      <w:r>
        <w:t xml:space="preserve"/>
      </w:r>
    </w:p>
    <w:p>
      <w:pPr>
        <w:pStyle w:val="Heading2"/>
        <w:spacing w:after="100" w:before="300"/>
      </w:pPr>
      <w:r>
        <w:rPr>
          <w:rFonts w:ascii="Arial" w:cs="Arial" w:eastAsia="Arial" w:hAnsi="Arial"/>
          <w:b/>
          <w:bCs/>
          <w:color w:val="0E4F82"/>
          <w:sz w:val="27"/>
          <w:szCs w:val="27"/>
        </w:rPr>
        <w:t xml:space="preserve">14.2 Content Features</w:t>
      </w:r>
    </w:p>
    <w:p>
      <w:pPr>
        <w:pStyle w:val="ListParagraph"/>
        <w:numPr>
          <w:ilvl w:val="0"/>
          <w:numId w:val="2"/>
        </w:numPr>
        <w:spacing w:after="40" w:before="40"/>
      </w:pPr>
      <w:r>
        <w:rPr>
          <w:rFonts w:ascii="Arial" w:cs="Arial" w:eastAsia="Arial" w:hAnsi="Arial"/>
          <w:color w:val="1E293B"/>
          <w:sz w:val="22"/>
          <w:szCs w:val="22"/>
        </w:rPr>
        <w:t xml:space="preserve">Markdown editor with live Oasis chart embeds — pull portfolio weights, signal charts, and pair trade Z-scores directly into articles</w:t>
      </w:r>
    </w:p>
    <w:p>
      <w:pPr>
        <w:pStyle w:val="ListParagraph"/>
        <w:numPr>
          <w:ilvl w:val="0"/>
          <w:numId w:val="2"/>
        </w:numPr>
        <w:spacing w:after="40" w:before="40"/>
      </w:pPr>
      <w:r>
        <w:rPr>
          <w:rFonts w:ascii="Arial" w:cs="Arial" w:eastAsia="Arial" w:hAnsi="Arial"/>
          <w:color w:val="1E293B"/>
          <w:sz w:val="22"/>
          <w:szCs w:val="22"/>
        </w:rPr>
        <w:t xml:space="preserve">Ticker-tagged articles — each article links to one or more instruments and surfaces in the news panel alongside Polygon.io data</w:t>
      </w:r>
    </w:p>
    <w:p>
      <w:pPr>
        <w:pStyle w:val="ListParagraph"/>
        <w:numPr>
          <w:ilvl w:val="0"/>
          <w:numId w:val="2"/>
        </w:numPr>
        <w:spacing w:after="40" w:before="40"/>
      </w:pPr>
      <w:r>
        <w:rPr>
          <w:rFonts w:ascii="Arial" w:cs="Arial" w:eastAsia="Arial" w:hAnsi="Arial"/>
          <w:color w:val="1E293B"/>
          <w:sz w:val="22"/>
          <w:szCs w:val="22"/>
        </w:rPr>
        <w:t xml:space="preserve">Author profile — bio, follower count, published articles, and signal track record widget drawn from the Phase 2 signal_log table</w:t>
      </w:r>
    </w:p>
    <w:p>
      <w:pPr>
        <w:pStyle w:val="ListParagraph"/>
        <w:numPr>
          <w:ilvl w:val="0"/>
          <w:numId w:val="2"/>
        </w:numPr>
        <w:spacing w:after="40" w:before="40"/>
      </w:pPr>
      <w:r>
        <w:rPr>
          <w:rFonts w:ascii="Arial" w:cs="Arial" w:eastAsia="Arial" w:hAnsi="Arial"/>
          <w:color w:val="1E293B"/>
          <w:sz w:val="22"/>
          <w:szCs w:val="22"/>
        </w:rPr>
        <w:t xml:space="preserve">Content discovery — trending articles, browse by ticker, by creator, by asset class; engagement score (reads + bookmarks + saves) drives ranking</w:t>
      </w:r>
    </w:p>
    <w:p>
      <w:pPr>
        <w:pStyle w:val="ListParagraph"/>
        <w:numPr>
          <w:ilvl w:val="0"/>
          <w:numId w:val="2"/>
        </w:numPr>
        <w:spacing w:after="40" w:before="40"/>
      </w:pPr>
      <w:r>
        <w:rPr>
          <w:rFonts w:ascii="Arial" w:cs="Arial" w:eastAsia="Arial" w:hAnsi="Arial"/>
          <w:color w:val="1E293B"/>
          <w:sz w:val="22"/>
          <w:szCs w:val="22"/>
        </w:rPr>
        <w:t xml:space="preserve">Reactions — upvote, bookmark, save; used both for discovery ranking and for platform revenue share calculation</w:t>
      </w:r>
    </w:p>
    <w:p>
      <w:pPr>
        <w:pStyle w:val="ListParagraph"/>
        <w:numPr>
          <w:ilvl w:val="0"/>
          <w:numId w:val="2"/>
        </w:numPr>
        <w:spacing w:after="40" w:before="40"/>
      </w:pPr>
      <w:r>
        <w:rPr>
          <w:rFonts w:ascii="Arial" w:cs="Arial" w:eastAsia="Arial" w:hAnsi="Arial"/>
          <w:color w:val="1E293B"/>
          <w:sz w:val="22"/>
          <w:szCs w:val="22"/>
        </w:rPr>
        <w:t xml:space="preserve">Creator newsletter — optional email digest of new posts delivered to followers via Resend or Postmark free tier</w:t>
      </w:r>
    </w:p>
    <w:p>
      <w:pPr>
        <w:pStyle w:val="ListParagraph"/>
        <w:numPr>
          <w:ilvl w:val="0"/>
          <w:numId w:val="2"/>
        </w:numPr>
        <w:spacing w:after="40" w:before="40"/>
      </w:pPr>
      <w:r>
        <w:rPr>
          <w:rFonts w:ascii="Arial" w:cs="Arial" w:eastAsia="Arial" w:hAnsi="Arial"/>
          <w:color w:val="1E293B"/>
          <w:sz w:val="22"/>
          <w:szCs w:val="22"/>
        </w:rPr>
        <w:t xml:space="preserve">AI moderation — Claude Haiku screens draft articles on submission for quality threshold, spam, and factual claim flags; non-blocking but flags content for review queue</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14.3 Monetisation Models</w:t>
      </w:r>
    </w:p>
    <w:p>
      <w:pPr>
        <w:spacing w:after="80" w:before="60" w:line="320"/>
        <w:jc w:val="left"/>
      </w:pPr>
      <w:r>
        <w:rPr>
          <w:rFonts w:ascii="Arial" w:cs="Arial" w:eastAsia="Arial" w:hAnsi="Arial"/>
          <w:b w:val="false"/>
          <w:bCs w:val="false"/>
          <w:i w:val="false"/>
          <w:iCs w:val="false"/>
          <w:color w:val="1E293B"/>
          <w:sz w:val="22"/>
          <w:szCs w:val="22"/>
        </w:rPr>
        <w:t xml:space="preserve">Three monetisation layers are proposed and designed to coexist. Model 1 (creator subscriptions) is the primary revenue driver and the first to build. Model 2 (platform fund) is a supplementary incentive for volume and consistency. Model 3 (Verified Analyst badge) is indirect but is the most meaningful differentiator versus any competing research platform — it ties authorship credibility to a verifiable quantitative track record.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1400"/>
        <w:gridCol w:w="1400"/>
        <w:gridCol w:w="1400"/>
      </w:tblGrid>
      <w:tr>
        <w:tc>
          <w:tcPr>
            <w:tcW w:type="dxa" w:w="2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Model</w:t>
            </w:r>
          </w:p>
        </w:tc>
        <w:tc>
          <w:tcPr>
            <w:tcW w:type="dxa" w:w="31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How It Works</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Creator</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Platform</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Phase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Creator Subscription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Readers pay creator a monthly rate ($5–$20/mo, set by creator). Oasis deducts platform fee automatically on each charge. Stripe Connect handles direct monthly payouts to creator bank accounts. Readers can subscribe to multiple creators independently.</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80%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20%</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10</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Platform Revenue Share Fund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5% of total Oasis subscription revenue pooled monthly. Distributed to all revenue-eligible creators pro-rated by engagement score (reads + bookmarks + saves). Rewards consistent, high-quality output rather than subscriber count alone.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Pool share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95%</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Verified Analyst Badge</w:t>
            </w:r>
          </w:p>
        </w:tc>
        <w:tc>
          <w:tcPr>
            <w:tcW w:type="dxa" w:w="31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Track record credential derived from signal_log (Phase 2). Displays win rate, signal count, and 30/90-day returns publicly on author profile. Not directly monetised but is the primary driver of creator subscription conversion and trust.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Indirect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Phase 10</w:t>
            </w:r>
          </w:p>
        </w:tc>
      </w:tr>
    </w:tbl>
    <w:p>
      <w:pPr>
        <w:spacing w:after="120" w:before="120"/>
      </w:pPr>
      <w:r>
        <w:t xml:space="preserve"/>
      </w:r>
    </w:p>
    <w:p>
      <w:pPr>
        <w:pStyle w:val="Heading2"/>
        <w:spacing w:after="100" w:before="300"/>
      </w:pPr>
      <w:r>
        <w:rPr>
          <w:rFonts w:ascii="Arial" w:cs="Arial" w:eastAsia="Arial" w:hAnsi="Arial"/>
          <w:b/>
          <w:bCs/>
          <w:color w:val="0E4F82"/>
          <w:sz w:val="27"/>
          <w:szCs w:val="27"/>
        </w:rPr>
        <w:t xml:space="preserve">14.4 Technical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60"/>
        <w:gridCol w:w="2400"/>
        <w:gridCol w:w="140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Component</w:t>
            </w:r>
          </w:p>
        </w:tc>
        <w:tc>
          <w:tcPr>
            <w:tcW w:type="dxa" w:w="37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Tech / Provider</w:t>
            </w:r>
          </w:p>
        </w:tc>
        <w:tc>
          <w:tcPr>
            <w:tcW w:type="dxa" w:w="1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Infra Cost</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Article Storage</w:t>
            </w:r>
          </w:p>
        </w:tc>
        <w:tc>
          <w:tcPr>
            <w:tcW w:type="dxa" w:w="3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Markdown articles with ticker tags, author ID, publish status, engagement counts. Images and media stored externally.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PostgreSQL + Hetzner Object Storage (S3-compatible)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+$5–15/mo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Creator Profiles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Author bio, follower count, publish history. Joins to signal_log table from Phase 2 to surface verifiable track record on every author page.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PostgreSQL — shared DB instance, no new service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AI Moderation</w:t>
            </w:r>
          </w:p>
        </w:tc>
        <w:tc>
          <w:tcPr>
            <w:tcW w:type="dxa" w:w="3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Screen draft articles on submit: quality threshold check, spam detection, duplicate detection, factual claim flags. Non-blocking — publishes but routes flagged articles to a review queue.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Claude Haiku (within existing LLM API budget)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+$0–5/mo</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Creator Payouts</w:t>
            </w:r>
          </w:p>
        </w:tc>
        <w:tc>
          <w:tcPr>
            <w:tcW w:type="dxa" w:w="3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Monthly subscription revenue disbursement. Split calculated server-side and disbursed via Stripe Connect. Creator receives direct bank transfer.</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Stripe Connect (0.25% + $0.25 per payout transfer)</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Stripe fee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Discovery Feed</w:t>
            </w:r>
          </w:p>
        </w:tc>
        <w:tc>
          <w:tcPr>
            <w:tcW w:type="dxa" w:w="37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Ticker-tagged articles surface in each instrument's news panel alongside Polygon.io data. Articles ranked by engagement score + creator track record composite.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Redis sorted sets — existing infrastructure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Email Digest</w:t>
            </w:r>
          </w:p>
        </w:tc>
        <w:tc>
          <w:tcPr>
            <w:tcW w:type="dxa" w:w="37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Daily or weekly digest of new posts from followed creators. Triggered by APScheduler jobs (Phase 2 infrastructure already deployed).</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Resend or Postmark free tier (~3,000 emails/mo)</w:t>
            </w:r>
          </w:p>
        </w:tc>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bCs/>
                <w:color w:val="166534"/>
                <w:sz w:val="20"/>
                <w:szCs w:val="20"/>
              </w:rPr>
              <w:t xml:space="preserve">+$0–15/mo</w:t>
            </w:r>
          </w:p>
        </w:tc>
      </w:tr>
    </w:tbl>
    <w:p>
      <w:pPr>
        <w:spacing w:after="80" w:before="80"/>
      </w:pPr>
      <w:r>
        <w:t xml:space="preserve"/>
      </w:r>
    </w:p>
    <w:p>
      <w:pPr>
        <w:spacing w:after="80" w:before="60" w:line="320"/>
        <w:jc w:val="left"/>
      </w:pPr>
      <w:r>
        <w:rPr>
          <w:rFonts w:ascii="Arial" w:cs="Arial" w:eastAsia="Arial" w:hAnsi="Arial"/>
          <w:b w:val="false"/>
          <w:bCs w:val="false"/>
          <w:i w:val="false"/>
          <w:iCs w:val="false"/>
          <w:color w:val="475569"/>
          <w:sz w:val="22"/>
          <w:szCs w:val="22"/>
        </w:rPr>
        <w:t xml:space="preserve">Total incremental infrastructure cost: +$10–35/mo (object storage + email delivery). All compute, database, Redis, and AI moderation costs are absorbed within the existing Phase 2 infrastructure budget. Stripe Connect fees are deducted from creator revenue and are not a platform operating cost.</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14.5 Credential Verification</w:t>
      </w:r>
    </w:p>
    <w:p>
      <w:pPr>
        <w:spacing w:after="80" w:before="60" w:line="320"/>
        <w:jc w:val="left"/>
      </w:pPr>
      <w:r>
        <w:rPr>
          <w:rFonts w:ascii="Arial" w:cs="Arial" w:eastAsia="Arial" w:hAnsi="Arial"/>
          <w:b w:val="false"/>
          <w:bCs w:val="false"/>
          <w:i w:val="false"/>
          <w:iCs w:val="false"/>
          <w:color w:val="1E293B"/>
          <w:sz w:val="22"/>
          <w:szCs w:val="22"/>
        </w:rPr>
        <w:t xml:space="preserve">Credentialed Creator status is gated on verified professional accreditation. Oasis cross-references applications against authoritative public registries. FINRA Series licences are fully automatable via the BrokerCheck REST API. CFA and CFP directories have partial API coverage. Other designations (CAIA, CMT, FRM) go through a 48-hour manual review queue.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560"/>
        <w:gridCol w:w="3400"/>
      </w:tblGrid>
      <w:tr>
        <w:tc>
          <w:tcPr>
            <w:tcW w:type="dxa" w:w="1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Credential</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Issuing Body</w:t>
            </w:r>
          </w:p>
        </w:tc>
        <w:tc>
          <w:tcPr>
            <w:tcW w:type="dxa" w:w="25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Verification Source</w:t>
            </w:r>
          </w:p>
        </w:tc>
        <w:tc>
          <w:tcPr>
            <w:tcW w:type="dxa" w:w="3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What It Signals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CFA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CFA Institute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CFA Institute public charterholder directory (name + country search)</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Passed 3-level exam series on portfolio management, ethics, and financial analysis. Requires 4,000+ hours work experience.</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CFP</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CFP Board (US)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CFP Board verification API or public search by name and city</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Comprehensive financial planning credential covering investments, tax, retirement, and estate. Requires ongoing fiduciary ethics.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Series 7</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FINRA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FINRA BrokerCheck REST API — automated lookup by CRD number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Licensed General Securities Representative. Can sell a full range of securities products. Employer-sponsored.</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Series 65</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FINRA / State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FINRA BrokerCheck REST API — automated lookup by CRD number</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Investment Adviser Representative licence. Required to charge fees for investment advice. Common for RIA-registered professionals.</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Series 66</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FINRA / State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FINRA BrokerCheck REST API — automated lookup by CRD number</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Combined Series 63 + 65. Qualifies as both securities agent and investment adviser representative in most US states.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Series 3</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NFA</w:t>
            </w:r>
          </w:p>
        </w:tc>
        <w:tc>
          <w:tcPr>
            <w:tcW w:type="dxa" w:w="2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NFA BASIC public database — lookup by NFA ID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National Futures Association registration for Commodity Trading Advisors. Required for managed futures and commodity advisory.</w:t>
            </w:r>
          </w:p>
        </w:tc>
      </w:tr>
      <w:tr>
        <w:tc>
          <w:tcPr>
            <w:tcW w:type="dxa" w:w="1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CAIA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CAIA Association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CAIA member directory — manual verification (48-hour SLA)</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Alternative investment specialisation: hedge funds, private equity, real assets, structured products.</w:t>
            </w:r>
          </w:p>
        </w:tc>
      </w:tr>
      <w:tr>
        <w:tc>
          <w:tcPr>
            <w:tcW w:type="dxa" w:w="1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CMT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CMT Association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CMT member directory — manual verification (48-hour SLA)</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Chartered Market Technician. Specialises in technical analysis, price action, and quantitative charting methodology.</w:t>
            </w:r>
          </w:p>
        </w:tc>
      </w:tr>
    </w:tbl>
    <w:p>
      <w:pPr>
        <w:spacing w:after="80" w:before="80"/>
      </w:pPr>
      <w:r>
        <w:t xml:space="preserve"/>
      </w:r>
    </w:p>
    <w:p>
      <w:pPr>
        <w:spacing w:after="80" w:before="60" w:line="320"/>
        <w:jc w:val="left"/>
      </w:pPr>
      <w:r>
        <w:rPr>
          <w:rFonts w:ascii="Arial" w:cs="Arial" w:eastAsia="Arial" w:hAnsi="Arial"/>
          <w:b w:val="false"/>
          <w:bCs w:val="false"/>
          <w:i w:val="false"/>
          <w:iCs w:val="false"/>
          <w:color w:val="475569"/>
          <w:sz w:val="22"/>
          <w:szCs w:val="22"/>
        </w:rPr>
        <w:t xml:space="preserve">Compliance requirement for all credentialed creators: every published article must include a position disclosure (author discloses any holdings in mentioned securities at time of publication) and a standard disclaimer that the content is for informational purposes only and does not constitute personalised investment advice. The disclaimer is auto-appended by the publishing pipeline — creators cannot remove it. Annual re-verification is required; badges expire and are removed if a licence lapses.</w:t>
      </w:r>
    </w:p>
    <w:p>
      <w:pPr>
        <w:spacing w:after="120" w:before="120"/>
      </w:pPr>
      <w:r>
        <w:t xml:space="preserve"/>
      </w:r>
    </w:p>
    <w:p>
      <w:pPr>
        <w:pStyle w:val="Heading2"/>
        <w:spacing w:after="100" w:before="300"/>
      </w:pPr>
      <w:r>
        <w:rPr>
          <w:rFonts w:ascii="Arial" w:cs="Arial" w:eastAsia="Arial" w:hAnsi="Arial"/>
          <w:b/>
          <w:bCs/>
          <w:color w:val="0E4F82"/>
          <w:sz w:val="27"/>
          <w:szCs w:val="27"/>
        </w:rPr>
        <w:t xml:space="preserve">14.6 Follow System &amp; Creator Discovery</w:t>
      </w:r>
    </w:p>
    <w:p>
      <w:pPr>
        <w:spacing w:after="80" w:before="60" w:line="320"/>
        <w:jc w:val="left"/>
      </w:pPr>
      <w:r>
        <w:rPr>
          <w:rFonts w:ascii="Arial" w:cs="Arial" w:eastAsia="Arial" w:hAnsi="Arial"/>
          <w:b w:val="false"/>
          <w:bCs w:val="false"/>
          <w:i w:val="false"/>
          <w:iCs w:val="false"/>
          <w:color w:val="1E293B"/>
          <w:sz w:val="22"/>
          <w:szCs w:val="22"/>
        </w:rPr>
        <w:t xml:space="preserve">Users follow creators to build a personalised research feed. Following is the primary distribution mechanism for creators and the primary content curation tool for readers. The follow graph also drives suggested creator recommendations based on ticker overlap with a user's watchlist.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360"/>
        <w:gridCol w:w="3200"/>
      </w:tblGrid>
      <w:tr>
        <w:tc>
          <w:tcPr>
            <w:tcW w:type="dxa" w:w="1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Feature</w:t>
            </w:r>
          </w:p>
        </w:tc>
        <w:tc>
          <w:tcPr>
            <w:tcW w:type="dxa" w:w="43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Description</w:t>
            </w:r>
          </w:p>
        </w:tc>
        <w:tc>
          <w:tcPr>
            <w:tcW w:type="dxa" w:w="3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Tech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Follow / Unfollow</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User clicks Follow on any creator profile or article byline. Following is free and available to all subscribers. A creator's follower count is public.</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follows table: follower_id, creator_id, created_at — PostgreSQL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Following Feed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Dedicated feed tab showing all articles from followed creators, sorted by publication time. Separate from the general discovery feed and Polygon.io news panel.</w:t>
            </w:r>
          </w:p>
        </w:tc>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Query articles WHERE creator_id IN (user's follows) — Redis cache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New Post Notifications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When a followed creator publishes, subscribers receive an in-app notification and optional email alert. Email digest is configurable: immediate, daily, or weekly.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APScheduler job + Resend email — existing Phase 2 infra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Creator Discovery</w:t>
            </w:r>
          </w:p>
        </w:tc>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Browse and search creators by credential (CFA, Series 65, etc.), specialty (equities, macro, commodities), ticker focus, and asset class. Credentialed creators appear in a dedicated Professional Analysts directory.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PostgreSQL full-text search on creator_profiles table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Suggested Follows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Platform recommends creators based on ticker overlap: if a user's watchlist contains NVDA, TSMC, and AMD, the system surfaces creators who frequently tag those tickers — ranked by credential status and track record win rate.</w:t>
            </w:r>
          </w:p>
        </w:tc>
        <w:tc>
          <w:tcPr>
            <w:tcW w:type="dxa" w:w="3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Ticker-creator tag matrix — Redis sorted sets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Ticker Author Feed</w:t>
            </w:r>
          </w:p>
        </w:tc>
        <w:tc>
          <w:tcPr>
            <w:tcW w:type="dxa" w:w="43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any instrument page (e.g. the NVDA signal view), a sidebar panel shows recent articles tagged to that ticker, ordered by creator track record score. Credentialed creators are listed above non-credentialed contributors.</w:t>
            </w:r>
          </w:p>
        </w:tc>
        <w:tc>
          <w:tcPr>
            <w:tcW w:type="dxa" w:w="3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Articles filtered by ticker_tag JOIN creator rank — PostgreSQL</w:t>
            </w:r>
          </w:p>
        </w:tc>
      </w:tr>
    </w:tbl>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15. System Architecture &amp; Scale Design</w:t>
      </w:r>
    </w:p>
    <w:p>
      <w:pPr>
        <w:spacing w:after="80" w:before="60" w:line="320"/>
        <w:jc w:val="left"/>
      </w:pPr>
      <w:r>
        <w:rPr>
          <w:rFonts w:ascii="Arial" w:cs="Arial" w:eastAsia="Arial" w:hAnsi="Arial"/>
          <w:b w:val="false"/>
          <w:bCs w:val="false"/>
          <w:i w:val="false"/>
          <w:iCs w:val="false"/>
          <w:color w:val="1E293B"/>
          <w:sz w:val="22"/>
          <w:szCs w:val="22"/>
        </w:rPr>
        <w:t xml:space="preserve">Oasis Terminal is designed to scale from a single-instance prototype to a multi-region platform serving one million active traders. This section documents the architectural decisions, service boundaries, caching constraints, security requirements, and LLM optimisation strategies that govern that progression. Decisions are staged: the monolithic FastAPI stack is appropriate at launch and early growth; decomposition into dedicated services is triggered by measured bottlenecks, not premature optimisation.</w:t>
      </w:r>
    </w:p>
    <w:p>
      <w:pPr>
        <w:spacing w:after="80" w:before="80"/>
      </w:pPr>
      <w:r>
        <w:t xml:space="preserve"/>
      </w:r>
    </w:p>
    <w:p>
      <w:pPr>
        <w:pStyle w:val="Heading2"/>
        <w:spacing w:after="100" w:before="300"/>
      </w:pPr>
      <w:r>
        <w:rPr>
          <w:rFonts w:ascii="Arial" w:cs="Arial" w:eastAsia="Arial" w:hAnsi="Arial"/>
          <w:b/>
          <w:bCs/>
          <w:color w:val="0E4F82"/>
          <w:sz w:val="27"/>
          <w:szCs w:val="27"/>
        </w:rPr>
        <w:t xml:space="preserve">15.1 Scale Progression Architecture</w:t>
      </w:r>
    </w:p>
    <w:p>
      <w:pPr>
        <w:spacing w:after="80" w:before="60" w:line="320"/>
        <w:jc w:val="left"/>
      </w:pPr>
      <w:r>
        <w:rPr>
          <w:rFonts w:ascii="Arial" w:cs="Arial" w:eastAsia="Arial" w:hAnsi="Arial"/>
          <w:b w:val="false"/>
          <w:bCs w:val="false"/>
          <w:i w:val="false"/>
          <w:iCs w:val="false"/>
          <w:color w:val="1E293B"/>
          <w:sz w:val="22"/>
          <w:szCs w:val="22"/>
        </w:rPr>
        <w:t xml:space="preserve">The table below maps each infrastructure layer to the recommended stack at three distinct user-count thresholds. Transitions between tiers are driven by capacity metrics — latency P95, DB connection saturation, LLM cost-per-request — not arbitrary timelines.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Layer</w:t>
            </w:r>
          </w:p>
        </w:tc>
        <w:tc>
          <w:tcPr>
            <w:tcW w:type="dxa" w:w="25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0 – 10K Users</w:t>
            </w:r>
          </w:p>
        </w:tc>
        <w:tc>
          <w:tcPr>
            <w:tcW w:type="dxa" w:w="25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10K – 100K Users</w:t>
            </w:r>
          </w:p>
        </w:tc>
        <w:tc>
          <w:tcPr>
            <w:tcW w:type="dxa" w:w="25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100K – 1M Users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API / Entry Point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Single FastAPI instance. Nginx reverse proxy. Basic JWT auth.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API Gateway (Kong) with per-user rate limits and JWT validation at the edge. 2–3 FastAPI instances behind a load balancer.</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Multi-region API Gateway (Cloudflare). Global anycast routing. Service mesh (Istio) for inter-service mTLS.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Database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Single TimescaleDB + PostgreSQL node (Hetzner CX41). Single Redis instance.</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TimescaleDB with read replicas. PgBouncer connection pooler. Redis Cluster (3 nodes).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Horizontally partitioned TimescaleDB by ticker. Isolated PostgreSQL cluster per service. Redis Cluster with geo-distribution.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Message Queue / Streaming</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 pub/sub for WebSocket price fanout. APScheduler for background jobs.</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Redpanda (Kafka-compatible) for event streaming. Consumer groups per service.</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Kafka cluster (3+ brokers). Partitioned by ticker for market data; by user_id for user events.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AI / LLM</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Claude Haiku API only. Basic prompt caching. No self-hosting.</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Multi-model routing (Haiku to Sonnet). Signal result caching in Redis. Llama 3.1 8B via Ollama for routine tasks.</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RAG pipeline with pgvector. Living thesis documents per ticker. DeepSeek-R1 7B distilled + GLM-4-9B self-hosted via vLLM.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Brokerage Integration</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Manual CSV portfolio import only. No live brokerage OAuth.</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Plaid Finance or Snaptrade API for read-only portfolio sync. OAuth 2.0 tokens encrypted at rest.</w:t>
            </w:r>
          </w:p>
        </w:tc>
        <w:tc>
          <w:tcPr>
            <w:tcW w:type="dxa" w:w="25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Direct OAuth integrations with top 5 brokerages. Dedicated Brokerage Integration Service. SOC 2 Type II compliant.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Infrastructure Cost (est.)</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~$300 – 400 / mo</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~$1,500 – 3,000 / mo</w:t>
            </w:r>
          </w:p>
        </w:tc>
        <w:tc>
          <w:tcPr>
            <w:tcW w:type="dxa" w:w="25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~$15,000 – 40,000 / mo</w:t>
            </w:r>
          </w:p>
        </w:tc>
      </w:tr>
    </w:tbl>
    <w:p>
      <w:pPr>
        <w:spacing w:after="160" w:before="160"/>
      </w:pPr>
      <w:r>
        <w:t xml:space="preserve"/>
      </w:r>
    </w:p>
    <w:p>
      <w:pPr>
        <w:pStyle w:val="Heading2"/>
        <w:spacing w:after="100" w:before="300"/>
      </w:pPr>
      <w:r>
        <w:rPr>
          <w:rFonts w:ascii="Arial" w:cs="Arial" w:eastAsia="Arial" w:hAnsi="Arial"/>
          <w:b/>
          <w:bCs/>
          <w:color w:val="0E4F82"/>
          <w:sz w:val="27"/>
          <w:szCs w:val="27"/>
        </w:rPr>
        <w:t xml:space="preserve">15.2 API Performance &amp; Financial Data Retrieval</w:t>
      </w:r>
    </w:p>
    <w:p>
      <w:pPr>
        <w:spacing w:after="80" w:before="60" w:line="320"/>
        <w:jc w:val="left"/>
      </w:pPr>
      <w:r>
        <w:rPr>
          <w:rFonts w:ascii="Arial" w:cs="Arial" w:eastAsia="Arial" w:hAnsi="Arial"/>
          <w:b w:val="false"/>
          <w:bCs w:val="false"/>
          <w:i w:val="false"/>
          <w:iCs w:val="false"/>
          <w:color w:val="1E293B"/>
          <w:sz w:val="22"/>
          <w:szCs w:val="22"/>
        </w:rPr>
        <w:t xml:space="preserve">Platform performance is bottlenecked by external data providers, not internal compute. The key architectural patterns are: WebSocket-first for real-time prices — subscribe to Polygon.io push events rather than polling; parallel async fetching using asyncio.gather() to retrieve multiple tickers concurrently, cutting latency from O(n) sequential to O(1) parallel; request deduplication so that if 500 users load an AAPL chart simultaneously a single upstream API call is made and broadcast, not 500 independent calls; circuit breakers so that if Polygon.io returns errors the platform degrades gracefully to the last cached snapshot with a staleness indicator rather than surfacing 500 errors to users; and bulkhead isolation so that data provider failures are contained to their service boundary and cannot cascade into the portfolio or signal engines.</w:t>
      </w:r>
    </w:p>
    <w:p>
      <w:pPr>
        <w:spacing w:after="80" w:before="60" w:line="320"/>
        <w:jc w:val="left"/>
      </w:pPr>
      <w:r>
        <w:rPr>
          <w:rFonts w:ascii="Arial" w:cs="Arial" w:eastAsia="Arial" w:hAnsi="Arial"/>
          <w:b w:val="false"/>
          <w:bCs w:val="false"/>
          <w:i w:val="false"/>
          <w:iCs w:val="false"/>
          <w:color w:val="1E293B"/>
          <w:sz w:val="22"/>
          <w:szCs w:val="22"/>
        </w:rPr>
        <w:t xml:space="preserve">At 10K+ users, an API Gateway (Kong or AWS API Gateway) is added in front of all services. It handles per-user rate limiting, JWT validation, and request routing without touching application code. This single change eliminates an entire class of auth bugs and enables granular throttling by plan tier — free users get 60 req/min, Pro users get 600 req/min — enforced entirely at the network layer.</w:t>
      </w:r>
    </w:p>
    <w:p>
      <w:pPr>
        <w:spacing w:after="160" w:before="160"/>
      </w:pPr>
      <w:r>
        <w:t xml:space="preserve"/>
      </w:r>
    </w:p>
    <w:p>
      <w:pPr>
        <w:pStyle w:val="Heading2"/>
        <w:spacing w:after="100" w:before="300"/>
      </w:pPr>
      <w:r>
        <w:rPr>
          <w:rFonts w:ascii="Arial" w:cs="Arial" w:eastAsia="Arial" w:hAnsi="Arial"/>
          <w:b/>
          <w:bCs/>
          <w:color w:val="0E4F82"/>
          <w:sz w:val="27"/>
          <w:szCs w:val="27"/>
        </w:rPr>
        <w:t xml:space="preserve">15.3 Microservices Decomposition</w:t>
      </w:r>
    </w:p>
    <w:p>
      <w:pPr>
        <w:spacing w:after="80" w:before="60" w:line="320"/>
        <w:jc w:val="left"/>
      </w:pPr>
      <w:r>
        <w:rPr>
          <w:rFonts w:ascii="Arial" w:cs="Arial" w:eastAsia="Arial" w:hAnsi="Arial"/>
          <w:b w:val="false"/>
          <w:bCs w:val="false"/>
          <w:i w:val="false"/>
          <w:iCs w:val="false"/>
          <w:color w:val="1E293B"/>
          <w:sz w:val="22"/>
          <w:szCs w:val="22"/>
        </w:rPr>
        <w:t xml:space="preserve">The initial FastAPI monolith is appropriate through approximately 10K active users. Decomposition is triggered by observed bottlenecks: the Signal / AI Service consumes the most compute and should be extracted first for independent scaling; the Market Data Service handles WebSocket state and should be isolated from request-response services. The table below defines the natural service boundaries and their scaling characteristics.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60"/>
        <w:gridCol w:w="2000"/>
        <w:gridCol w:w="2000"/>
      </w:tblGrid>
      <w:tr>
        <w:trPr>
          <w:tblHeader/>
        </w:trPr>
        <w:tc>
          <w:tcPr>
            <w:tcW w:type="dxa" w:w="1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Service</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Responsibility</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Scales With</w:t>
            </w:r>
          </w:p>
        </w:tc>
        <w:tc>
          <w:tcPr>
            <w:tcW w:type="dxa" w:w="2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Communication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Market Data</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Real-time WebSocket price feeds, historical OHLCV, Polygon.io subscription management, price broadcast fanout to connected clients.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Concurrent WebSocket connections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Async event stream (Kafka)</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Portfolio</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Black-Litterman optimisation, Kelly sizing, rebalance engine, correlation matrix, drawdown analysis.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Portfolio construction requests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REST + async job queue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 AI</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Multi-agent debate engine, scanner, signal generation, research report composition. Most compute-intensive service.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LLM API call volume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Async Kafka consumer</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Pairs Trading</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Cointegration test engine, Z-score monitoring, pair signal generation, spread history storage.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Pair universe size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Batch compute + stream</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Options</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Options chain retrieval, IV surface, options flow aggregation, open interest tracking.</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Options-tier user count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REST (cached)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Community</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Articles, creator profiles, follow graph, moderation queue, credential badge display. Read-heavy and CDN-cacheable.</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Reader count</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REST + WebSocket (notifications)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Auth / Identity</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User registration, JWT issuance, MFA, OAuth to brokerages, credential verification workflow.</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Login event frequency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REST + Redis sessions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Brokerage Integration</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OAuth token management, portfolio sync jobs, position reconciliation across connected accounts.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Connected brokerage accounts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Async scheduler</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Notification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Email digests, price alerts, signal alerts, follower notifications. High fan-out pattern.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Follower graph size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Async queue (Kafka to SendGrid)</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Macro / Institutional</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FRED macro data, 13F filing ingestion, cross-fund analytics, valuation scorecard constants.</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Batch job frequency (low)</w:t>
            </w:r>
          </w:p>
        </w:tc>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REST + long-TTL cache</w:t>
            </w:r>
          </w:p>
        </w:tc>
      </w:tr>
    </w:tbl>
    <w:p>
      <w:pPr>
        <w:spacing w:after="160" w:before="160"/>
      </w:pPr>
      <w:r>
        <w:t xml:space="preserve"/>
      </w:r>
    </w:p>
    <w:p>
      <w:pPr>
        <w:pStyle w:val="Heading2"/>
        <w:spacing w:after="100" w:before="300"/>
      </w:pPr>
      <w:r>
        <w:rPr>
          <w:rFonts w:ascii="Arial" w:cs="Arial" w:eastAsia="Arial" w:hAnsi="Arial"/>
          <w:b/>
          <w:bCs/>
          <w:color w:val="0E4F82"/>
          <w:sz w:val="27"/>
          <w:szCs w:val="27"/>
        </w:rPr>
        <w:t xml:space="preserve">15.4 Caching Strategy for Financial Data</w:t>
      </w:r>
    </w:p>
    <w:p>
      <w:pPr>
        <w:spacing w:after="80" w:before="60" w:line="320"/>
        <w:jc w:val="left"/>
      </w:pPr>
      <w:r>
        <w:rPr>
          <w:rFonts w:ascii="Arial" w:cs="Arial" w:eastAsia="Arial" w:hAnsi="Arial"/>
          <w:b w:val="false"/>
          <w:bCs w:val="false"/>
          <w:i w:val="false"/>
          <w:iCs w:val="false"/>
          <w:color w:val="1E293B"/>
          <w:sz w:val="22"/>
          <w:szCs w:val="22"/>
        </w:rPr>
        <w:t xml:space="preserve">The concern that financial data changes too frequently to benefit from caching is valid for real-time prices — but incorrect as a general principle. The correct framing is: different financial data types have fundamentally different cache-ability, and the caching strategy must be designed per data type, not applied uniformly. The table below maps each data type to its appropriate TTL and invalidation trigger. Applying this taxonomy eliminates redundant external API calls by an estimated 60–80% across the platform at no loss of data freshness.</w:t>
      </w:r>
    </w:p>
    <w:p>
      <w:pPr>
        <w:spacing w:after="80" w:before="60" w:line="320"/>
        <w:jc w:val="left"/>
      </w:pPr>
      <w:r>
        <w:rPr>
          <w:rFonts w:ascii="Arial" w:cs="Arial" w:eastAsia="Arial" w:hAnsi="Arial"/>
          <w:b w:val="false"/>
          <w:bCs w:val="false"/>
          <w:i w:val="false"/>
          <w:iCs w:val="false"/>
          <w:color w:val="1E293B"/>
          <w:sz w:val="22"/>
          <w:szCs w:val="22"/>
        </w:rPr>
        <w:t xml:space="preserve">The most important architectural decision is treating historical OHLCV as write-once permanent cache. Historical price data never changes — storing it in TimescaleDB and never re-fetching it eliminates a massive category of redundant API calls. TimescaleDB continuous aggregates automatically maintain 1m/5m/1h/1d candlestick rollups as new data arrives, functioning as a self-refreshing cache at the database layer.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960"/>
        <w:gridCol w:w="3900"/>
      </w:tblGrid>
      <w:tr>
        <w:trPr>
          <w:tblHeader/>
        </w:trPr>
        <w:tc>
          <w:tcPr>
            <w:tcW w:type="dxa" w:w="2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Data Type</w:t>
            </w:r>
          </w:p>
        </w:tc>
        <w:tc>
          <w:tcPr>
            <w:tcW w:type="dxa" w:w="13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TTL</w:t>
            </w:r>
          </w:p>
        </w:tc>
        <w:tc>
          <w:tcPr>
            <w:tcW w:type="dxa" w:w="19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Cache Layer</w:t>
            </w:r>
          </w:p>
        </w:tc>
        <w:tc>
          <w:tcPr>
            <w:tcW w:type="dxa" w:w="39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Invalidation Trigger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Live price tick (WebSocket)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No cache</w:t>
            </w:r>
          </w:p>
        </w:tc>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WebSocket stream only</w:t>
            </w:r>
          </w:p>
        </w:tc>
        <w:tc>
          <w:tcPr>
            <w:tcW w:type="dxa" w:w="3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N/A — live stream, never stored as a cache entry.</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Options chain</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15 seconds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 (hot)</w:t>
            </w:r>
          </w:p>
        </w:tc>
        <w:tc>
          <w:tcPr>
            <w:tcW w:type="dxa" w:w="3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Each new tick during market hours. Staleness marker displayed after 30 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Current quote (snapshot)</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1–5 minutes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price move &gt; 0.1%. Snapshot served for UI renders between ticks.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AI signal output (per ticker)</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1–2 hours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w:t>
            </w:r>
          </w:p>
        </w:tc>
        <w:tc>
          <w:tcPr>
            <w:tcW w:type="dxa" w:w="3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price move &gt; 2%, tagged news event, or explicit user refresh.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Intraday OHLCV aggregates</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1 hour</w:t>
            </w:r>
          </w:p>
        </w:tc>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TimescaleDB Continuous Aggregate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Auto-refreshes incrementally on each new row insert. No manual invalidation.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Fundamental data (P/E, EPS, mkt cap)</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24 hours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 + DB</w:t>
            </w:r>
          </w:p>
        </w:tc>
        <w:tc>
          <w:tcPr>
            <w:tcW w:type="dxa" w:w="3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earnings release date. Date-keyed invalidation via APScheduler.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Macro / FRED data</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4–12 hours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w:t>
            </w:r>
          </w:p>
        </w:tc>
        <w:tc>
          <w:tcPr>
            <w:tcW w:type="dxa" w:w="3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FRED release schedule. Webhook trigger from FRED release calendar.</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13F filings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7 days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PostgreSQL + Redis</w:t>
            </w:r>
          </w:p>
        </w:tc>
        <w:tc>
          <w:tcPr>
            <w:tcW w:type="dxa" w:w="3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SEC EDGAR new filing detection via EDGAR RSS feed.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Historical OHLCV</w:t>
            </w:r>
          </w:p>
        </w:tc>
        <w:tc>
          <w:tcPr>
            <w:tcW w:type="dxa" w:w="13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Permanent</w:t>
            </w:r>
          </w:p>
        </w:tc>
        <w:tc>
          <w:tcPr>
            <w:tcW w:type="dxa" w:w="19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TimescaleDB (write-once)</w:t>
            </w:r>
          </w:p>
        </w:tc>
        <w:tc>
          <w:tcPr>
            <w:tcW w:type="dxa" w:w="3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Never invalidates. Historical prices are immutable. New days are appended, never replaced.</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AI research reports</w:t>
            </w:r>
          </w:p>
        </w:tc>
        <w:tc>
          <w:tcPr>
            <w:tcW w:type="dxa" w:w="13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6–24 hours per ticker</w:t>
            </w:r>
          </w:p>
        </w:tc>
        <w:tc>
          <w:tcPr>
            <w:tcW w:type="dxa" w:w="19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Redis</w:t>
            </w:r>
          </w:p>
        </w:tc>
        <w:tc>
          <w:tcPr>
            <w:tcW w:type="dxa" w:w="3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On major price move (&gt; 5%), material news event, or earnings release.</w:t>
            </w:r>
          </w:p>
        </w:tc>
      </w:tr>
    </w:tbl>
    <w:p>
      <w:pPr>
        <w:spacing w:after="160" w:before="160"/>
      </w:pPr>
      <w:r>
        <w:t xml:space="preserve"/>
      </w:r>
    </w:p>
    <w:p>
      <w:pPr>
        <w:pStyle w:val="Heading2"/>
        <w:spacing w:after="100" w:before="300"/>
      </w:pPr>
      <w:r>
        <w:rPr>
          <w:rFonts w:ascii="Arial" w:cs="Arial" w:eastAsia="Arial" w:hAnsi="Arial"/>
          <w:b/>
          <w:bCs/>
          <w:color w:val="0E4F82"/>
          <w:sz w:val="27"/>
          <w:szCs w:val="27"/>
        </w:rPr>
        <w:t xml:space="preserve">15.5 Security &amp; Brokerage Integration</w:t>
      </w:r>
    </w:p>
    <w:p>
      <w:pPr>
        <w:spacing w:after="80" w:before="60" w:line="320"/>
        <w:jc w:val="left"/>
      </w:pPr>
      <w:r>
        <w:rPr>
          <w:rFonts w:ascii="Arial" w:cs="Arial" w:eastAsia="Arial" w:hAnsi="Arial"/>
          <w:b w:val="false"/>
          <w:bCs w:val="false"/>
          <w:i w:val="false"/>
          <w:iCs w:val="false"/>
          <w:color w:val="1E293B"/>
          <w:sz w:val="22"/>
          <w:szCs w:val="22"/>
        </w:rPr>
        <w:t xml:space="preserve">Brokerage portfolio integration is the highest-risk surface on the platform. Users will connect accounts holding real assets, and the platform must meet the security bar of a regulated financial application even though Oasis itself is not a broker-dealer. The design principle is: Oasis stores OAuth tokens, never credentials; portfolio data is encrypted with a user-specific key; and the Brokerage Integration Service runs in its own network segment with no inbound access from the public internet.</w:t>
      </w:r>
    </w:p>
    <w:p>
      <w:pPr>
        <w:spacing w:after="80" w:before="60" w:line="320"/>
        <w:jc w:val="left"/>
      </w:pPr>
      <w:r>
        <w:rPr>
          <w:rFonts w:ascii="Arial" w:cs="Arial" w:eastAsia="Arial" w:hAnsi="Arial"/>
          <w:b w:val="false"/>
          <w:bCs w:val="false"/>
          <w:i w:val="false"/>
          <w:iCs w:val="false"/>
          <w:color w:val="1E293B"/>
          <w:sz w:val="22"/>
          <w:szCs w:val="22"/>
        </w:rPr>
        <w:t xml:space="preserve">The recommended integration path is Plaid Finance or Snaptrade for broad brokerage connectivity, supplemented by direct OAuth integrations with Interactive Brokers and Alpaca for API-first brokerage users. Under this model, Oasis never sees account passwords — the OAuth flow occurs between the user and their brokerage, and Oasis receives only a read-only access token scoped to holdings and transaction history.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60"/>
        <w:gridCol w:w="180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Area</w:t>
            </w:r>
          </w:p>
        </w:tc>
        <w:tc>
          <w:tcPr>
            <w:tcW w:type="dxa" w:w="2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Threat</w:t>
            </w:r>
          </w:p>
        </w:tc>
        <w:tc>
          <w:tcPr>
            <w:tcW w:type="dxa" w:w="35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Control</w:t>
            </w:r>
          </w:p>
        </w:tc>
        <w:tc>
          <w:tcPr>
            <w:tcW w:type="dxa" w:w="1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Priority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Brokerage Auth</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Credential theft / token hijack</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OAuth 2.0 + PKCE for all brokerage connections. Access tokens encrypted at rest with user-specific AES-256 key. Refresh token rotation on every use. No password storage.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P0</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API Authentication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Unauthorised access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JWT (15-min expiry) + refresh tokens in HttpOnly cookies. TOTP MFA enforced for all accounts with live brokerage connections.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P0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Portfolio Data Privacy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Cross-user data exposure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Portfolio data stored in isolated per-user schema partition. Encrypted with user-specific key from KMS. Hard-deleted on account closure.</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P0</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API Security</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Injection / SSRF attacks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Input validation and sanitization on all endpoints. Parameterised queries (no raw SQL). Webhook URL allowlisting. Content-Security-Policy headers.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P0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DDoS Protection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Service disruption</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Cloudflare WAF with automatic DDoS mitigation at the edge. Per-IP and per-user rate limits enforced at API Gateway before requests reach the application layer.</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P0</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Secret Management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Credential exposure in code or logs</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No secrets in environment variables, source code, or logs. All secrets in Vault or AWS Secrets Manager. Automatic 90-day rotation for all API keys.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991B1B"/>
                <w:sz w:val="20"/>
                <w:szCs w:val="20"/>
              </w:rPr>
              <w:t xml:space="preserve">P0</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Audit Logging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Unauthorised data access (undetected)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All portfolio data access logged with user_id, timestamp, endpoint, IP, and response shape. 90-day immutable log retention. Anomaly alerts on unusual access patterns.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92400E"/>
                <w:sz w:val="20"/>
                <w:szCs w:val="20"/>
              </w:rPr>
              <w:t xml:space="preserve">P1</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Compliance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Regulatory / legal exposure</w:t>
            </w:r>
          </w:p>
        </w:tc>
        <w:tc>
          <w:tcPr>
            <w:tcW w:type="dxa" w:w="3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SOC 2 Type II certification (target Phase 10+). GDPR data residency for EU users. CCPA deletion rights automated via account-close workflow.</w:t>
            </w:r>
          </w:p>
        </w:tc>
        <w:tc>
          <w:tcPr>
            <w:tcW w:type="dxa" w:w="1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92400E"/>
                <w:sz w:val="20"/>
                <w:szCs w:val="20"/>
              </w:rPr>
              <w:t xml:space="preserve">P1</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Penetration Testing</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Unknown vulnerability surface</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Quarterly automated scan (OWASP ZAP). Annual manual penetration test by external firm. Mandatory review before each brokerage integration launch.</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92400E"/>
                <w:sz w:val="20"/>
                <w:szCs w:val="20"/>
              </w:rPr>
              <w:t xml:space="preserve">P1</w:t>
            </w:r>
          </w:p>
        </w:tc>
      </w:tr>
    </w:tbl>
    <w:p>
      <w:pPr>
        <w:spacing w:after="160" w:before="160"/>
      </w:pPr>
      <w:r>
        <w:t xml:space="preserve"/>
      </w:r>
    </w:p>
    <w:p>
      <w:pPr>
        <w:pStyle w:val="Heading2"/>
        <w:spacing w:after="100" w:before="300"/>
      </w:pPr>
      <w:r>
        <w:rPr>
          <w:rFonts w:ascii="Arial" w:cs="Arial" w:eastAsia="Arial" w:hAnsi="Arial"/>
          <w:b/>
          <w:bCs/>
          <w:color w:val="0E4F82"/>
          <w:sz w:val="27"/>
          <w:szCs w:val="27"/>
        </w:rPr>
        <w:t xml:space="preserve">15.6 LLM Performance, Memory &amp; Token Optimisation</w:t>
      </w:r>
    </w:p>
    <w:p>
      <w:pPr>
        <w:spacing w:after="80" w:before="60" w:line="320"/>
        <w:jc w:val="left"/>
      </w:pPr>
      <w:r>
        <w:rPr>
          <w:rFonts w:ascii="Arial" w:cs="Arial" w:eastAsia="Arial" w:hAnsi="Arial"/>
          <w:b w:val="false"/>
          <w:bCs w:val="false"/>
          <w:i w:val="false"/>
          <w:iCs w:val="false"/>
          <w:color w:val="1E293B"/>
          <w:sz w:val="22"/>
          <w:szCs w:val="22"/>
        </w:rPr>
        <w:t xml:space="preserve">The signal generation pipeline is the most token-expensive operation on the platform. A single comprehensive research report currently consumes 10,000–15,000 tokens per call: system prompt, all analyst sub-reports, price history, news articles, fundamentals, and 13F data are concatenated and passed to the model in full. At 100K users this cost is unsustainable without optimisation. The techniques below, applied in combination, reduce median token consumption by an estimated 65–75% with no measurable degradation in signal quality.</w:t>
      </w:r>
    </w:p>
    <w:p>
      <w:pPr>
        <w:spacing w:after="80" w:before="60" w:line="320"/>
        <w:jc w:val="left"/>
      </w:pPr>
      <w:r>
        <w:rPr>
          <w:rFonts w:ascii="Arial" w:cs="Arial" w:eastAsia="Arial" w:hAnsi="Arial"/>
          <w:b w:val="false"/>
          <w:bCs w:val="false"/>
          <w:i w:val="false"/>
          <w:iCs w:val="false"/>
          <w:color w:val="1E293B"/>
          <w:sz w:val="22"/>
          <w:szCs w:val="22"/>
        </w:rPr>
        <w:t xml:space="preserve">The most structurally important change is the Living Thesis Document. Instead of regenerating a full research report from raw data on every request, each ticker maintains a structured state document containing the current bull case, bear case, key risks, price target, and confidence level. New analysis updates only the sections affected by recent events — an earnings beat updates the fundamentals section, a major news event appends to the key events timeline. The model is prompted with the existing thesis plus only the new delta, eliminating redundant re-analysis of unchanged data.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60"/>
        <w:gridCol w:w="2500"/>
        <w:gridCol w:w="3400"/>
      </w:tblGrid>
      <w:tr>
        <w:trPr>
          <w:tblHeader/>
        </w:trPr>
        <w:tc>
          <w:tcPr>
            <w:tcW w:type="dxa" w:w="20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Technique</w:t>
            </w:r>
          </w:p>
        </w:tc>
        <w:tc>
          <w:tcPr>
            <w:tcW w:type="dxa" w:w="14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Token Saving</w:t>
            </w:r>
          </w:p>
        </w:tc>
        <w:tc>
          <w:tcPr>
            <w:tcW w:type="dxa" w:w="25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When to Apply</w:t>
            </w:r>
          </w:p>
        </w:tc>
        <w:tc>
          <w:tcPr>
            <w:tcW w:type="dxa" w:w="34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Implementation Approach</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Context Compression</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60–70% per call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Always — every analyst sub-report before it enters the synthesis prompt.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Use a cheap model (Haiku) to summarise each raw data source into structured bullets before injecting into the primary context. A 3,000-token SEC filing becomes a 400-token summary.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Signal Caching (per ticker)</w:t>
            </w:r>
          </w:p>
        </w:tc>
        <w:tc>
          <w:tcPr>
            <w:tcW w:type="dxa" w:w="14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80%+ from cache</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High-traffic tickers (AAPL, NVDA, BTC) where many users request the same signal within a short window.</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Cache signal output per ticker in Redis with a 1–2 hour TTL. Invalidate on &gt; 2% price move or tagged news event. Per-user portfolio-context signals bypass cache.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Map-Reduce for Reports</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50–60% reduction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Any report drawing from more than 3 independent sources (news, filings, fundamentals, options, 13F).</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Summarise each source independently with a cheap model in parallel fan-out, then synthesise the summaries with a capable model. Never pass all raw sources to a single context window.</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RAG (Retrieval-Augmented Generation)</w:t>
            </w:r>
          </w:p>
        </w:tc>
        <w:tc>
          <w:tcPr>
            <w:tcW w:type="dxa" w:w="14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40–50% context reduction</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Phase 3+ once ticker knowledge bases are built and embedded.</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Store analysed content as vectors in pgvector or Qdrant. Retrieve the top-K most relevant chunks for each query instead of including full document history.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Tiered Model Routing</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60–80% cost reduction</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Always — implement from day one.</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Screen via Haiku (fast, cheap). Analyse via Sonnet (balanced). Debate and synthesis via Sonnet. Reserve Opus only for complex multi-step edge cases flagged by low-confidence Sonnet output.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Living Thesis Documents</w:t>
            </w:r>
          </w:p>
        </w:tc>
        <w:tc>
          <w:tcPr>
            <w:tcW w:type="dxa" w:w="14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Eliminates full re-analysis</w:t>
            </w:r>
          </w:p>
        </w:tc>
        <w:tc>
          <w:tcPr>
            <w:tcW w:type="dxa" w:w="25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Phase 2+ once signal_log is live and track records are building.</w:t>
            </w:r>
          </w:p>
        </w:tc>
        <w:tc>
          <w:tcPr>
            <w:tcW w:type="dxa" w:w="34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Maintain structured bull / bear / risk thesis state per ticker. New events trigger incremental updates to affected sections only. Inject thesis state plus delta instead of full raw history.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Structured Input Format</w:t>
            </w:r>
          </w:p>
        </w:tc>
        <w:tc>
          <w:tcPr>
            <w:tcW w:type="dxa" w:w="14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66534"/>
                <w:sz w:val="20"/>
                <w:szCs w:val="20"/>
              </w:rPr>
              <w:t xml:space="preserve">20–30% per call</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Always — low effort, implement immediately.</w:t>
            </w:r>
          </w:p>
        </w:tc>
        <w:tc>
          <w:tcPr>
            <w:tcW w:type="dxa" w:w="3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Pass financial data as JSON or CSV rather than formatted prose. JSON is 20–30% more token-efficient than English descriptions of equivalent tabular data.</w:t>
            </w:r>
          </w:p>
        </w:tc>
      </w:tr>
    </w:tbl>
    <w:p>
      <w:pPr>
        <w:spacing w:after="120" w:before="120"/>
      </w:pPr>
      <w:r>
        <w:t xml:space="preserve"/>
      </w:r>
    </w:p>
    <w:p>
      <w:pPr>
        <w:pStyle w:val="Heading3"/>
        <w:spacing w:after="80" w:before="200"/>
      </w:pPr>
      <w:r>
        <w:rPr>
          <w:rFonts w:ascii="Arial" w:cs="Arial" w:eastAsia="Arial" w:hAnsi="Arial"/>
          <w:b/>
          <w:bCs/>
          <w:color w:val="1E293B"/>
          <w:sz w:val="24"/>
          <w:szCs w:val="24"/>
        </w:rPr>
        <w:t xml:space="preserve">15.6.1 Self-Hosted Model Options</w:t>
      </w:r>
    </w:p>
    <w:p>
      <w:pPr>
        <w:spacing w:after="80" w:before="60" w:line="320"/>
        <w:jc w:val="left"/>
      </w:pPr>
      <w:r>
        <w:rPr>
          <w:rFonts w:ascii="Arial" w:cs="Arial" w:eastAsia="Arial" w:hAnsi="Arial"/>
          <w:b w:val="false"/>
          <w:bCs w:val="false"/>
          <w:i w:val="false"/>
          <w:iCs w:val="false"/>
          <w:color w:val="1E293B"/>
          <w:sz w:val="22"/>
          <w:szCs w:val="22"/>
        </w:rPr>
        <w:t xml:space="preserve">Self-hosting LLMs provides two advantages over API-only usage: data privacy (portfolio data and signal context never leave owned infrastructure) and cost efficiency at scale. The strategic recommendation is to self-host small models for high-frequency routine tasks — context compression, entity extraction, summarisation — while continuing to use the Anthropic or DeepSeek API for complex reasoning tasks where model quality matters most.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560"/>
        <w:gridCol w:w="2800"/>
        <w:gridCol w:w="2200"/>
      </w:tblGrid>
      <w:tr>
        <w:trPr>
          <w:tblHeader/>
        </w:trPr>
        <w:tc>
          <w:tcPr>
            <w:tcW w:type="dxa" w:w="16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Model</w:t>
            </w:r>
          </w:p>
        </w:tc>
        <w:tc>
          <w:tcPr>
            <w:tcW w:type="dxa" w:w="1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Params</w:t>
            </w:r>
          </w:p>
        </w:tc>
        <w:tc>
          <w:tcPr>
            <w:tcW w:type="dxa" w:w="156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VRAM (FP16)</w:t>
            </w:r>
          </w:p>
        </w:tc>
        <w:tc>
          <w:tcPr>
            <w:tcW w:type="dxa" w:w="28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Best For on Oasis</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Inference Server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Llama 3.1 8B (Meta)</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8B</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16 GB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Summarisation, entity extraction, context compression, output formatting. Routine high-frequency tasks.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Ollama (easy setup) / vLLM (production)</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DeepSeek-R1 7B distilled</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7B</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14 GB</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Fast reasoning: signal screening, ticker classification, short thesis drafts. Strong chain-of-thought in small form factor.</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Ollama / vLLM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Mixtral 8x7B (Mistral)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47B MoE</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48 GB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Balanced quality / speed: analyst report drafts, pair trading thesis, mid-complexity analysis.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vLLM (MoE batching)</w:t>
            </w:r>
          </w:p>
        </w:tc>
      </w:tr>
      <w:tr>
        <w:tc>
          <w:tcPr>
            <w:tcW w:type="dxa" w:w="16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GLM-4-9B (Zhipu AI)</w:t>
            </w:r>
          </w:p>
        </w:tc>
        <w:tc>
          <w:tcPr>
            <w:tcW w:type="dxa" w:w="1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9B</w:t>
            </w:r>
          </w:p>
        </w:tc>
        <w:tc>
          <w:tcPr>
            <w:tcW w:type="dxa" w:w="156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18 GB</w:t>
            </w:r>
          </w:p>
        </w:tc>
        <w:tc>
          <w:tcPr>
            <w:tcW w:type="dxa" w:w="28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Asian market analysis. Superior Chinese financial terminology for Hong Kong and mainland China market expansion.</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vLLM</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1E293B"/>
                <w:sz w:val="20"/>
                <w:szCs w:val="20"/>
              </w:rPr>
              <w:t xml:space="preserve">DeepSeek-R1 Full (671B MoE)</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D4ED8"/>
                <w:sz w:val="20"/>
                <w:szCs w:val="20"/>
              </w:rPr>
              <w:t xml:space="preserve">671B</w:t>
            </w:r>
          </w:p>
        </w:tc>
        <w:tc>
          <w:tcPr>
            <w:tcW w:type="dxa" w:w="1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1E293B"/>
                <w:sz w:val="20"/>
                <w:szCs w:val="20"/>
              </w:rPr>
              <w:t xml:space="preserve">1.3 TB</w:t>
            </w:r>
          </w:p>
        </w:tc>
        <w:tc>
          <w:tcPr>
            <w:tcW w:type="dxa" w:w="2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State-of-the-art reasoning. Self-hosting at this size is not feasible for a startup — use DeepSeek API at $0.07–0.14 / 1M tokens instead.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E4F82"/>
                <w:sz w:val="20"/>
                <w:szCs w:val="20"/>
              </w:rPr>
              <w:t xml:space="preserve">DeepSeek API (recommended)</w:t>
            </w:r>
          </w:p>
        </w:tc>
      </w:tr>
    </w:tbl>
    <w:p>
      <w:pPr>
        <w:spacing w:after="80" w:before="60" w:line="320"/>
        <w:jc w:val="left"/>
      </w:pPr>
      <w:r>
        <w:rPr>
          <w:rFonts w:ascii="Arial" w:cs="Arial" w:eastAsia="Arial" w:hAnsi="Arial"/>
          <w:b w:val="false"/>
          <w:bCs w:val="false"/>
          <w:i w:val="false"/>
          <w:iCs w:val="false"/>
          <w:color w:val="1E293B"/>
          <w:sz w:val="22"/>
          <w:szCs w:val="22"/>
        </w:rPr>
        <w:t xml:space="preserve">Hardware starting point: a single NVIDIA RTX 4090 (24 GB VRAM, ~$1,500) is sufficient to run Llama 3.1 8B and DeepSeek-R1 7B distilled concurrently for routine tasks. At 10K+ users under sustained load, migrate to a dedicated A100 40 GB instance on RunPod or Lambda Labs (~$2–3 / hr on-demand, ~$1,500 / mo reserved). The break-even point against API costs occurs at approximately 50 million routine-task tokens per month.</w:t>
      </w:r>
    </w:p>
    <w:p>
      <w:pPr>
        <w:spacing w:after="160" w:before="160"/>
      </w:pPr>
      <w:r>
        <w:t xml:space="preserve"/>
      </w:r>
    </w:p>
    <w:p>
      <w:r>
        <w:br w:type="page"/>
      </w:r>
    </w:p>
    <w:p>
      <w:pPr>
        <w:pStyle w:val="Heading1"/>
        <w:pBdr>
          <w:bottom w:val="single" w:color="0EA5E9" w:sz="5" w:space="5"/>
        </w:pBdr>
        <w:spacing w:after="60" w:before="440"/>
      </w:pPr>
      <w:r>
        <w:rPr>
          <w:rFonts w:ascii="Arial" w:cs="Arial" w:eastAsia="Arial" w:hAnsi="Arial"/>
          <w:b/>
          <w:bCs/>
          <w:color w:val="0F172A"/>
          <w:sz w:val="34"/>
          <w:szCs w:val="34"/>
        </w:rPr>
        <w:t xml:space="preserve">16. Appendix — Quarterly Constants</w:t>
      </w:r>
    </w:p>
    <w:p>
      <w:pPr>
        <w:spacing w:after="80" w:before="60" w:line="320"/>
        <w:jc w:val="left"/>
      </w:pPr>
      <w:r>
        <w:rPr>
          <w:rFonts w:ascii="Arial" w:cs="Arial" w:eastAsia="Arial" w:hAnsi="Arial"/>
          <w:b w:val="false"/>
          <w:bCs w:val="false"/>
          <w:i w:val="false"/>
          <w:iCs w:val="false"/>
          <w:color w:val="1E293B"/>
          <w:sz w:val="22"/>
          <w:szCs w:val="22"/>
        </w:rPr>
        <w:t xml:space="preserve">The following financial constants are hardcoded in desk_server/app.py and must be updated each quarter. Stale values will cause the Valuation Scorecard to diverge from actual market conditions.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040"/>
        <w:gridCol w:w="2200"/>
        <w:gridCol w:w="2220"/>
      </w:tblGrid>
      <w:tr>
        <w:tc>
          <w:tcPr>
            <w:tcW w:type="dxa" w:w="29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Constant</w:t>
            </w:r>
          </w:p>
        </w:tc>
        <w:tc>
          <w:tcPr>
            <w:tcW w:type="dxa" w:w="204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Current Value</w:t>
            </w:r>
          </w:p>
        </w:tc>
        <w:tc>
          <w:tcPr>
            <w:tcW w:type="dxa" w:w="220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Source</w:t>
            </w:r>
          </w:p>
        </w:tc>
        <w:tc>
          <w:tcPr>
            <w:tcW w:type="dxa" w:w="2220"/>
            <w:tcBorders>
              <w:top w:val="single" w:color="CBD5E1" w:sz="1"/>
              <w:left w:val="single" w:color="CBD5E1" w:sz="1"/>
              <w:bottom w:val="single" w:color="CBD5E1" w:sz="1"/>
              <w:right w:val="single" w:color="CBD5E1" w:sz="1"/>
            </w:tcBorders>
            <w:shd w:fill="0F172A" w:val="clear"/>
            <w:tcMar>
              <w:top w:type="dxa" w:w="100"/>
              <w:left w:type="dxa" w:w="130"/>
              <w:bottom w:type="dxa" w:w="100"/>
              <w:right w:type="dxa" w:w="130"/>
            </w:tcMar>
            <w:vAlign w:val="center"/>
          </w:tcPr>
          <w:p>
            <w:pPr>
              <w:jc w:val="center"/>
            </w:pPr>
            <w:r>
              <w:rPr>
                <w:rFonts w:ascii="Arial" w:cs="Arial" w:eastAsia="Arial" w:hAnsi="Arial"/>
                <w:b/>
                <w:bCs/>
                <w:color w:val="FFFFFF"/>
                <w:sz w:val="19"/>
                <w:szCs w:val="19"/>
              </w:rPr>
              <w:t xml:space="preserve">Update Frequency</w:t>
            </w:r>
          </w:p>
        </w:tc>
      </w:tr>
      <w:tr>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FORWARD_EPS_ESTIMATE</w:t>
            </w:r>
          </w:p>
        </w:tc>
        <w:tc>
          <w:tcPr>
            <w:tcW w:type="dxa" w:w="2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$371.27</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FactSet / Bloomberg consensus EPS</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Quarterly</w:t>
            </w:r>
          </w:p>
        </w:tc>
      </w:tr>
      <w:tr>
        <w:tc>
          <w:tcPr>
            <w:tcW w:type="dxa" w:w="2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AGGREGATE_EPS</w:t>
            </w:r>
          </w:p>
        </w:tc>
        <w:tc>
          <w:tcPr>
            <w:tcW w:type="dxa" w:w="20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$244.50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S&amp;P 500 reported EPS (trailing 12mo)</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Quarterly</w:t>
            </w:r>
          </w:p>
        </w:tc>
      </w:tr>
      <w:tr>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AGGREGATE_SPS</w:t>
            </w:r>
          </w:p>
        </w:tc>
        <w:tc>
          <w:tcPr>
            <w:tcW w:type="dxa" w:w="2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$2,054.62</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S&amp;P 500 reported SPS (trailing 12mo)</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Quarterly</w:t>
            </w:r>
          </w:p>
        </w:tc>
      </w:tr>
      <w:tr>
        <w:tc>
          <w:tcPr>
            <w:tcW w:type="dxa" w:w="29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10Y Treasury Yield</w:t>
            </w:r>
          </w:p>
        </w:tc>
        <w:tc>
          <w:tcPr>
            <w:tcW w:type="dxa" w:w="204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Auto (FRED: DGS10)</w:t>
            </w:r>
          </w:p>
        </w:tc>
        <w:tc>
          <w:tcPr>
            <w:tcW w:type="dxa" w:w="220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FRED API — auto-fetched</w:t>
            </w:r>
          </w:p>
        </w:tc>
        <w:tc>
          <w:tcPr>
            <w:tcW w:type="dxa" w:w="2220"/>
            <w:tcBorders>
              <w:top w:val="single" w:color="CBD5E1" w:sz="1"/>
              <w:left w:val="single" w:color="CBD5E1" w:sz="1"/>
              <w:bottom w:val="single" w:color="CBD5E1" w:sz="1"/>
              <w:right w:val="single" w:color="CBD5E1" w:sz="1"/>
            </w:tcBorders>
            <w:shd w:fill="F8FAFC"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Daily (auto)</w:t>
            </w:r>
          </w:p>
        </w:tc>
      </w:tr>
      <w:tr>
        <w:tc>
          <w:tcPr>
            <w:tcW w:type="dxa" w:w="29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F172A"/>
                <w:sz w:val="20"/>
                <w:szCs w:val="20"/>
              </w:rPr>
              <w:t xml:space="preserve">VIX Level</w:t>
            </w:r>
          </w:p>
        </w:tc>
        <w:tc>
          <w:tcPr>
            <w:tcW w:type="dxa" w:w="2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bCs/>
                <w:color w:val="0E4F82"/>
                <w:sz w:val="20"/>
                <w:szCs w:val="20"/>
              </w:rPr>
              <w:t xml:space="preserve">Auto (CBOE direct)</w:t>
            </w:r>
          </w:p>
        </w:tc>
        <w:tc>
          <w:tcPr>
            <w:tcW w:type="dxa" w:w="2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475569"/>
                <w:sz w:val="20"/>
                <w:szCs w:val="20"/>
              </w:rPr>
              <w:t xml:space="preserve">CBOE API — auto-fetched</w:t>
            </w:r>
          </w:p>
        </w:tc>
        <w:tc>
          <w:tcPr>
            <w:tcW w:type="dxa" w:w="22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475569"/>
                <w:sz w:val="20"/>
                <w:szCs w:val="20"/>
              </w:rPr>
              <w:t xml:space="preserve">Daily (auto)</w:t>
            </w:r>
          </w:p>
        </w:tc>
      </w:tr>
    </w:tbl>
    <w:p>
      <w:pPr>
        <w:spacing w:after="200" w:before="200"/>
      </w:pPr>
      <w:r>
        <w:t xml:space="preserve"/>
      </w:r>
    </w:p>
    <w:p>
      <w:pPr>
        <w:spacing w:before="200"/>
        <w:jc w:val="center"/>
      </w:pPr>
      <w:r>
        <w:rPr>
          <w:rFonts w:ascii="Arial" w:cs="Arial" w:eastAsia="Arial" w:hAnsi="Arial"/>
          <w:i/>
          <w:iCs/>
          <w:color w:val="94A3B8"/>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026"/>
      </w:tabs>
    </w:pPr>
    <w:r>
      <w:rPr>
        <w:rFonts w:ascii="Arial" w:cs="Arial" w:eastAsia="Arial" w:hAnsi="Arial"/>
        <w:color w:val="94A3B8"/>
        <w:sz w:val="18"/>
        <w:szCs w:val="18"/>
      </w:rPr>
      <w:t xml:space="preserve">TradingAgents / Oasis Team</w:t>
    </w:r>
    <w:r>
      <w:rPr>
        <w:rFonts w:ascii="Arial" w:cs="Arial" w:eastAsia="Arial" w:hAnsi="Arial"/>
        <w:color w:val="94A3B8"/>
        <w:sz w:val="18"/>
        <w:szCs w:val="18"/>
      </w:rPr>
      <w:t xml:space="preserve">	Page </w:t>
    </w:r>
    <w:r>
      <w:rPr>
        <w:rFonts w:ascii="Arial" w:cs="Arial" w:eastAsia="Arial" w:hAnsi="Arial"/>
        <w:color w:val="94A3B8"/>
        <w:sz w:val="18"/>
        <w:szCs w:val="18"/>
      </w:rPr>
      <w:fldChar w:fldCharType="begin"/>
      <w:instrText xml:space="preserve">PAGE</w:instrText>
      <w:fldChar w:fldCharType="separate"/>
      <w:fldChar w:fldCharType="end"/>
    </w:r>
    <w:r>
      <w:rPr>
        <w:rFonts w:ascii="Arial" w:cs="Arial" w:eastAsia="Arial" w:hAnsi="Arial"/>
        <w:color w:val="94A3B8"/>
        <w:sz w:val="18"/>
        <w:szCs w:val="18"/>
      </w:rPr>
      <w:t xml:space="preserve"> of </w:t>
    </w:r>
    <w:r>
      <w:rPr>
        <w:rFonts w:ascii="Arial" w:cs="Arial" w:eastAsia="Arial" w:hAnsi="Arial"/>
        <w:color w:val="94A3B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tabs>
        <w:tab w:val="right" w:pos="9026"/>
      </w:tabs>
    </w:pPr>
    <w:r>
      <w:rPr>
        <w:rFonts w:ascii="Arial" w:cs="Arial" w:eastAsia="Arial" w:hAnsi="Arial"/>
        <w:color w:val="94A3B8"/>
        <w:sz w:val="18"/>
        <w:szCs w:val="18"/>
      </w:rPr>
      <w:t xml:space="preserve">Oasis Terminal  |  Product Requirements Document</w:t>
    </w:r>
    <w:r>
      <w:rPr>
        <w:rFonts w:ascii="Arial" w:cs="Arial" w:eastAsia="Arial" w:hAnsi="Arial"/>
        <w:color w:val="94A3B8"/>
        <w:sz w:val="18"/>
        <w:szCs w:val="18"/>
      </w:rPr>
      <w:t xml:space="preserve">	CONFIDENTIAL  •  v1.0  •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440"/>
      <w:outlineLvl w:val="0"/>
    </w:pPr>
    <w:rPr>
      <w:rFonts w:ascii="Arial" w:cs="Arial" w:eastAsia="Arial" w:hAnsi="Arial"/>
      <w:b/>
      <w:bCs/>
      <w:color w:val="0F172A"/>
      <w:sz w:val="34"/>
      <w:szCs w:val="34"/>
    </w:rPr>
  </w:style>
  <w:style w:type="paragraph" w:styleId="Heading2">
    <w:name w:val="Heading 2"/>
    <w:basedOn w:val="Normal"/>
    <w:next w:val="Normal"/>
    <w:qFormat/>
    <w:pPr>
      <w:spacing w:after="100" w:before="300"/>
      <w:outlineLvl w:val="1"/>
    </w:pPr>
    <w:rPr>
      <w:rFonts w:ascii="Arial" w:cs="Arial" w:eastAsia="Arial" w:hAnsi="Arial"/>
      <w:b/>
      <w:bCs/>
      <w:color w:val="0E4F82"/>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2026-07-06T04:16:22.172Z</dcterms:created>
  <dcterms:modified xsi:type="dcterms:W3CDTF">2026-07-06T04:16:22.172Z</dcterms:modified>
</cp:coreProperties>
</file>

<file path=docProps/custom.xml><?xml version="1.0" encoding="utf-8"?>
<Properties xmlns="http://schemas.openxmlformats.org/officeDocument/2006/custom-properties" xmlns:vt="http://schemas.openxmlformats.org/officeDocument/2006/docPropsVTypes"/>
</file>