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0092" w:val="right"/>
        </w:tabs>
        <w:spacing w:line="720" w:lineRule="exact"/>
        <w:pBdr>
          <w:bottom w:val="single" w:sz="12" w:color="193C8E"/>
        </w:pBdr>
      </w:pPr>
      <w:r>
        <w:rPr>
          <w:rFonts w:ascii="Montserrat" w:hAnsi="Montserrat" w:eastAsia="Montserrat" w:cs="Montserrat"/>
          <w:b/>
          <w:color w:val="4C73D1"/>
          <w:sz w:val="16"/>
        </w:rPr>
        <w:t>PERGUNTAS PARA FECHAR LACUNAS</w:t>
      </w:r>
      <w:r>
        <w:tab/>
        <w:drawing>
          <wp:inline xmlns:a="http://schemas.openxmlformats.org/drawingml/2006/main" xmlns:pic="http://schemas.openxmlformats.org/drawingml/2006/picture">
            <wp:extent cx="1080000" cy="404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c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04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0" w:after="120"/>
      </w:pPr>
      <w:r>
        <w:rPr>
          <w:rFonts w:ascii="Montserrat" w:hAnsi="Montserrat" w:eastAsia="Montserrat" w:cs="Montserrat"/>
          <w:b/>
          <w:color w:val="193C8E"/>
          <w:sz w:val="50"/>
        </w:rPr>
        <w:t>EXEMPLO FICTÍCIO: Lacunas a fechar sobre as solicitações internas</w:t>
      </w:r>
    </w:p>
    <w:p>
      <w:pPr>
        <w:spacing w:before="0" w:after="100" w:line="165" w:lineRule="exact"/>
      </w:pPr>
      <w:r/>
      <w:r>
        <w:rPr>
          <w:rFonts w:ascii="Montserrat" w:hAnsi="Montserrat" w:eastAsia="Montserrat" w:cs="Montserrat"/>
          <w:b w:val="0"/>
          <w:color w:val="586EA4"/>
          <w:sz w:val="15"/>
        </w:rPr>
        <w:t>ID sample-briefing-improvement-questionnaire · versão 1.0.0 · Completo</w:t>
      </w:r>
    </w:p>
    <w:p>
      <w:pPr>
        <w:spacing w:before="0" w:after="0" w:line="283" w:lineRule="exact"/>
      </w:pPr>
      <w:r/>
      <w:r>
        <w:rPr>
          <w:rFonts w:ascii="Montserrat" w:hAnsi="Montserrat" w:eastAsia="Montserrat" w:cs="Montserrat"/>
          <w:b w:val="0"/>
          <w:color w:val="102661"/>
          <w:sz w:val="21"/>
        </w:rPr>
        <w:t>Amostra de validação visual e estrutural. Dados, pessoas, votos e resultados são fictícios.</w:t>
      </w:r>
    </w:p>
    <w:p>
      <w:pPr>
        <w:pStyle w:val="Heading1"/>
        <w:spacing w:before="200" w:after="140" w:line="264" w:lineRule="exact"/>
        <w:shd w:fill="102661"/>
      </w:pPr>
      <w:r>
        <w:rPr>
          <w:caps/>
          <w:color w:val="FFFFFF"/>
        </w:rPr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Notas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Perguntas para fechar lacunas da Entrevista Inicial fictícia antes de atribuir escala ao problema.</w:t>
      </w:r>
    </w:p>
    <w:p>
      <w:pPr>
        <w:spacing w:before="0" w:after="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  <w:t>• Qual o volume de solicitações elegíveis por mês e qual é a fonte?</w:t>
      </w:r>
    </w:p>
    <w:p>
      <w:pPr>
        <w:spacing w:before="0" w:after="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  <w:t>• Que proporção exige devolução por informação ausente, em qual período?</w:t>
      </w:r>
    </w:p>
    <w:p>
      <w:pPr>
        <w:spacing w:before="0" w:after="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  <w:t>• Quais perfis de agentes e equipes são afetados?</w:t>
      </w:r>
    </w:p>
    <w:p>
      <w:pPr>
        <w:spacing w:before="0" w:after="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  <w:t>• Quem é responsável pela decisão de prosseguir e quais restrições existem?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0" w:after="0" w:line="312" w:lineRule="exact"/>
      </w:pPr>
      <w:r/>
      <w:r>
        <w:rPr>
          <w:rFonts w:ascii="Montserrat" w:hAnsi="Montserrat" w:eastAsia="Montserrat" w:cs="Montserrat"/>
          <w:b/>
          <w:color w:val="193C8E"/>
          <w:sz w:val="26"/>
        </w:rPr>
        <w:t>Fontes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FIC-01: ata-simulada-5c exemplo fictício, sem coleta real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FIC-02: planilha-simulada exemplo fictício, sem dados reais</w:t>
      </w:r>
    </w:p>
    <w:sectPr w:rsidR="00FC693F" w:rsidRPr="0006063C" w:rsidSect="00034616">
      <w:pgSz w:w="11906" w:h="16838"/>
      <w:pgMar w:top="907" w:right="907" w:bottom="907" w:left="907" w:header="11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6" w:lineRule="exact"/>
    </w:pPr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b/>
      <w:color w:val="193C8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Lacunas a fechar sobre as solicitações internas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