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170"/>
        <w:gridCol w:w="4989"/>
        <w:gridCol w:w="170"/>
        <w:gridCol w:w="5159"/>
      </w:tblGrid>
      <w:tr>
        <w:trPr>
          <w:trHeight w:val="510" w:hRule="exact"/>
        </w:trPr>
        <w:tc>
          <w:tcPr>
            <w:tcW w:type="dxa" w:w="10318"/>
            <w:gridSpan w:val="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bottom w:val="single" w:sz="12" w:color="193C8E"/>
            </w:tcBorders>
          </w:tcPr>
          <w:p>
            <w:pPr>
              <w:spacing w:before="0" w:after="0" w:line="192" w:lineRule="exact"/>
            </w:pPr>
            <w:r/>
            <w:r>
              <w:rPr>
                <w:rFonts w:ascii="Montserrat" w:hAnsi="Montserrat" w:eastAsia="Montserrat" w:cs="Montserrat"/>
                <w:b/>
                <w:color w:val="4C73D1"/>
                <w:sz w:val="16"/>
              </w:rPr>
              <w:t>BRIEFING</w:t>
            </w:r>
          </w:p>
        </w:tc>
        <w:tc>
          <w:tcPr>
            <w:tcW w:type="dxa" w:w="5159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bottom w:val="single" w:sz="12" w:color="193C8E"/>
            </w:tcBorders>
          </w:tcPr>
          <w:p>
            <w:pPr>
              <w:spacing w:line="360" w:lineRule="exact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40000" cy="20244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ce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02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07" w:hRule="exact"/>
        </w:trPr>
        <w:tc>
          <w:tcPr>
            <w:tcW w:type="dxa" w:w="15477"/>
            <w:gridSpan w:val="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528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48"/>
              </w:rPr>
              <w:t>EXEMPLO FICTÍCIO: Solicitações com menos devoluções</w:t>
            </w:r>
          </w:p>
        </w:tc>
      </w:tr>
      <w:tr>
        <w:trPr>
          <w:trHeight w:val="1814" w:hRule="exact"/>
        </w:trPr>
        <w:tc>
          <w:tcPr>
            <w:tcW w:type="dxa" w:w="15477"/>
            <w:gridSpan w:val="5"/>
            <w:tcMar>
              <w:top w:w="120" w:type="dxa"/>
              <w:start w:w="180" w:type="dxa"/>
              <w:bottom w:w="80" w:type="dxa"/>
              <w:end w:w="120" w:type="dxa"/>
            </w:tcMar>
            <w:vAlign w:val="center"/>
            <w:shd w:fill="102661"/>
            <w:tcBorders>
              <w:start w:val="single" w:sz="24" w:color="4C73D1"/>
            </w:tcBorders>
          </w:tcPr>
          <w:p>
            <w:pPr>
              <w:spacing w:before="0" w:after="0" w:line="312" w:lineRule="exact"/>
            </w:pPr>
            <w:r>
              <w:rPr>
                <w:color w:val="FFFFFF"/>
                <w:sz w:val="30"/>
              </w:rPr>
            </w:r>
            <w:r>
              <w:rPr>
                <w:rFonts w:ascii="Montserrat" w:hAnsi="Montserrat" w:eastAsia="Montserrat" w:cs="Montserrat"/>
                <w:b/>
                <w:color w:val="FFFFFF"/>
                <w:sz w:val="30"/>
              </w:rPr>
              <w:t>Como podemos tornar as solicitações mais claras e rastreáveis?[FIC-01]</w:t>
            </w:r>
          </w:p>
        </w:tc>
      </w:tr>
      <w:tr>
        <w:trPr>
          <w:trHeight w:val="5443" w:hRule="exact"/>
        </w:trPr>
        <w:tc>
          <w:tcPr>
            <w:tcW w:type="dxa" w:w="4989"/>
            <w:tcMar>
              <w:top w:w="120" w:type="dxa"/>
              <w:start w:w="180" w:type="dxa"/>
              <w:bottom w:w="80" w:type="dxa"/>
              <w:end w:w="120" w:type="dxa"/>
            </w:tcMar>
            <w:vAlign w:val="top"/>
            <w:shd w:fill="E8EEFB"/>
            <w:tcBorders>
              <w:start w:val="single" w:sz="24" w:color="4C73D1"/>
            </w:tcBorders>
          </w:tcPr>
          <w:p>
            <w:pPr>
              <w:spacing w:before="0" w:after="0" w:line="216" w:lineRule="exact"/>
            </w:pPr>
            <w:r>
              <w:rPr>
                <w:sz w:val="22"/>
              </w:rPr>
            </w:r>
            <w:r>
              <w:rPr>
                <w:rFonts w:ascii="Montserrat" w:hAnsi="Montserrat" w:eastAsia="Montserrat" w:cs="Montserrat"/>
                <w:b/>
                <w:color w:val="193C8E"/>
                <w:sz w:val="22"/>
              </w:rPr>
              <w:t>Problema ou oportunidade</w:t>
            </w:r>
          </w:p>
          <w:p>
            <w:pPr>
              <w:spacing w:before="0" w:after="0" w:line="270" w:lineRule="exact"/>
            </w:pPr>
            <w:r>
              <w:rPr>
                <w:sz w:val="20"/>
              </w:rPr>
            </w:r>
            <w:r>
              <w:rPr>
                <w:rFonts w:ascii="Montserrat" w:hAnsi="Montserrat" w:eastAsia="Montserrat" w:cs="Montserrat"/>
                <w:b w:val="0"/>
                <w:color w:val="30343B"/>
                <w:sz w:val="20"/>
              </w:rPr>
              <w:t>Solicitações chegam por canais diferentes e sem informações padronizadas.</w:t>
            </w:r>
          </w:p>
          <w:p>
            <w:pPr>
              <w:spacing w:before="0" w:after="0" w:line="270" w:lineRule="exact"/>
            </w:pPr>
            <w:r>
              <w:rPr>
                <w:sz w:val="20"/>
              </w:rPr>
            </w:r>
            <w:r>
              <w:rPr>
                <w:rFonts w:ascii="Montserrat" w:hAnsi="Montserrat" w:eastAsia="Montserrat" w:cs="Montserrat"/>
                <w:b w:val="0"/>
                <w:color w:val="30343B"/>
                <w:sz w:val="20"/>
              </w:rPr>
              <w:t>• Há devoluções por falta de informação.</w:t>
            </w:r>
          </w:p>
          <w:p>
            <w:pPr>
              <w:spacing w:before="0" w:after="0" w:line="165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586EA4"/>
                <w:sz w:val="15"/>
              </w:rPr>
              <w:t>[FIC-01]</w:t>
            </w:r>
          </w:p>
        </w:tc>
        <w:tc>
          <w:tcPr>
            <w:tcW w:type="dxa" w:w="17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4989"/>
            <w:tcMar>
              <w:top w:w="120" w:type="dxa"/>
              <w:start w:w="180" w:type="dxa"/>
              <w:bottom w:w="80" w:type="dxa"/>
              <w:end w:w="120" w:type="dxa"/>
            </w:tcMar>
            <w:vAlign w:val="top"/>
            <w:shd w:fill="E8EEFB"/>
            <w:tcBorders>
              <w:start w:val="single" w:sz="24" w:color="4C73D1"/>
            </w:tcBorders>
          </w:tcPr>
          <w:p>
            <w:pPr>
              <w:spacing w:before="0" w:after="0" w:line="216" w:lineRule="exact"/>
            </w:pPr>
            <w:r>
              <w:rPr>
                <w:sz w:val="22"/>
              </w:rPr>
            </w:r>
            <w:r>
              <w:rPr>
                <w:rFonts w:ascii="Montserrat" w:hAnsi="Montserrat" w:eastAsia="Montserrat" w:cs="Montserrat"/>
                <w:b/>
                <w:color w:val="193C8E"/>
                <w:sz w:val="22"/>
              </w:rPr>
              <w:t>Relevância</w:t>
            </w:r>
          </w:p>
          <w:p>
            <w:pPr>
              <w:spacing w:before="0" w:after="0" w:line="270" w:lineRule="exact"/>
            </w:pPr>
            <w:r>
              <w:rPr>
                <w:sz w:val="20"/>
              </w:rPr>
            </w:r>
            <w:r>
              <w:rPr>
                <w:rFonts w:ascii="Montserrat" w:hAnsi="Montserrat" w:eastAsia="Montserrat" w:cs="Montserrat"/>
                <w:b w:val="0"/>
                <w:color w:val="30343B"/>
                <w:sz w:val="20"/>
              </w:rPr>
              <w:t>O problema reduz a eficiência operacional e a confiança no processo interno.</w:t>
            </w:r>
          </w:p>
          <w:p>
            <w:pPr>
              <w:spacing w:before="0" w:after="0" w:line="270" w:lineRule="exact"/>
            </w:pPr>
            <w:r>
              <w:rPr>
                <w:sz w:val="20"/>
              </w:rPr>
            </w:r>
            <w:r>
              <w:rPr>
                <w:rFonts w:ascii="Montserrat" w:hAnsi="Montserrat" w:eastAsia="Montserrat" w:cs="Montserrat"/>
                <w:b w:val="0"/>
                <w:color w:val="30343B"/>
                <w:sz w:val="20"/>
              </w:rPr>
              <w:t>• O retrabalho consome capacidade das equipes.</w:t>
            </w:r>
          </w:p>
          <w:p>
            <w:pPr>
              <w:spacing w:before="0" w:after="0" w:line="165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586EA4"/>
                <w:sz w:val="15"/>
              </w:rPr>
              <w:t>[FIC-01]</w:t>
            </w:r>
          </w:p>
        </w:tc>
        <w:tc>
          <w:tcPr>
            <w:tcW w:type="dxa" w:w="17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5159"/>
            <w:tcMar>
              <w:top w:w="120" w:type="dxa"/>
              <w:start w:w="180" w:type="dxa"/>
              <w:bottom w:w="80" w:type="dxa"/>
              <w:end w:w="120" w:type="dxa"/>
            </w:tcMar>
            <w:vAlign w:val="top"/>
            <w:shd w:fill="E8EEFB"/>
            <w:tcBorders>
              <w:start w:val="single" w:sz="24" w:color="4C73D1"/>
            </w:tcBorders>
          </w:tcPr>
          <w:p>
            <w:pPr>
              <w:spacing w:before="0" w:after="0" w:line="216" w:lineRule="exact"/>
            </w:pPr>
            <w:r>
              <w:rPr>
                <w:sz w:val="22"/>
              </w:rPr>
            </w:r>
            <w:r>
              <w:rPr>
                <w:rFonts w:ascii="Montserrat" w:hAnsi="Montserrat" w:eastAsia="Montserrat" w:cs="Montserrat"/>
                <w:b/>
                <w:color w:val="193C8E"/>
                <w:sz w:val="22"/>
              </w:rPr>
              <w:t>Resultados esperados</w:t>
            </w:r>
          </w:p>
          <w:p>
            <w:pPr>
              <w:spacing w:before="0" w:after="0" w:line="270" w:lineRule="exact"/>
            </w:pPr>
            <w:r>
              <w:rPr>
                <w:sz w:val="20"/>
              </w:rPr>
            </w:r>
            <w:r>
              <w:rPr>
                <w:rFonts w:ascii="Montserrat" w:hAnsi="Montserrat" w:eastAsia="Montserrat" w:cs="Montserrat"/>
                <w:b w:val="0"/>
                <w:color w:val="30343B"/>
                <w:sz w:val="20"/>
              </w:rPr>
              <w:t>Tornar as solicitações completas, rastreáveis e previsíveis.</w:t>
            </w:r>
          </w:p>
          <w:p>
            <w:pPr>
              <w:spacing w:before="0" w:after="0" w:line="270" w:lineRule="exact"/>
            </w:pPr>
            <w:r>
              <w:rPr>
                <w:sz w:val="20"/>
              </w:rPr>
            </w:r>
            <w:r>
              <w:rPr>
                <w:rFonts w:ascii="Montserrat" w:hAnsi="Montserrat" w:eastAsia="Montserrat" w:cs="Montserrat"/>
                <w:b w:val="0"/>
                <w:color w:val="30343B"/>
                <w:sz w:val="20"/>
              </w:rPr>
              <w:t>• Reduzir devoluções por falta de informação.</w:t>
            </w:r>
          </w:p>
          <w:p>
            <w:pPr>
              <w:spacing w:before="0" w:after="0" w:line="165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586EA4"/>
                <w:sz w:val="15"/>
              </w:rPr>
              <w:t>[FIC-01]</w:t>
            </w:r>
          </w:p>
        </w:tc>
      </w:tr>
      <w:tr>
        <w:trPr>
          <w:trHeight w:val="1814" w:hRule="exact"/>
        </w:trPr>
        <w:tc>
          <w:tcPr>
            <w:tcW w:type="dxa" w:w="15477"/>
            <w:gridSpan w:val="5"/>
            <w:tcMar>
              <w:top w:w="120" w:type="dxa"/>
              <w:start w:w="180" w:type="dxa"/>
              <w:bottom w:w="80" w:type="dxa"/>
              <w:end w:w="120" w:type="dxa"/>
            </w:tcMar>
            <w:vAlign w:val="top"/>
            <w:shd w:fill="F3F5FA"/>
            <w:tcBorders>
              <w:start w:val="single" w:sz="24" w:color="ACB7D0"/>
            </w:tcBorders>
          </w:tcPr>
          <w:p>
            <w:pPr>
              <w:keepNext w:val="0"/>
              <w:spacing w:before="0" w:after="0" w:line="270" w:lineRule="exact"/>
            </w:pPr>
            <w:r>
              <w:rPr>
                <w:sz w:val="20"/>
              </w:rPr>
            </w:r>
            <w:r>
              <w:rPr>
                <w:rFonts w:ascii="Montserrat" w:hAnsi="Montserrat" w:eastAsia="Montserrat" w:cs="Montserrat"/>
                <w:b w:val="0"/>
                <w:color w:val="30343B"/>
                <w:sz w:val="20"/>
              </w:rPr>
              <w:t>Responsáveis: Não informado</w:t>
            </w:r>
          </w:p>
          <w:p>
            <w:pPr>
              <w:spacing w:before="0" w:after="0" w:line="270" w:lineRule="exact"/>
            </w:pPr>
            <w:r>
              <w:rPr>
                <w:sz w:val="20"/>
              </w:rPr>
            </w:r>
            <w:r>
              <w:rPr>
                <w:rFonts w:ascii="Montserrat" w:hAnsi="Montserrat" w:eastAsia="Montserrat" w:cs="Montserrat"/>
                <w:b w:val="0"/>
                <w:color w:val="30343B"/>
                <w:sz w:val="20"/>
              </w:rPr>
              <w:t>Patrocinador: Não informado</w:t>
            </w:r>
          </w:p>
          <w:p>
            <w:pPr>
              <w:spacing w:before="0" w:after="0" w:line="165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586EA4"/>
                <w:sz w:val="15"/>
              </w:rPr>
              <w:t>[FIC-01]</w:t>
            </w:r>
          </w:p>
        </w:tc>
      </w:tr>
    </w:tbl>
    <w:p>
      <w:pPr>
        <w:spacing w:before="0" w:after="0" w:line="165" w:lineRule="exact"/>
      </w:pPr>
      <w:r/>
      <w:r>
        <w:rPr>
          <w:rFonts w:ascii="Montserrat" w:hAnsi="Montserrat" w:eastAsia="Montserrat" w:cs="Montserrat"/>
          <w:b w:val="0"/>
          <w:color w:val="586EA4"/>
          <w:sz w:val="15"/>
        </w:rPr>
        <w:t>Fontes: FIC-01: ata-simulada-5c, exemplo fictício, sem coleta real</w:t>
      </w:r>
    </w:p>
    <w:p>
      <w:pPr>
        <w:spacing w:before="0" w:after="0" w:line="165" w:lineRule="exact"/>
      </w:pPr>
      <w:r/>
      <w:r>
        <w:rPr>
          <w:rFonts w:ascii="Montserrat" w:hAnsi="Montserrat" w:eastAsia="Montserrat" w:cs="Montserrat"/>
          <w:b w:val="0"/>
          <w:color w:val="586EA4"/>
          <w:sz w:val="15"/>
        </w:rPr>
        <w:t>ID sample-briefing-one-page · versão 1.0.0 · Completo</w:t>
      </w:r>
    </w:p>
    <w:sectPr w:rsidR="00FC693F" w:rsidRPr="0006063C" w:rsidSect="00034616">
      <w:pgSz w:w="16838" w:h="11906"/>
      <w:pgMar w:top="170" w:right="680" w:bottom="227" w:left="680" w:header="11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29" w:lineRule="exact"/>
    </w:pPr>
    <w:rPr>
      <w:rFonts w:ascii="Montserrat" w:hAnsi="Montserrat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193C8E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193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b/>
      <w:color w:val="193C8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FICTÍCIO: Solicitações com menos devoluções</dc:title>
  <dc:subject/>
  <dc:creator>my_skills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